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39FA04">
      <w:pPr>
        <w:rPr>
          <w:rFonts w:hint="eastAsia" w:eastAsia="宋体"/>
          <w:lang w:eastAsia="zh-CN"/>
        </w:rPr>
      </w:pPr>
      <w:bookmarkStart w:id="0" w:name="_GoBack"/>
      <w:bookmarkEnd w:id="0"/>
    </w:p>
    <w:p w14:paraId="12B64603">
      <w:pPr>
        <w:rPr>
          <w:rFonts w:hint="eastAsia" w:eastAsia="宋体"/>
          <w:lang w:eastAsia="zh-CN"/>
        </w:rPr>
      </w:pPr>
    </w:p>
    <w:p w14:paraId="1C8087FC">
      <w:pPr>
        <w:rPr>
          <w:rFonts w:hint="eastAsia" w:eastAsia="宋体"/>
          <w:lang w:eastAsia="zh-CN"/>
        </w:rPr>
      </w:pPr>
    </w:p>
    <w:p w14:paraId="6863A740">
      <w:pPr>
        <w:rPr>
          <w:rFonts w:hint="eastAsia" w:eastAsia="宋体"/>
          <w:lang w:eastAsia="zh-CN"/>
        </w:rPr>
      </w:pPr>
    </w:p>
    <w:p w14:paraId="51207154">
      <w:pPr>
        <w:rPr>
          <w:rFonts w:hint="eastAsia" w:eastAsia="宋体"/>
          <w:lang w:eastAsia="zh-CN"/>
        </w:rPr>
      </w:pPr>
    </w:p>
    <w:p w14:paraId="00B0FB89">
      <w:pPr>
        <w:rPr>
          <w:rFonts w:hint="eastAsia" w:eastAsia="宋体"/>
          <w:lang w:eastAsia="zh-CN"/>
        </w:rPr>
      </w:pPr>
    </w:p>
    <w:p w14:paraId="77975368">
      <w:pPr>
        <w:rPr>
          <w:rFonts w:hint="eastAsia" w:eastAsia="宋体"/>
          <w:lang w:eastAsia="zh-CN"/>
        </w:rPr>
      </w:pPr>
    </w:p>
    <w:p w14:paraId="38198FE8">
      <w:pPr>
        <w:rPr>
          <w:rFonts w:hint="eastAsia" w:eastAsia="宋体"/>
          <w:lang w:eastAsia="zh-CN"/>
        </w:rPr>
      </w:pPr>
    </w:p>
    <w:p w14:paraId="40689B97">
      <w:pPr>
        <w:rPr>
          <w:rFonts w:hint="eastAsia" w:eastAsia="宋体"/>
          <w:lang w:eastAsia="zh-CN"/>
        </w:rPr>
      </w:pPr>
    </w:p>
    <w:p w14:paraId="0B6BB339">
      <w:pPr>
        <w:rPr>
          <w:rFonts w:hint="eastAsia" w:eastAsia="宋体"/>
          <w:lang w:eastAsia="zh-CN"/>
        </w:rPr>
      </w:pPr>
    </w:p>
    <w:p w14:paraId="44ED755D">
      <w:pPr>
        <w:rPr>
          <w:rFonts w:hint="eastAsia" w:eastAsia="宋体"/>
          <w:lang w:eastAsia="zh-CN"/>
        </w:rPr>
      </w:pPr>
    </w:p>
    <w:p w14:paraId="01AEA41E">
      <w:pPr>
        <w:rPr>
          <w:rFonts w:hint="eastAsia" w:eastAsia="宋体"/>
          <w:lang w:eastAsia="zh-CN"/>
        </w:rPr>
      </w:pPr>
    </w:p>
    <w:p w14:paraId="60F6FD26">
      <w:pPr>
        <w:rPr>
          <w:rFonts w:hint="eastAsia" w:eastAsia="宋体"/>
          <w:lang w:eastAsia="zh-CN"/>
        </w:rPr>
      </w:pPr>
    </w:p>
    <w:p w14:paraId="5A247BAF">
      <w:pPr>
        <w:rPr>
          <w:rFonts w:hint="eastAsia" w:eastAsia="宋体"/>
          <w:lang w:eastAsia="zh-CN"/>
        </w:rPr>
      </w:pPr>
    </w:p>
    <w:p w14:paraId="7FD7C996">
      <w:pPr>
        <w:rPr>
          <w:rFonts w:hint="eastAsia" w:eastAsia="宋体"/>
          <w:lang w:eastAsia="zh-CN"/>
        </w:rPr>
      </w:pPr>
    </w:p>
    <w:p w14:paraId="33CFB1ED">
      <w:pPr>
        <w:rPr>
          <w:rFonts w:hint="eastAsia" w:eastAsia="宋体"/>
          <w:lang w:eastAsia="zh-CN"/>
        </w:rPr>
      </w:pPr>
    </w:p>
    <w:p w14:paraId="18BF1B3D">
      <w:pPr>
        <w:rPr>
          <w:rFonts w:hint="eastAsia" w:eastAsia="宋体"/>
          <w:lang w:eastAsia="zh-CN"/>
        </w:rPr>
      </w:pPr>
    </w:p>
    <w:p w14:paraId="27FEA9A8">
      <w:pPr>
        <w:rPr>
          <w:rFonts w:hint="eastAsia" w:eastAsia="宋体"/>
          <w:lang w:eastAsia="zh-CN"/>
        </w:rPr>
      </w:pPr>
    </w:p>
    <w:p w14:paraId="03430E60">
      <w:pPr>
        <w:keepNext w:val="0"/>
        <w:keepLines w:val="0"/>
        <w:pageBreakBefore w:val="0"/>
        <w:widowControl w:val="0"/>
        <w:kinsoku/>
        <w:wordWrap/>
        <w:overflowPunct/>
        <w:topLinePunct w:val="0"/>
        <w:autoSpaceDN/>
        <w:bidi w:val="0"/>
        <w:adjustRightInd/>
        <w:snapToGrid/>
        <w:spacing w:line="579" w:lineRule="exact"/>
        <w:textAlignment w:val="auto"/>
        <w:rPr>
          <w:rFonts w:hint="eastAsia" w:ascii="楷体_GB2312" w:hAnsi="楷体_GB2312" w:eastAsia="楷体_GB2312" w:cs="楷体_GB2312"/>
          <w:sz w:val="32"/>
          <w:szCs w:val="32"/>
          <w:lang w:val="en-US" w:eastAsia="zh-CN"/>
        </w:rPr>
      </w:pPr>
    </w:p>
    <w:p w14:paraId="5BEA03B2">
      <w:pPr>
        <w:keepNext w:val="0"/>
        <w:keepLines w:val="0"/>
        <w:pageBreakBefore w:val="0"/>
        <w:widowControl w:val="0"/>
        <w:kinsoku/>
        <w:wordWrap/>
        <w:overflowPunct/>
        <w:topLinePunct w:val="0"/>
        <w:autoSpaceDN/>
        <w:bidi w:val="0"/>
        <w:adjustRightInd/>
        <w:snapToGrid/>
        <w:spacing w:line="579" w:lineRule="exact"/>
        <w:textAlignment w:val="auto"/>
        <w:rPr>
          <w:rFonts w:hint="eastAsia" w:ascii="楷体_GB2312" w:hAnsi="楷体_GB2312" w:eastAsia="楷体_GB2312" w:cs="楷体_GB2312"/>
          <w:sz w:val="32"/>
          <w:szCs w:val="32"/>
          <w:lang w:val="en-US" w:eastAsia="zh-CN"/>
        </w:rPr>
      </w:pPr>
    </w:p>
    <w:p w14:paraId="281D4B38">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_GBK" w:hAnsi="方正小标宋_GBK" w:eastAsia="方正小标宋_GBK" w:cs="方正小标宋_GBK"/>
          <w:spacing w:val="-11"/>
          <w:sz w:val="44"/>
          <w:szCs w:val="44"/>
          <w:lang w:val="en-US" w:eastAsia="zh-CN"/>
        </w:rPr>
      </w:pPr>
      <w:r>
        <w:rPr>
          <w:rFonts w:hint="eastAsia" w:ascii="方正小标宋_GBK" w:hAnsi="方正小标宋_GBK" w:eastAsia="方正小标宋_GBK" w:cs="方正小标宋_GBK"/>
          <w:spacing w:val="-11"/>
          <w:sz w:val="44"/>
          <w:szCs w:val="44"/>
          <w:lang w:val="en-US" w:eastAsia="zh-CN"/>
        </w:rPr>
        <w:t>关于报送2026年上半年工作总结及</w:t>
      </w:r>
    </w:p>
    <w:p w14:paraId="1FB498B6">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_GBK" w:hAnsi="方正小标宋_GBK" w:eastAsia="方正小标宋_GBK" w:cs="方正小标宋_GBK"/>
          <w:spacing w:val="-11"/>
          <w:sz w:val="44"/>
          <w:szCs w:val="44"/>
          <w:lang w:val="en-US" w:eastAsia="zh-CN"/>
        </w:rPr>
      </w:pPr>
      <w:r>
        <w:rPr>
          <w:rFonts w:hint="eastAsia" w:ascii="方正小标宋_GBK" w:hAnsi="方正小标宋_GBK" w:eastAsia="方正小标宋_GBK" w:cs="方正小标宋_GBK"/>
          <w:spacing w:val="-11"/>
          <w:sz w:val="44"/>
          <w:szCs w:val="44"/>
          <w:lang w:val="en-US" w:eastAsia="zh-CN"/>
        </w:rPr>
        <w:t>下半年工作计划的报告</w:t>
      </w:r>
    </w:p>
    <w:p w14:paraId="17D5B4FC">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eastAsia" w:ascii="黑体" w:hAnsi="黑体" w:eastAsia="黑体" w:cs="黑体"/>
          <w:sz w:val="32"/>
          <w:szCs w:val="32"/>
          <w:lang w:val="en-US" w:eastAsia="zh-CN"/>
        </w:rPr>
      </w:pPr>
    </w:p>
    <w:p w14:paraId="3DF25E67">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旗人民政府：</w:t>
      </w:r>
    </w:p>
    <w:p w14:paraId="539FBAB1">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根据要求，现将《乌审旗退役军人事务局2026年上半年工作总结及下半年工作计划》随文呈上，请予审阅。</w:t>
      </w:r>
    </w:p>
    <w:p w14:paraId="7179691C">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eastAsia" w:ascii="仿宋_GB2312" w:hAnsi="仿宋_GB2312" w:eastAsia="仿宋_GB2312" w:cs="仿宋_GB2312"/>
          <w:sz w:val="32"/>
          <w:szCs w:val="32"/>
          <w:lang w:val="en-US" w:eastAsia="zh-CN"/>
        </w:rPr>
      </w:pPr>
    </w:p>
    <w:p w14:paraId="44F2C36C">
      <w:pPr>
        <w:keepNext w:val="0"/>
        <w:keepLines w:val="0"/>
        <w:pageBreakBefore w:val="0"/>
        <w:widowControl w:val="0"/>
        <w:kinsoku/>
        <w:wordWrap/>
        <w:overflowPunct/>
        <w:topLinePunct w:val="0"/>
        <w:autoSpaceDE/>
        <w:autoSpaceDN/>
        <w:bidi w:val="0"/>
        <w:adjustRightInd/>
        <w:snapToGrid/>
        <w:spacing w:line="579" w:lineRule="exact"/>
        <w:ind w:firstLine="4480" w:firstLineChars="14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乌审旗退役军人事务局</w:t>
      </w:r>
    </w:p>
    <w:p w14:paraId="44B7684B">
      <w:pPr>
        <w:keepNext w:val="0"/>
        <w:keepLines w:val="0"/>
        <w:pageBreakBefore w:val="0"/>
        <w:widowControl w:val="0"/>
        <w:kinsoku/>
        <w:wordWrap/>
        <w:overflowPunct/>
        <w:topLinePunct w:val="0"/>
        <w:autoSpaceDE/>
        <w:autoSpaceDN/>
        <w:bidi w:val="0"/>
        <w:adjustRightInd/>
        <w:snapToGrid/>
        <w:spacing w:line="579" w:lineRule="exact"/>
        <w:ind w:firstLine="4800" w:firstLineChars="1500"/>
        <w:jc w:val="both"/>
        <w:textAlignment w:val="auto"/>
        <w:rPr>
          <w:rFonts w:hint="eastAsia" w:ascii="黑体" w:hAnsi="黑体" w:eastAsia="黑体" w:cs="黑体"/>
          <w:sz w:val="32"/>
          <w:szCs w:val="32"/>
          <w:lang w:val="en-US" w:eastAsia="zh-CN"/>
        </w:rPr>
      </w:pPr>
      <w:r>
        <w:rPr>
          <w:rFonts w:hint="eastAsia" w:ascii="仿宋_GB2312" w:hAnsi="仿宋_GB2312" w:eastAsia="仿宋_GB2312" w:cs="仿宋_GB2312"/>
          <w:sz w:val="32"/>
          <w:szCs w:val="32"/>
          <w:lang w:val="en-US" w:eastAsia="zh-CN"/>
        </w:rPr>
        <w:t>2026年7月20日</w:t>
      </w:r>
    </w:p>
    <w:p w14:paraId="0D05B14D">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_GBK" w:hAnsi="方正小标宋_GBK" w:eastAsia="方正小标宋_GBK" w:cs="方正小标宋_GBK"/>
          <w:sz w:val="44"/>
          <w:szCs w:val="44"/>
          <w:lang w:val="en-US" w:eastAsia="zh-CN"/>
        </w:rPr>
      </w:pPr>
    </w:p>
    <w:p w14:paraId="1E1B5228">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乌审旗退役军人事务局</w:t>
      </w:r>
    </w:p>
    <w:p w14:paraId="5E315EC9">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黑体" w:hAnsi="黑体" w:eastAsia="黑体" w:cs="黑体"/>
          <w:sz w:val="32"/>
          <w:szCs w:val="32"/>
          <w:lang w:val="en-US" w:eastAsia="zh-CN"/>
        </w:rPr>
      </w:pPr>
      <w:r>
        <w:rPr>
          <w:rFonts w:hint="eastAsia" w:ascii="方正小标宋_GBK" w:hAnsi="方正小标宋_GBK" w:eastAsia="方正小标宋_GBK" w:cs="方正小标宋_GBK"/>
          <w:sz w:val="44"/>
          <w:szCs w:val="44"/>
          <w:lang w:val="en-US" w:eastAsia="zh-CN"/>
        </w:rPr>
        <w:t>2026年上半年工作总结及下半年工作计划</w:t>
      </w:r>
    </w:p>
    <w:p w14:paraId="7E6DAA68">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黑体" w:hAnsi="黑体" w:eastAsia="黑体" w:cs="黑体"/>
          <w:sz w:val="32"/>
          <w:szCs w:val="32"/>
          <w:lang w:val="en-US" w:eastAsia="zh-CN"/>
        </w:rPr>
      </w:pPr>
    </w:p>
    <w:p w14:paraId="61915DC9">
      <w:pPr>
        <w:pStyle w:val="13"/>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jc w:val="both"/>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今年以来，乌审旗退役军人事务局坚持以习近平新时代中国特色社会主义思想为指导，深入学习贯彻党的二十大和二十届历次全会精神，全面贯彻落实习近平总书记关于退役军人工作重要论述，聚焦服务国防和军队现代化建设、服务经济社会发展两个大局，坚持守正创新，狠抓政策落实，优化服务保障，推动各项</w:t>
      </w:r>
      <w:r>
        <w:rPr>
          <w:rFonts w:hint="eastAsia" w:ascii="仿宋_GB2312" w:hAnsi="仿宋_GB2312" w:eastAsia="仿宋_GB2312" w:cs="仿宋_GB2312"/>
          <w:b w:val="0"/>
          <w:bCs/>
          <w:kern w:val="2"/>
          <w:sz w:val="32"/>
          <w:szCs w:val="32"/>
          <w:lang w:val="en-US" w:eastAsia="zh-CN" w:bidi="ar-SA"/>
        </w:rPr>
        <w:t>重点工作有序推进、取得实效。</w:t>
      </w:r>
    </w:p>
    <w:p w14:paraId="223B700A">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一、重点工作开展情况</w:t>
      </w:r>
    </w:p>
    <w:p w14:paraId="0FCD1E57">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pacing w:val="0"/>
          <w:sz w:val="32"/>
          <w:szCs w:val="32"/>
          <w:lang w:val="en-US" w:eastAsia="zh-CN"/>
        </w:rPr>
      </w:pPr>
      <w:r>
        <w:rPr>
          <w:rFonts w:hint="eastAsia" w:ascii="楷体_GB2312" w:hAnsi="楷体_GB2312" w:eastAsia="楷体_GB2312" w:cs="楷体_GB2312"/>
          <w:b w:val="0"/>
          <w:bCs w:val="0"/>
          <w:spacing w:val="0"/>
          <w:sz w:val="32"/>
          <w:szCs w:val="32"/>
          <w:lang w:val="en-US" w:eastAsia="zh-CN"/>
        </w:rPr>
        <w:t>（一）突出示范引领，思政教育走深走实。</w:t>
      </w:r>
      <w:r>
        <w:rPr>
          <w:rFonts w:hint="eastAsia" w:ascii="仿宋_GB2312" w:hAnsi="仿宋_GB2312" w:eastAsia="仿宋_GB2312" w:cs="仿宋_GB2312"/>
          <w:spacing w:val="0"/>
          <w:sz w:val="32"/>
          <w:szCs w:val="32"/>
          <w:lang w:val="en-US" w:eastAsia="zh-CN"/>
        </w:rPr>
        <w:t>扎实推进退役军人事务领域社会组织乱象整治，推动退役军人志愿服务和“老兵宣讲”常态化、规范化运行，引导广大退役军人在基层治理、乡村振兴等领域发挥示范带头作用。上半年，围绕国防教育、应急救援、乡村振兴等主题，累计开展“老兵宣讲”及各类志愿服务活动8场次，“迷彩先锋‧应急尖兵”退役军人应急救援志愿服务项目入选全旗社会化服务+志愿服务项目。</w:t>
      </w:r>
    </w:p>
    <w:p w14:paraId="53591AC6">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pacing w:val="0"/>
          <w:sz w:val="32"/>
          <w:szCs w:val="32"/>
          <w:lang w:val="en-US" w:eastAsia="zh-CN"/>
        </w:rPr>
      </w:pPr>
      <w:r>
        <w:rPr>
          <w:rFonts w:hint="eastAsia" w:ascii="楷体" w:hAnsi="楷体" w:eastAsia="楷体" w:cs="楷体"/>
          <w:spacing w:val="0"/>
          <w:sz w:val="32"/>
          <w:szCs w:val="32"/>
          <w:lang w:val="en-US" w:eastAsia="zh-CN"/>
        </w:rPr>
        <w:t>（二）筑牢风险防线，合法权益有效维护。</w:t>
      </w:r>
      <w:r>
        <w:rPr>
          <w:rFonts w:hint="eastAsia" w:ascii="仿宋_GB2312" w:hAnsi="仿宋_GB2312" w:eastAsia="仿宋_GB2312" w:cs="仿宋_GB2312"/>
          <w:spacing w:val="0"/>
          <w:sz w:val="32"/>
          <w:szCs w:val="32"/>
          <w:lang w:val="en-US" w:eastAsia="zh-CN"/>
        </w:rPr>
        <w:t>深入开展全旗“大走访、大排查、大化解”专项行动，严格落实常态化联系退役军人制度和困难退役军人帮扶援助机制，依法依规解决退役军人信访诉求，坚决防范化解涉军领域矛盾风险。上半年，累计接待来电来访5人次，走访退役军人200余人次，解读政策法规咨询60人次，办结本级信访事项1件、上级转办交办案件4件；累计发放慰问金1.3万元、帮扶援助资金13.1万元。</w:t>
      </w:r>
    </w:p>
    <w:p w14:paraId="470E5DF5">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仿宋_GB2312" w:hAnsi="仿宋_GB2312" w:eastAsia="仿宋_GB2312" w:cs="仿宋_GB2312"/>
          <w:spacing w:val="-6"/>
          <w:sz w:val="32"/>
          <w:szCs w:val="32"/>
          <w:lang w:val="en-US" w:eastAsia="zh-CN"/>
        </w:rPr>
      </w:pPr>
      <w:r>
        <w:rPr>
          <w:rFonts w:hint="eastAsia" w:ascii="楷体_GB2312" w:hAnsi="楷体_GB2312" w:eastAsia="楷体_GB2312" w:cs="楷体_GB2312"/>
          <w:spacing w:val="0"/>
          <w:sz w:val="32"/>
          <w:szCs w:val="32"/>
          <w:lang w:val="en-US" w:eastAsia="zh-CN"/>
        </w:rPr>
        <w:t>（三）完善政策举措，就业安置持续向好。</w:t>
      </w:r>
      <w:r>
        <w:rPr>
          <w:rFonts w:hint="eastAsia" w:ascii="仿宋_GB2312" w:hAnsi="仿宋_GB2312" w:eastAsia="仿宋_GB2312" w:cs="仿宋_GB2312"/>
          <w:spacing w:val="0"/>
          <w:sz w:val="32"/>
          <w:szCs w:val="32"/>
          <w:lang w:val="en-US" w:eastAsia="zh-CN"/>
        </w:rPr>
        <w:t>健全完善军人退役“一件事一次办”服务机制，接收报到春季退役士兵9人并组织开展适应性培训，发放一次性退役补助金111.58万元。紧贴市场需求和退役军人实际意愿，积极搭建就业创业服务平台，举办招聘会1场次、技能培训班1期，通过各类平台发布就业信息100余条，办理国家教育资助及免试专升本13人次。主动对接驻旗各商业银行，落实</w:t>
      </w:r>
      <w:r>
        <w:rPr>
          <w:rFonts w:hint="eastAsia" w:ascii="仿宋_GB2312" w:hAnsi="仿宋_GB2312" w:eastAsia="仿宋_GB2312" w:cs="仿宋_GB2312"/>
          <w:spacing w:val="-6"/>
          <w:sz w:val="32"/>
          <w:szCs w:val="32"/>
          <w:lang w:val="en-US" w:eastAsia="zh-CN"/>
        </w:rPr>
        <w:t>创业扶持政策</w:t>
      </w:r>
      <w:r>
        <w:rPr>
          <w:rFonts w:hint="eastAsia" w:ascii="仿宋_GB2312" w:hAnsi="仿宋_GB2312" w:eastAsia="仿宋_GB2312" w:cs="仿宋_GB2312"/>
          <w:spacing w:val="0"/>
          <w:sz w:val="32"/>
          <w:szCs w:val="32"/>
          <w:lang w:val="en-US" w:eastAsia="zh-CN"/>
        </w:rPr>
        <w:t>，累计发放“拥军贷”“创业贷”“崇军贷”344万元</w:t>
      </w:r>
      <w:r>
        <w:rPr>
          <w:rFonts w:hint="eastAsia" w:ascii="仿宋_GB2312" w:hAnsi="仿宋_GB2312" w:eastAsia="仿宋_GB2312" w:cs="仿宋_GB2312"/>
          <w:spacing w:val="-6"/>
          <w:sz w:val="32"/>
          <w:szCs w:val="32"/>
          <w:lang w:val="en-US" w:eastAsia="zh-CN"/>
        </w:rPr>
        <w:t>。</w:t>
      </w:r>
    </w:p>
    <w:p w14:paraId="3251C19E">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16"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pacing w:val="-6"/>
          <w:sz w:val="32"/>
          <w:szCs w:val="32"/>
          <w:lang w:val="en-US" w:eastAsia="zh-CN"/>
        </w:rPr>
        <w:t>（四）强化拥军支前，双拥共建有声有色。</w:t>
      </w:r>
      <w:r>
        <w:rPr>
          <w:rFonts w:hint="eastAsia" w:ascii="仿宋_GB2312" w:hAnsi="仿宋_GB2312" w:eastAsia="仿宋_GB2312" w:cs="仿宋_GB2312"/>
          <w:spacing w:val="-6"/>
          <w:sz w:val="32"/>
          <w:szCs w:val="32"/>
          <w:lang w:val="en-US" w:eastAsia="zh-CN"/>
        </w:rPr>
        <w:t>全面</w:t>
      </w:r>
      <w:r>
        <w:rPr>
          <w:rFonts w:hint="eastAsia" w:ascii="仿宋_GB2312" w:hAnsi="仿宋_GB2312" w:eastAsia="仿宋_GB2312" w:cs="仿宋_GB2312"/>
          <w:spacing w:val="0"/>
          <w:sz w:val="32"/>
          <w:szCs w:val="32"/>
          <w:lang w:val="en-US" w:eastAsia="zh-CN"/>
        </w:rPr>
        <w:t>落实军地互办实事工作机制，切实为驻单位及军人军属解难题、办实事，推动拥军优抚提质增效。今年以来，研究确定</w:t>
      </w:r>
      <w:r>
        <w:rPr>
          <w:rFonts w:hint="eastAsia" w:ascii="仿宋_GB2312" w:hAnsi="仿宋_GB2312" w:eastAsia="仿宋_GB2312" w:cs="仿宋_GB2312"/>
          <w:sz w:val="32"/>
          <w:szCs w:val="32"/>
          <w:lang w:val="en-US" w:eastAsia="zh-CN"/>
        </w:rPr>
        <w:t>军地互办实事项目9个。举行新兵入伍、驻旗部队老兵退役欢送和退役士兵返乡欢迎仪式3场次。按时足额发放</w:t>
      </w:r>
      <w:r>
        <w:rPr>
          <w:rFonts w:hint="eastAsia" w:ascii="仿宋_GB2312" w:hAnsi="仿宋_GB2312" w:eastAsia="仿宋_GB2312" w:cs="仿宋_GB2312"/>
          <w:sz w:val="32"/>
          <w:szCs w:val="32"/>
        </w:rPr>
        <w:t>优抚对象抚恤和生活补助金</w:t>
      </w:r>
      <w:r>
        <w:rPr>
          <w:rFonts w:hint="eastAsia" w:ascii="仿宋_GB2312" w:hAnsi="仿宋_GB2312" w:eastAsia="仿宋_GB2312" w:cs="仿宋_GB2312"/>
          <w:sz w:val="32"/>
          <w:szCs w:val="32"/>
          <w:lang w:val="en-US" w:eastAsia="zh-CN"/>
        </w:rPr>
        <w:t>140.24</w:t>
      </w:r>
      <w:r>
        <w:rPr>
          <w:rFonts w:hint="eastAsia" w:ascii="仿宋_GB2312" w:hAnsi="仿宋_GB2312" w:eastAsia="仿宋_GB2312" w:cs="仿宋_GB2312"/>
          <w:sz w:val="32"/>
          <w:szCs w:val="32"/>
        </w:rPr>
        <w:t>万元、义务兵家庭优待金</w:t>
      </w:r>
      <w:r>
        <w:rPr>
          <w:rFonts w:hint="eastAsia" w:ascii="仿宋_GB2312" w:hAnsi="仿宋_GB2312" w:eastAsia="仿宋_GB2312" w:cs="仿宋_GB2312"/>
          <w:sz w:val="32"/>
          <w:szCs w:val="32"/>
          <w:lang w:val="en-US" w:eastAsia="zh-CN"/>
        </w:rPr>
        <w:t>100.84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、大学生入伍奖励金</w:t>
      </w:r>
      <w:r>
        <w:rPr>
          <w:rFonts w:hint="eastAsia" w:ascii="仿宋_GB2312" w:hAnsi="仿宋_GB2312" w:eastAsia="仿宋_GB2312" w:cs="仿宋_GB2312"/>
          <w:sz w:val="32"/>
          <w:szCs w:val="32"/>
          <w:lang w:val="en-US" w:eastAsia="zh-CN"/>
        </w:rPr>
        <w:t>7.4万元、</w:t>
      </w:r>
      <w:r>
        <w:rPr>
          <w:rFonts w:hint="eastAsia" w:ascii="仿宋_GB2312" w:hAnsi="仿宋_GB2312" w:eastAsia="仿宋_GB2312" w:cs="仿宋_GB2312"/>
          <w:sz w:val="32"/>
          <w:szCs w:val="32"/>
          <w:lang w:eastAsia="zh-CN"/>
        </w:rPr>
        <w:t>残疾军人丧葬费</w:t>
      </w:r>
      <w:r>
        <w:rPr>
          <w:rFonts w:hint="eastAsia" w:ascii="仿宋_GB2312" w:hAnsi="仿宋_GB2312" w:eastAsia="仿宋_GB2312" w:cs="仿宋_GB2312"/>
          <w:sz w:val="32"/>
          <w:szCs w:val="32"/>
          <w:lang w:val="en-US" w:eastAsia="zh-CN"/>
        </w:rPr>
        <w:t>4.22万元。与自治区边防一线连队建立结对共建关系。</w:t>
      </w:r>
    </w:p>
    <w:p w14:paraId="01F174DC">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pacing w:val="0"/>
          <w:sz w:val="32"/>
          <w:szCs w:val="32"/>
          <w:lang w:eastAsia="zh-CN"/>
        </w:rPr>
      </w:pPr>
      <w:r>
        <w:rPr>
          <w:rFonts w:hint="eastAsia" w:ascii="楷体_GB2312" w:hAnsi="楷体_GB2312" w:eastAsia="楷体_GB2312" w:cs="楷体_GB2312"/>
          <w:b w:val="0"/>
          <w:bCs w:val="0"/>
          <w:spacing w:val="0"/>
          <w:sz w:val="32"/>
          <w:szCs w:val="32"/>
          <w:lang w:val="en-US" w:eastAsia="zh-CN"/>
        </w:rPr>
        <w:t>（五）赓续英烈精神，褒扬纪念成效显著。</w:t>
      </w:r>
      <w:r>
        <w:rPr>
          <w:rFonts w:hint="eastAsia" w:ascii="仿宋_GB2312" w:hAnsi="仿宋_GB2312" w:eastAsia="仿宋_GB2312" w:cs="仿宋_GB2312"/>
          <w:b w:val="0"/>
          <w:bCs w:val="0"/>
          <w:spacing w:val="0"/>
          <w:sz w:val="32"/>
          <w:szCs w:val="32"/>
          <w:lang w:val="en-US" w:eastAsia="zh-CN"/>
        </w:rPr>
        <w:t>加强烈士纪念设施保护，全面完成乌审旗烈士陵园、锡尼喇嘛纪念塔等烈士纪念设施不动产确权登记，以法治确权保护红色资源、守护英烈荣光。</w:t>
      </w:r>
      <w:r>
        <w:rPr>
          <w:rFonts w:hint="eastAsia" w:ascii="仿宋_GB2312" w:hAnsi="仿宋_GB2312" w:eastAsia="仿宋_GB2312" w:cs="仿宋_GB2312"/>
          <w:sz w:val="32"/>
          <w:szCs w:val="32"/>
        </w:rPr>
        <w:t>联合多部门开展清明祭英烈活动，参与群众</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000余人次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spacing w:val="0"/>
          <w:sz w:val="32"/>
          <w:szCs w:val="32"/>
          <w:lang w:val="en-US" w:eastAsia="zh-CN"/>
        </w:rPr>
        <w:t>充分发挥烈士纪念设施赓续红色血脉、传承英烈精神的宣传教育功能。常态化开展退役军人及其他优抚对象建档立卡、优待证申领、光荣牌悬挂和立功送喜报工作，新增建档立卡退役军人及其他优抚对象</w:t>
      </w:r>
      <w:r>
        <w:rPr>
          <w:rFonts w:hint="default" w:ascii="仿宋_GB2312" w:hAnsi="仿宋_GB2312" w:eastAsia="仿宋_GB2312" w:cs="仿宋_GB2312"/>
          <w:b w:val="0"/>
          <w:bCs w:val="0"/>
          <w:spacing w:val="0"/>
          <w:sz w:val="32"/>
          <w:szCs w:val="32"/>
          <w:lang w:val="en-US" w:eastAsia="zh-CN"/>
        </w:rPr>
        <w:t>9</w:t>
      </w:r>
      <w:r>
        <w:rPr>
          <w:rFonts w:hint="eastAsia" w:ascii="仿宋_GB2312" w:hAnsi="仿宋_GB2312" w:eastAsia="仿宋_GB2312" w:cs="仿宋_GB2312"/>
          <w:b w:val="0"/>
          <w:bCs w:val="0"/>
          <w:spacing w:val="0"/>
          <w:sz w:val="32"/>
          <w:szCs w:val="32"/>
          <w:lang w:val="en-US" w:eastAsia="zh-CN"/>
        </w:rPr>
        <w:t>人，并向其发放优待证、悬挂光荣牌，全旗</w:t>
      </w:r>
      <w:r>
        <w:rPr>
          <w:rFonts w:hint="eastAsia" w:ascii="仿宋_GB2312" w:hAnsi="仿宋_GB2312" w:eastAsia="仿宋_GB2312" w:cs="仿宋_GB2312"/>
          <w:spacing w:val="0"/>
          <w:sz w:val="32"/>
          <w:szCs w:val="32"/>
          <w:lang w:eastAsia="zh-CN"/>
        </w:rPr>
        <w:t>建档立卡退役军人及其他优抚对象</w:t>
      </w:r>
      <w:r>
        <w:rPr>
          <w:rFonts w:hint="eastAsia" w:ascii="仿宋_GB2312" w:hAnsi="仿宋_GB2312" w:eastAsia="仿宋_GB2312" w:cs="仿宋_GB2312"/>
          <w:spacing w:val="0"/>
          <w:sz w:val="32"/>
          <w:szCs w:val="32"/>
          <w:lang w:val="en-US" w:eastAsia="zh-CN"/>
        </w:rPr>
        <w:t>达到2079</w:t>
      </w:r>
      <w:r>
        <w:rPr>
          <w:rFonts w:hint="eastAsia" w:ascii="仿宋_GB2312" w:hAnsi="仿宋_GB2312" w:eastAsia="仿宋_GB2312" w:cs="仿宋_GB2312"/>
          <w:spacing w:val="0"/>
          <w:sz w:val="32"/>
          <w:szCs w:val="32"/>
          <w:lang w:eastAsia="zh-CN"/>
        </w:rPr>
        <w:t>人。</w:t>
      </w:r>
      <w:r>
        <w:rPr>
          <w:rFonts w:hint="eastAsia" w:ascii="仿宋_GB2312" w:hAnsi="仿宋_GB2312" w:eastAsia="仿宋_GB2312" w:cs="仿宋_GB2312"/>
          <w:b w:val="0"/>
          <w:bCs w:val="0"/>
          <w:spacing w:val="0"/>
          <w:sz w:val="32"/>
          <w:szCs w:val="32"/>
          <w:lang w:val="en-US" w:eastAsia="zh-CN"/>
        </w:rPr>
        <w:t>为10名立功人员送喜报并发放奖励金3.3万元。</w:t>
      </w:r>
    </w:p>
    <w:p w14:paraId="04793E74">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pacing w:val="0"/>
          <w:sz w:val="32"/>
          <w:szCs w:val="32"/>
          <w:lang w:val="en-US" w:eastAsia="zh-CN"/>
        </w:rPr>
      </w:pPr>
      <w:r>
        <w:rPr>
          <w:rFonts w:hint="eastAsia" w:ascii="楷体_GB2312" w:hAnsi="楷体_GB2312" w:eastAsia="楷体_GB2312" w:cs="楷体_GB2312"/>
          <w:b w:val="0"/>
          <w:bCs w:val="0"/>
          <w:spacing w:val="0"/>
          <w:sz w:val="32"/>
          <w:szCs w:val="32"/>
          <w:lang w:val="en-US" w:eastAsia="zh-CN"/>
        </w:rPr>
        <w:t>（六）夯实基层基础，服务保障能力持续提升。</w:t>
      </w:r>
      <w:r>
        <w:rPr>
          <w:rFonts w:hint="eastAsia" w:ascii="仿宋_GB2312" w:hAnsi="仿宋_GB2312" w:eastAsia="仿宋_GB2312" w:cs="仿宋_GB2312"/>
          <w:b w:val="0"/>
          <w:bCs w:val="0"/>
          <w:spacing w:val="0"/>
          <w:sz w:val="32"/>
          <w:szCs w:val="32"/>
          <w:lang w:val="en-US" w:eastAsia="zh-CN"/>
        </w:rPr>
        <w:t>持续推进退役军人事务员队伍建设，审核确定基层退役军人事务员27名，高质量完成2025年度退役军人服务中心（站）数据统计填报工作。向各苏木镇拨付退役军人服务保障经费102.62万元，全力支持鼓励基层退役军人服务站常态化开展思想政治教育和</w:t>
      </w:r>
      <w:r>
        <w:rPr>
          <w:rFonts w:hint="eastAsia" w:ascii="仿宋_GB2312" w:hAnsi="仿宋_GB2312" w:eastAsia="仿宋_GB2312" w:cs="仿宋_GB2312"/>
          <w:spacing w:val="0"/>
          <w:sz w:val="32"/>
          <w:szCs w:val="32"/>
          <w:lang w:val="en-US" w:eastAsia="zh-CN"/>
        </w:rPr>
        <w:t>“四尊崇、五关爱、六必访”活动。</w:t>
      </w:r>
    </w:p>
    <w:p w14:paraId="7D827701">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color w:val="FF0000"/>
          <w:spacing w:val="0"/>
          <w:sz w:val="32"/>
          <w:szCs w:val="32"/>
          <w:lang w:val="en-US" w:eastAsia="zh-CN"/>
        </w:rPr>
      </w:pPr>
      <w:r>
        <w:rPr>
          <w:rFonts w:hint="eastAsia" w:ascii="楷体_GB2312" w:hAnsi="楷体_GB2312" w:eastAsia="楷体_GB2312" w:cs="楷体_GB2312"/>
          <w:spacing w:val="0"/>
          <w:sz w:val="32"/>
          <w:szCs w:val="32"/>
          <w:lang w:val="en-US" w:eastAsia="zh-CN"/>
        </w:rPr>
        <w:t>（七）压实主体责任，全面从严治党扎实推进。</w:t>
      </w:r>
      <w:r>
        <w:rPr>
          <w:rFonts w:hint="eastAsia" w:ascii="仿宋_GB2312" w:hAnsi="仿宋_GB2312" w:eastAsia="仿宋_GB2312" w:cs="仿宋_GB2312"/>
          <w:spacing w:val="0"/>
          <w:sz w:val="32"/>
          <w:szCs w:val="32"/>
          <w:lang w:val="en-US" w:eastAsia="zh-CN"/>
        </w:rPr>
        <w:t>扎实开展树立和践行正确政绩观学习教育，深入推进选人用人不正之风集中整治。围绕上述主题，开展集中学习10次、专题研讨5次、举办读书班1期、警示教育4次，领导班子和班子成员共查摆选人用人不正之风问题4条。始终将党风廉政建设贯穿于退役军人工作全过程、各环节，聚焦政府采购、待遇审核、资金发放等重点领域，强化廉政风险防范，落实“三重一大”决策机制。上半年，累计梳理廉政风险34条、制定防范措施38条，通过党组会议研究决定“三重一大”31件。持之以恒落实中央八项规定精神，常态化纠正“四风”问题，主动接受纪检监察监督，以过硬作风护航退役军人服务保障提质增效。严格落实意识形态工作责任制，牢牢把握正确舆论导向，</w:t>
      </w:r>
      <w:r>
        <w:rPr>
          <w:rFonts w:hint="eastAsia" w:ascii="仿宋_GB2312" w:hAnsi="仿宋_GB2312" w:eastAsia="仿宋_GB2312" w:cs="仿宋_GB2312"/>
          <w:sz w:val="32"/>
          <w:szCs w:val="32"/>
          <w:lang w:val="en-US" w:eastAsia="zh-CN"/>
        </w:rPr>
        <w:t>上半年</w:t>
      </w:r>
      <w:r>
        <w:rPr>
          <w:rFonts w:hint="eastAsia" w:ascii="仿宋_GB2312" w:hAnsi="仿宋_GB2312" w:eastAsia="仿宋_GB2312" w:cs="仿宋_GB2312"/>
          <w:sz w:val="32"/>
          <w:szCs w:val="32"/>
        </w:rPr>
        <w:t>开展意识形态</w:t>
      </w:r>
      <w:r>
        <w:rPr>
          <w:rFonts w:hint="eastAsia" w:ascii="仿宋_GB2312" w:hAnsi="仿宋_GB2312" w:eastAsia="仿宋_GB2312" w:cs="仿宋_GB2312"/>
          <w:sz w:val="32"/>
          <w:szCs w:val="32"/>
          <w:lang w:val="en-US" w:eastAsia="zh-CN"/>
        </w:rPr>
        <w:t>分析</w:t>
      </w:r>
      <w:r>
        <w:rPr>
          <w:rFonts w:hint="eastAsia" w:ascii="仿宋_GB2312" w:hAnsi="仿宋_GB2312" w:eastAsia="仿宋_GB2312" w:cs="仿宋_GB2312"/>
          <w:sz w:val="32"/>
          <w:szCs w:val="32"/>
        </w:rPr>
        <w:t>研判、工作部署会各2次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color w:val="auto"/>
          <w:sz w:val="32"/>
          <w:szCs w:val="32"/>
          <w:lang w:val="en-US" w:eastAsia="zh-CN"/>
        </w:rPr>
        <w:t>意识形态工作专题会1次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围绕法治建设、铸牢中华民族共同体意识等内容</w:t>
      </w:r>
      <w:r>
        <w:rPr>
          <w:rFonts w:hint="eastAsia" w:ascii="仿宋_GB2312" w:hAnsi="仿宋_GB2312" w:eastAsia="仿宋_GB2312" w:cs="仿宋_GB2312"/>
          <w:sz w:val="32"/>
          <w:szCs w:val="32"/>
        </w:rPr>
        <w:t>累计开展宣讲宣传9场</w:t>
      </w:r>
      <w:r>
        <w:rPr>
          <w:rFonts w:hint="eastAsia" w:ascii="仿宋_GB2312" w:hAnsi="仿宋_GB2312" w:eastAsia="仿宋_GB2312" w:cs="仿宋_GB2312"/>
          <w:sz w:val="32"/>
          <w:szCs w:val="32"/>
          <w:lang w:val="en-US" w:eastAsia="zh-CN"/>
        </w:rPr>
        <w:t>次</w:t>
      </w:r>
      <w:r>
        <w:rPr>
          <w:rFonts w:hint="eastAsia" w:ascii="仿宋_GB2312" w:hAnsi="仿宋_GB2312" w:eastAsia="仿宋_GB2312" w:cs="仿宋_GB2312"/>
          <w:sz w:val="32"/>
          <w:szCs w:val="32"/>
        </w:rPr>
        <w:t>，覆盖干部群众</w:t>
      </w:r>
      <w:r>
        <w:rPr>
          <w:rFonts w:hint="eastAsia" w:ascii="仿宋_GB2312" w:hAnsi="仿宋_GB2312" w:eastAsia="仿宋_GB2312" w:cs="仿宋_GB2312"/>
          <w:sz w:val="32"/>
          <w:szCs w:val="32"/>
          <w:lang w:val="en-US" w:eastAsia="zh-CN"/>
        </w:rPr>
        <w:t>2000</w:t>
      </w:r>
      <w:r>
        <w:rPr>
          <w:rFonts w:hint="eastAsia" w:ascii="仿宋_GB2312" w:hAnsi="仿宋_GB2312" w:eastAsia="仿宋_GB2312" w:cs="仿宋_GB2312"/>
          <w:sz w:val="32"/>
          <w:szCs w:val="32"/>
        </w:rPr>
        <w:t>余人次</w:t>
      </w:r>
      <w:r>
        <w:rPr>
          <w:rFonts w:hint="eastAsia" w:ascii="仿宋_GB2312" w:hAnsi="仿宋_GB2312" w:eastAsia="仿宋_GB2312" w:cs="仿宋_GB2312"/>
          <w:sz w:val="32"/>
          <w:szCs w:val="32"/>
          <w:lang w:eastAsia="zh-CN"/>
        </w:rPr>
        <w:t>。</w:t>
      </w:r>
    </w:p>
    <w:p w14:paraId="47F20E4C">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仿宋_GB2312" w:hAnsi="仿宋_GB2312" w:eastAsia="仿宋_GB2312" w:cs="仿宋_GB2312"/>
          <w:spacing w:val="0"/>
          <w:sz w:val="32"/>
          <w:szCs w:val="32"/>
          <w:lang w:val="en-US" w:eastAsia="zh-CN"/>
        </w:rPr>
      </w:pPr>
      <w:r>
        <w:rPr>
          <w:rFonts w:hint="eastAsia" w:ascii="黑体" w:hAnsi="黑体" w:eastAsia="黑体" w:cs="黑体"/>
          <w:spacing w:val="0"/>
          <w:sz w:val="32"/>
          <w:szCs w:val="32"/>
          <w:lang w:val="en-US" w:eastAsia="zh-CN"/>
        </w:rPr>
        <w:t>二、存在的问题</w:t>
      </w:r>
    </w:p>
    <w:p w14:paraId="0143CAAD">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both"/>
        <w:textAlignment w:val="auto"/>
        <w:rPr>
          <w:rFonts w:hint="default" w:ascii="仿宋_GB2312" w:hAnsi="仿宋_GB2312" w:eastAsia="仿宋_GB2312" w:cs="仿宋_GB2312"/>
          <w:spacing w:val="0"/>
          <w:sz w:val="32"/>
          <w:szCs w:val="32"/>
          <w:lang w:val="en-US" w:eastAsia="zh-CN"/>
        </w:rPr>
      </w:pPr>
      <w:r>
        <w:rPr>
          <w:rFonts w:hint="eastAsia" w:ascii="仿宋_GB2312" w:hAnsi="仿宋_GB2312" w:eastAsia="仿宋_GB2312" w:cs="仿宋_GB2312"/>
          <w:b/>
          <w:bCs/>
          <w:spacing w:val="0"/>
          <w:sz w:val="32"/>
          <w:szCs w:val="32"/>
          <w:lang w:val="en-US" w:eastAsia="zh-CN"/>
        </w:rPr>
        <w:t>一是</w:t>
      </w:r>
      <w:r>
        <w:rPr>
          <w:rFonts w:hint="eastAsia" w:ascii="仿宋_GB2312" w:hAnsi="仿宋_GB2312" w:eastAsia="仿宋_GB2312" w:cs="仿宋_GB2312"/>
          <w:spacing w:val="0"/>
          <w:sz w:val="32"/>
          <w:szCs w:val="32"/>
          <w:lang w:val="en-US" w:eastAsia="zh-CN"/>
        </w:rPr>
        <w:t>军地协同联动机制落实不到位，军地各部门在落实退役军人就业、医疗、住房等优待政策方面还有差距。</w:t>
      </w:r>
      <w:r>
        <w:rPr>
          <w:rFonts w:hint="eastAsia" w:ascii="仿宋_GB2312" w:hAnsi="仿宋_GB2312" w:eastAsia="仿宋_GB2312" w:cs="仿宋_GB2312"/>
          <w:b/>
          <w:bCs/>
          <w:spacing w:val="0"/>
          <w:sz w:val="32"/>
          <w:szCs w:val="32"/>
          <w:lang w:val="en-US" w:eastAsia="zh-CN"/>
        </w:rPr>
        <w:t>二是</w:t>
      </w:r>
      <w:r>
        <w:rPr>
          <w:rFonts w:hint="eastAsia" w:ascii="仿宋_GB2312" w:hAnsi="仿宋_GB2312" w:eastAsia="仿宋_GB2312" w:cs="仿宋_GB2312"/>
          <w:spacing w:val="0"/>
          <w:sz w:val="32"/>
          <w:szCs w:val="32"/>
          <w:lang w:val="en-US" w:eastAsia="zh-CN"/>
        </w:rPr>
        <w:t>退役军人诉求愿望日益多元，涉及身份认定、就业安置、待遇保障、困难救助等多个方面，特别是历年来安置到公安系统退役士兵解决编制问题或调离公安队伍的诉求十分强烈，已成为我旗涉军领域信访矛盾的重点风险隐患。</w:t>
      </w:r>
    </w:p>
    <w:p w14:paraId="0CD812DA">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黑体" w:hAnsi="黑体" w:eastAsia="黑体" w:cs="黑体"/>
          <w:spacing w:val="0"/>
          <w:sz w:val="32"/>
          <w:szCs w:val="32"/>
          <w:lang w:val="en-US" w:eastAsia="zh-CN"/>
        </w:rPr>
      </w:pPr>
      <w:r>
        <w:rPr>
          <w:rFonts w:hint="eastAsia" w:ascii="黑体" w:hAnsi="黑体" w:eastAsia="黑体" w:cs="黑体"/>
          <w:spacing w:val="0"/>
          <w:sz w:val="32"/>
          <w:szCs w:val="32"/>
          <w:lang w:val="en-US" w:eastAsia="zh-CN"/>
        </w:rPr>
        <w:t>三、下半年工作计划</w:t>
      </w:r>
    </w:p>
    <w:p w14:paraId="66C38BA1">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仿宋_GB2312" w:hAnsi="仿宋_GB2312" w:eastAsia="仿宋_GB2312" w:cs="仿宋_GB2312"/>
          <w:color w:val="FF0000"/>
          <w:spacing w:val="0"/>
          <w:sz w:val="32"/>
          <w:szCs w:val="32"/>
          <w:lang w:val="en-US" w:eastAsia="zh-CN"/>
        </w:rPr>
      </w:pPr>
      <w:r>
        <w:rPr>
          <w:rFonts w:hint="eastAsia" w:ascii="仿宋_GB2312" w:hAnsi="仿宋_GB2312" w:eastAsia="仿宋_GB2312" w:cs="仿宋_GB2312"/>
          <w:spacing w:val="0"/>
          <w:sz w:val="32"/>
          <w:szCs w:val="32"/>
          <w:lang w:val="en-US" w:eastAsia="zh-CN"/>
        </w:rPr>
        <w:t>下半年，我们将坚决贯彻落实党中央、国务院、中央军委决策部署和各级党委、政府工作要求，始终秉承“让军人成为全社会尊崇的职业、让退役军人成为全社会尊重的人”的工作理念，切实把退役军人接收安置好、服务保障好、教育管理好、作用发挥好、权益维护好”，推动退役军人服务保障工作提质增效。重点要做好以下几方面工作。</w:t>
      </w:r>
    </w:p>
    <w:p w14:paraId="55591089">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both"/>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b/>
          <w:bCs/>
          <w:spacing w:val="0"/>
          <w:sz w:val="32"/>
          <w:szCs w:val="32"/>
          <w:lang w:val="en-US" w:eastAsia="zh-CN"/>
        </w:rPr>
        <w:t>一要突出思政引领，凝聚奋进力量。</w:t>
      </w:r>
      <w:r>
        <w:rPr>
          <w:rFonts w:hint="eastAsia" w:ascii="仿宋_GB2312" w:hAnsi="仿宋_GB2312" w:eastAsia="仿宋_GB2312" w:cs="仿宋_GB2312"/>
          <w:spacing w:val="0"/>
          <w:sz w:val="32"/>
          <w:szCs w:val="32"/>
          <w:lang w:val="en-US" w:eastAsia="zh-CN"/>
        </w:rPr>
        <w:t>建强“老兵”宣讲和退役军人志愿服务两支队伍，完善工作机制，创新宣讲形式，丰富服务载体，提升活动质效，引导广大退役军人“退役不褪色、永远跟党走”，在各个领域、各条战线发挥示范引领作用。</w:t>
      </w:r>
    </w:p>
    <w:p w14:paraId="531439B9">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both"/>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b/>
          <w:bCs/>
          <w:spacing w:val="0"/>
          <w:sz w:val="32"/>
          <w:szCs w:val="32"/>
          <w:lang w:val="en-US" w:eastAsia="zh-CN"/>
        </w:rPr>
        <w:t>二要加强帮扶援助，维护合法权益。</w:t>
      </w:r>
      <w:r>
        <w:rPr>
          <w:rFonts w:hint="eastAsia" w:ascii="仿宋_GB2312" w:hAnsi="仿宋_GB2312" w:eastAsia="仿宋_GB2312" w:cs="仿宋_GB2312"/>
          <w:b w:val="0"/>
          <w:bCs w:val="0"/>
          <w:spacing w:val="0"/>
          <w:sz w:val="32"/>
          <w:szCs w:val="32"/>
          <w:lang w:val="en-US" w:eastAsia="zh-CN"/>
        </w:rPr>
        <w:t>加大对遭遇重大变故、患有重大疾病退役军人家庭的</w:t>
      </w:r>
      <w:r>
        <w:rPr>
          <w:rFonts w:hint="eastAsia" w:ascii="仿宋_GB2312" w:hAnsi="仿宋_GB2312" w:eastAsia="仿宋_GB2312" w:cs="仿宋_GB2312"/>
          <w:spacing w:val="0"/>
          <w:sz w:val="32"/>
          <w:szCs w:val="32"/>
          <w:lang w:val="en-US" w:eastAsia="zh-CN"/>
        </w:rPr>
        <w:t>帮扶援助力度，切实解决</w:t>
      </w:r>
      <w:r>
        <w:rPr>
          <w:rFonts w:hint="eastAsia" w:ascii="仿宋_GB2312" w:hAnsi="仿宋_GB2312" w:eastAsia="仿宋_GB2312" w:cs="仿宋_GB2312"/>
          <w:b w:val="0"/>
          <w:bCs w:val="0"/>
          <w:spacing w:val="0"/>
          <w:sz w:val="32"/>
          <w:szCs w:val="32"/>
          <w:lang w:val="en-US" w:eastAsia="zh-CN"/>
        </w:rPr>
        <w:t>退役军人现实困难。密切关注涉军领域舆情动态，畅通诉求反映渠道，依法依规</w:t>
      </w:r>
      <w:r>
        <w:rPr>
          <w:rFonts w:hint="eastAsia" w:ascii="仿宋_GB2312" w:hAnsi="仿宋_GB2312" w:eastAsia="仿宋_GB2312" w:cs="仿宋_GB2312"/>
          <w:spacing w:val="0"/>
          <w:sz w:val="32"/>
          <w:szCs w:val="32"/>
          <w:lang w:val="en-US" w:eastAsia="zh-CN"/>
        </w:rPr>
        <w:t>妥善回应合理诉求，有效维护合法权益，确保退役军人信访矛盾总体平稳可控。</w:t>
      </w:r>
    </w:p>
    <w:p w14:paraId="1362DC64">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both"/>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b/>
          <w:bCs/>
          <w:spacing w:val="0"/>
          <w:sz w:val="32"/>
          <w:szCs w:val="32"/>
          <w:lang w:val="en-US" w:eastAsia="zh-CN"/>
        </w:rPr>
        <w:t>三要做好就业安置，服务发展大局。</w:t>
      </w:r>
      <w:r>
        <w:rPr>
          <w:rFonts w:hint="eastAsia" w:ascii="仿宋_GB2312" w:hAnsi="仿宋_GB2312" w:eastAsia="仿宋_GB2312" w:cs="仿宋_GB2312"/>
          <w:b w:val="0"/>
          <w:bCs w:val="0"/>
          <w:spacing w:val="0"/>
          <w:sz w:val="32"/>
          <w:szCs w:val="32"/>
          <w:lang w:val="en-US" w:eastAsia="zh-CN"/>
        </w:rPr>
        <w:t>有序做好秋季返乡退役军人接收安置工作，精心组织退役士兵适应性培训。</w:t>
      </w:r>
      <w:r>
        <w:rPr>
          <w:rFonts w:hint="eastAsia" w:ascii="仿宋_GB2312" w:hAnsi="仿宋_GB2312" w:eastAsia="仿宋_GB2312" w:cs="仿宋_GB2312"/>
          <w:spacing w:val="0"/>
          <w:sz w:val="32"/>
          <w:szCs w:val="32"/>
          <w:lang w:val="en-US" w:eastAsia="zh-CN"/>
        </w:rPr>
        <w:t>持续拓宽就业渠道，积极搭建就业平台，举办退役军人驾驶证增驾技能培训班和专场招聘会。全面摸排全旗60周岁以下未就业且有就业意愿退役军人底数，建立“一人一档”动态台账，精准掌握个人特长、就业需求和创业意向。强化“崇军贷”宣传推介，鼓励支持退役军人返乡创业，引导其成为全旗经济建设、基层治理、乡村振兴的重要力量。</w:t>
      </w:r>
    </w:p>
    <w:p w14:paraId="7214ED16">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both"/>
        <w:textAlignment w:val="auto"/>
        <w:rPr>
          <w:rFonts w:hint="default" w:ascii="仿宋_GB2312" w:hAnsi="仿宋_GB2312" w:eastAsia="仿宋_GB2312" w:cs="仿宋_GB2312"/>
          <w:spacing w:val="0"/>
          <w:sz w:val="32"/>
          <w:szCs w:val="32"/>
          <w:lang w:val="en-US" w:eastAsia="zh-CN"/>
        </w:rPr>
      </w:pPr>
      <w:r>
        <w:rPr>
          <w:rFonts w:hint="eastAsia" w:ascii="仿宋_GB2312" w:hAnsi="仿宋_GB2312" w:eastAsia="仿宋_GB2312" w:cs="仿宋_GB2312"/>
          <w:b/>
          <w:bCs/>
          <w:spacing w:val="0"/>
          <w:sz w:val="32"/>
          <w:szCs w:val="32"/>
          <w:lang w:val="en-US" w:eastAsia="zh-CN"/>
        </w:rPr>
        <w:t>四要深化双拥共建，营造崇军氛围。</w:t>
      </w:r>
      <w:r>
        <w:rPr>
          <w:rFonts w:hint="eastAsia" w:ascii="仿宋_GB2312" w:hAnsi="仿宋_GB2312" w:eastAsia="仿宋_GB2312" w:cs="仿宋_GB2312"/>
          <w:b w:val="0"/>
          <w:bCs w:val="0"/>
          <w:spacing w:val="0"/>
          <w:sz w:val="32"/>
          <w:szCs w:val="32"/>
          <w:lang w:val="en-US" w:eastAsia="zh-CN"/>
        </w:rPr>
        <w:t>组织</w:t>
      </w:r>
      <w:r>
        <w:rPr>
          <w:rFonts w:hint="eastAsia" w:ascii="仿宋_GB2312" w:hAnsi="仿宋_GB2312" w:eastAsia="仿宋_GB2312" w:cs="仿宋_GB2312"/>
          <w:spacing w:val="0"/>
          <w:sz w:val="32"/>
          <w:szCs w:val="32"/>
          <w:lang w:val="en-US" w:eastAsia="zh-CN"/>
        </w:rPr>
        <w:t>开展“八一”慰问活动，切实传递党和政府对军队建设、部队官兵及广大退役军人的关心关爱。持续推进边防连队共建活动，签订共建协议、开展相关活动。组织开展优抚对象年度确认工作，按时足额发放各类优抚补助资金。认真承办9·30烈士纪念日公祭活动，崇尚英烈精神，赓续红色血脉。</w:t>
      </w:r>
    </w:p>
    <w:p w14:paraId="06083F19">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3" w:firstLineChars="200"/>
        <w:jc w:val="both"/>
        <w:textAlignment w:val="auto"/>
        <w:rPr>
          <w:rFonts w:hint="default"/>
          <w:b w:val="0"/>
          <w:bCs w:val="0"/>
          <w:lang w:val="en-US"/>
        </w:rPr>
      </w:pPr>
      <w:r>
        <w:rPr>
          <w:rFonts w:hint="eastAsia" w:ascii="仿宋_GB2312" w:hAnsi="仿宋_GB2312" w:eastAsia="仿宋_GB2312" w:cs="仿宋_GB2312"/>
          <w:b/>
          <w:bCs/>
          <w:spacing w:val="0"/>
          <w:sz w:val="32"/>
          <w:szCs w:val="32"/>
          <w:lang w:val="en-US" w:eastAsia="zh-CN"/>
        </w:rPr>
        <w:t>五要加强自身建设，锻造过硬队伍。</w:t>
      </w:r>
      <w:r>
        <w:rPr>
          <w:rFonts w:hint="eastAsia" w:ascii="仿宋_GB2312" w:hAnsi="仿宋_GB2312" w:eastAsia="仿宋_GB2312" w:cs="仿宋_GB2312"/>
          <w:b w:val="0"/>
          <w:bCs w:val="0"/>
          <w:spacing w:val="0"/>
          <w:sz w:val="32"/>
          <w:szCs w:val="32"/>
          <w:lang w:val="en-US" w:eastAsia="zh-CN"/>
        </w:rPr>
        <w:t>严格落实全面从严治党主体责任，统筹抓好机关党建、党风廉政建设、意识形态等重点工作。巩固拓展树立和践行正确政绩观学习教育成果，以务实笃行、精准施策的作风推动退役军人服务保障提质增效，切实让广大退役军人的获得感更加充实、更有保障、更可持续。</w:t>
      </w:r>
    </w:p>
    <w:p w14:paraId="05AE1A55">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420" w:firstLineChars="200"/>
        <w:jc w:val="both"/>
        <w:textAlignment w:val="auto"/>
        <w:rPr>
          <w:rFonts w:hint="default"/>
          <w:lang w:val="en-US"/>
        </w:rPr>
      </w:pPr>
    </w:p>
    <w:p w14:paraId="3838F50C">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554B39EE">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6C72A4B9">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68B9F981">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01308FA0">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27374DF1">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1B850889">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2C36790B">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41B142F1">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3F23D720">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1B5E3DB1">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35E266C4">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6DD88965">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2FAE795A">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479D79B8">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7931D378">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6A92FE9C">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005CA630">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32049F59">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4EBF8976">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71B02ECF">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2A694C97">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7603CF72">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2C8DCBAE">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19E97696">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45D69958">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2E62006A">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1296BC28">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6AB578A0">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61149068">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3FDAEE1E">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569A4367">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697AB542">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4B4AF450">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2F2A32D7">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7CF46E7B">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7D1A37A5">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01182004">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20EE0AD1">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eastAsia" w:ascii="仿宋_GB2312" w:hAnsi="仿宋_GB2312" w:eastAsia="仿宋_GB2312" w:cs="仿宋_GB2312"/>
          <w:sz w:val="28"/>
          <w:szCs w:val="28"/>
        </w:rPr>
      </w:pPr>
    </w:p>
    <w:p w14:paraId="1B8C2EE7">
      <w:pPr>
        <w:keepNext w:val="0"/>
        <w:keepLines w:val="0"/>
        <w:pageBreakBefore w:val="0"/>
        <w:widowControl w:val="0"/>
        <w:kinsoku/>
        <w:wordWrap/>
        <w:overflowPunct/>
        <w:topLinePunct w:val="0"/>
        <w:autoSpaceDE/>
        <w:autoSpaceDN/>
        <w:bidi w:val="0"/>
        <w:adjustRightInd/>
        <w:snapToGrid/>
        <w:spacing w:line="579" w:lineRule="exact"/>
        <w:ind w:firstLine="280" w:firstLineChars="100"/>
        <w:textAlignment w:val="auto"/>
        <w:rPr>
          <w:rFonts w:hint="default"/>
          <w:lang w:val="en-US" w:eastAsia="zh-CN"/>
        </w:rPr>
      </w:pPr>
      <w:r>
        <w:rPr>
          <w:sz w:val="28"/>
        </w:rPr>
        <mc:AlternateContent>
          <mc:Choice Requires="wpg">
            <w:drawing>
              <wp:anchor distT="0" distB="0" distL="114300" distR="114300" simplePos="0" relativeHeight="251660288" behindDoc="0" locked="0" layoutInCell="1" allowOverlap="1">
                <wp:simplePos x="0" y="0"/>
                <wp:positionH relativeFrom="column">
                  <wp:posOffset>19685</wp:posOffset>
                </wp:positionH>
                <wp:positionV relativeFrom="page">
                  <wp:posOffset>9087485</wp:posOffset>
                </wp:positionV>
                <wp:extent cx="5615940" cy="368935"/>
                <wp:effectExtent l="0" t="6350" r="3810" b="24765"/>
                <wp:wrapNone/>
                <wp:docPr id="10" name="组合 10"/>
                <wp:cNvGraphicFramePr/>
                <a:graphic xmlns:a="http://schemas.openxmlformats.org/drawingml/2006/main">
                  <a:graphicData uri="http://schemas.microsoft.com/office/word/2010/wordprocessingGroup">
                    <wpg:wgp>
                      <wpg:cNvGrpSpPr/>
                      <wpg:grpSpPr>
                        <a:xfrm>
                          <a:off x="0" y="0"/>
                          <a:ext cx="5615940" cy="368935"/>
                          <a:chOff x="4283" y="65942"/>
                          <a:chExt cx="8844" cy="581"/>
                        </a:xfrm>
                        <a:effectLst/>
                      </wpg:grpSpPr>
                      <wps:wsp>
                        <wps:cNvPr id="8" name="直接连接符 8"/>
                        <wps:cNvCnPr/>
                        <wps:spPr>
                          <a:xfrm>
                            <a:off x="4283" y="66503"/>
                            <a:ext cx="8844" cy="20"/>
                          </a:xfrm>
                          <a:prstGeom prst="line">
                            <a:avLst/>
                          </a:prstGeom>
                          <a:ln w="12700" cap="flat" cmpd="sng">
                            <a:solidFill>
                              <a:srgbClr val="000000"/>
                            </a:solidFill>
                            <a:prstDash val="solid"/>
                            <a:headEnd type="none" w="med" len="med"/>
                            <a:tailEnd type="none" w="med" len="med"/>
                          </a:ln>
                          <a:effectLst/>
                        </wps:spPr>
                        <wps:bodyPr upright="1"/>
                      </wps:wsp>
                      <wps:wsp>
                        <wps:cNvPr id="9" name="直接连接符 9"/>
                        <wps:cNvCnPr/>
                        <wps:spPr>
                          <a:xfrm>
                            <a:off x="4283" y="65942"/>
                            <a:ext cx="8844" cy="20"/>
                          </a:xfrm>
                          <a:prstGeom prst="line">
                            <a:avLst/>
                          </a:prstGeom>
                          <a:ln w="12700"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1.55pt;margin-top:715.55pt;height:29.05pt;width:442.2pt;mso-position-vertical-relative:page;z-index:251660288;mso-width-relative:page;mso-height-relative:page;" coordorigin="4283,65942" coordsize="8844,581" o:gfxdata="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A5+1WQ2gAA&#10;AAsBAAAPAAAAAAAAAAEAIAAAACIAAABkcnMvZG93bnJldi54bWxQSwECFAAUAAAACACHTuJAsC4W&#10;L44CAABSBwAADgAAAAAAAAABACAAAAApAQAAZHJzL2Uyb0RvYy54bWxQSwUGAAAAAAYABgBZAQAA&#10;KQYAAAAA&#10;">
                <o:lock v:ext="edit" aspectratio="f"/>
                <v:line id="_x0000_s1026" o:spid="_x0000_s1026" o:spt="20" style="position:absolute;left:4283;top:66503;height:20;width:8844;" filled="f" stroked="t" coordsize="21600,21600" o:gfxdata="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rCazK5AAAA2gAA&#10;AA8AAAAAAAAAAQAgAAAAIgAAAGRycy9kb3ducmV2LnhtbFBLAQIUABQAAAAIAIdO4kAzLwWeOwAA&#10;ADkAAAAQAAAAAAAAAAEAIAAAAAgBAABkcnMvc2hhcGV4bWwueG1sUEsFBgAAAAAGAAYAWwEAALID&#10;AAAAAA==&#10;">
                  <v:fill on="f" focussize="0,0"/>
                  <v:stroke weight="1pt" color="#000000" joinstyle="round"/>
                  <v:imagedata o:title=""/>
                  <o:lock v:ext="edit" aspectratio="f"/>
                </v:line>
                <v:line id="_x0000_s1026" o:spid="_x0000_s1026" o:spt="20" style="position:absolute;left:4283;top:65942;height:20;width:8844;" filled="f" stroked="t" coordsize="21600,21600" o:gfxdata="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WOzqm8AAAA&#10;2g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group>
            </w:pict>
          </mc:Fallback>
        </mc:AlternateContent>
      </w:r>
      <w:r>
        <w:rPr>
          <w:rFonts w:hint="eastAsia" w:ascii="仿宋_GB2312" w:hAnsi="仿宋_GB2312" w:eastAsia="仿宋_GB2312" w:cs="仿宋_GB2312"/>
          <w:sz w:val="28"/>
          <w:szCs w:val="28"/>
        </w:rPr>
        <w:t>乌审旗</w:t>
      </w:r>
      <w:r>
        <w:rPr>
          <w:rFonts w:hint="eastAsia" w:ascii="仿宋_GB2312" w:hAnsi="仿宋_GB2312" w:eastAsia="仿宋_GB2312" w:cs="仿宋_GB2312"/>
          <w:sz w:val="28"/>
          <w:szCs w:val="28"/>
          <w:lang w:eastAsia="zh-CN"/>
        </w:rPr>
        <w:t>退役军人事务局</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日印</w:t>
      </w:r>
      <w:r>
        <w:rPr>
          <w:rFonts w:hint="eastAsia" w:ascii="仿宋_GB2312" w:hAnsi="仿宋_GB2312" w:eastAsia="仿宋_GB2312" w:cs="仿宋_GB2312"/>
          <w:sz w:val="28"/>
          <w:szCs w:val="28"/>
          <w:lang w:val="en-US" w:eastAsia="zh-CN"/>
        </w:rPr>
        <w:t>发</w:t>
      </w:r>
    </w:p>
    <w:sectPr>
      <w:footerReference r:id="rId3" w:type="default"/>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37B2A">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AE317FD">
                          <w:pPr>
                            <w:pStyle w:val="6"/>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0AE317FD">
                    <w:pPr>
                      <w:pStyle w:val="6"/>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1"/>
  <w:bordersDoNotSurroundFooter w:val="1"/>
  <w:attachedTemplate r:id="rId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4M2RmNGMzMDJiMzFlMmY0MWZkODdlNTZkN2FkNDkifQ=="/>
  </w:docVars>
  <w:rsids>
    <w:rsidRoot w:val="766A5816"/>
    <w:rsid w:val="03A762C0"/>
    <w:rsid w:val="09291862"/>
    <w:rsid w:val="09B671FF"/>
    <w:rsid w:val="0C5448E2"/>
    <w:rsid w:val="0CE06421"/>
    <w:rsid w:val="0D3E2F48"/>
    <w:rsid w:val="0DEF543A"/>
    <w:rsid w:val="128D6AF3"/>
    <w:rsid w:val="13636F55"/>
    <w:rsid w:val="14B96E68"/>
    <w:rsid w:val="19BF34CD"/>
    <w:rsid w:val="1E3D0121"/>
    <w:rsid w:val="223573AF"/>
    <w:rsid w:val="22746E93"/>
    <w:rsid w:val="22D57845"/>
    <w:rsid w:val="22E16B65"/>
    <w:rsid w:val="23033CED"/>
    <w:rsid w:val="23C4333D"/>
    <w:rsid w:val="265F2C81"/>
    <w:rsid w:val="29EA6657"/>
    <w:rsid w:val="30270028"/>
    <w:rsid w:val="31F45112"/>
    <w:rsid w:val="320B2CED"/>
    <w:rsid w:val="327F0C8F"/>
    <w:rsid w:val="384A2653"/>
    <w:rsid w:val="3CE15947"/>
    <w:rsid w:val="3DED00C2"/>
    <w:rsid w:val="40B261AC"/>
    <w:rsid w:val="421233DB"/>
    <w:rsid w:val="42505ADB"/>
    <w:rsid w:val="45E02989"/>
    <w:rsid w:val="4742208F"/>
    <w:rsid w:val="4A000CA8"/>
    <w:rsid w:val="4B0613F2"/>
    <w:rsid w:val="4E5D7882"/>
    <w:rsid w:val="4FBB03DB"/>
    <w:rsid w:val="51FA4F91"/>
    <w:rsid w:val="54F80FAD"/>
    <w:rsid w:val="59522196"/>
    <w:rsid w:val="59E62708"/>
    <w:rsid w:val="5B34698D"/>
    <w:rsid w:val="66677EC4"/>
    <w:rsid w:val="69704AFB"/>
    <w:rsid w:val="6A8655ED"/>
    <w:rsid w:val="6F171729"/>
    <w:rsid w:val="71BE153F"/>
    <w:rsid w:val="766A5816"/>
    <w:rsid w:val="7E6815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579" w:lineRule="exact"/>
      <w:ind w:firstLine="0" w:firstLineChars="0"/>
      <w:jc w:val="center"/>
      <w:outlineLvl w:val="9"/>
    </w:pPr>
    <w:rPr>
      <w:rFonts w:ascii="方正小标宋_GBK" w:hAnsi="方正小标宋_GBK" w:eastAsia="方正小标宋_GBK"/>
      <w:kern w:val="44"/>
      <w:sz w:val="44"/>
      <w:szCs w:val="44"/>
    </w:rPr>
  </w:style>
  <w:style w:type="paragraph" w:styleId="3">
    <w:name w:val="heading 3"/>
    <w:basedOn w:val="1"/>
    <w:next w:val="1"/>
    <w:qFormat/>
    <w:uiPriority w:val="0"/>
    <w:pPr>
      <w:keepNext/>
      <w:keepLines/>
      <w:spacing w:before="260" w:after="260" w:line="416" w:lineRule="auto"/>
      <w:outlineLvl w:val="2"/>
    </w:pPr>
    <w:rPr>
      <w:b/>
      <w:bCs/>
      <w:szCs w:val="32"/>
    </w:rPr>
  </w:style>
  <w:style w:type="character" w:default="1" w:styleId="11">
    <w:name w:val="Default Paragraph Font"/>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rPr>
      <w:rFonts w:ascii="Calibri" w:hAnsi="Calibri" w:eastAsia="宋体" w:cs="Times New Roman"/>
      <w:szCs w:val="22"/>
    </w:rPr>
  </w:style>
  <w:style w:type="paragraph" w:styleId="5">
    <w:name w:val="Body Text"/>
    <w:basedOn w:val="1"/>
    <w:qFormat/>
    <w:uiPriority w:val="0"/>
    <w:pPr>
      <w:spacing w:after="12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Lines="0" w:beforeAutospacing="1" w:after="100" w:afterLines="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basedOn w:val="11"/>
    <w:autoRedefine/>
    <w:qFormat/>
    <w:uiPriority w:val="0"/>
    <w:rPr>
      <w:i/>
    </w:rPr>
  </w:style>
  <w:style w:type="paragraph" w:customStyle="1" w:styleId="13">
    <w:name w:val="Body Text First Indent1"/>
    <w:basedOn w:val="14"/>
    <w:autoRedefine/>
    <w:qFormat/>
    <w:uiPriority w:val="0"/>
    <w:pPr>
      <w:ind w:firstLine="100" w:firstLineChars="100"/>
    </w:pPr>
    <w:rPr>
      <w:rFonts w:ascii="Times New Roman" w:hAnsi="Times New Roman" w:eastAsia="宋体" w:cs="Times New Roman"/>
    </w:rPr>
  </w:style>
  <w:style w:type="paragraph" w:customStyle="1" w:styleId="14">
    <w:name w:val="Body Text1"/>
    <w:basedOn w:val="1"/>
    <w:autoRedefine/>
    <w:qFormat/>
    <w:uiPriority w:val="0"/>
    <w:rPr>
      <w:rFonts w:ascii="Calibri" w:hAnsi="Calibri" w:eastAsia="宋体" w:cs="Times New Roman"/>
      <w:b/>
      <w:sz w:val="44"/>
      <w:szCs w:val="22"/>
      <w:lang w:bidi="ar-SA"/>
    </w:rPr>
  </w:style>
  <w:style w:type="paragraph" w:customStyle="1" w:styleId="15">
    <w:name w:val="p0"/>
    <w:basedOn w:val="1"/>
    <w:qFormat/>
    <w:uiPriority w:val="0"/>
    <w:pPr>
      <w:widowControl/>
    </w:pPr>
    <w:rPr>
      <w:rFonts w:ascii="Times New Roman" w:hAnsi="Times New Roman"/>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024&#24180;&#36164;&#26009;\&#20044;&#36864;&#24441;&#20891;&#20154;&#23383;\&#20044;&#36864;&#24441;&#20891;&#20154;&#23383;.wpt2023.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乌退役军人字.wpt2023.wpt</Template>
  <Pages>8</Pages>
  <Words>488</Words>
  <Characters>505</Characters>
  <Lines>0</Lines>
  <Paragraphs>0</Paragraphs>
  <TotalTime>9</TotalTime>
  <ScaleCrop>false</ScaleCrop>
  <LinksUpToDate>false</LinksUpToDate>
  <CharactersWithSpaces>512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2024-01-30T07:30:00Z</dcterms:created>
  <dc:creator>WPS_1505722532</dc:creator>
  <cp:lastModifiedBy>lenovo</cp:lastModifiedBy>
  <cp:lastPrinted>2026-07-20T07:15:00Z</cp:lastPrinted>
  <dcterms:modified xsi:type="dcterms:W3CDTF">2026-08-21T01:20:19Z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F9BCBD8065994CC69B34B6EDFDFB1D25_13</vt:lpwstr>
  </property>
  <property fmtid="{D5CDD505-2E9C-101B-9397-08002B2CF9AE}" pid="4" name="KSOTemplateDocerSaveRecord">
    <vt:lpwstr>eyJoZGlkIjoiZDllOGU2ZjNjZmJhNzQxYmE4NzU0ZmY2M2Y3MDkzYjEifQ==</vt:lpwstr>
  </property>
</Properties>
</file>