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A2CFA">
      <w:pPr>
        <w:spacing w:line="267" w:lineRule="auto"/>
        <w:rPr>
          <w:rFonts w:ascii="Arial"/>
          <w:sz w:val="21"/>
        </w:rPr>
      </w:pPr>
    </w:p>
    <w:p w14:paraId="2251CE9B">
      <w:pPr>
        <w:spacing w:line="267" w:lineRule="auto"/>
        <w:rPr>
          <w:rFonts w:ascii="Arial"/>
          <w:sz w:val="21"/>
        </w:rPr>
      </w:pPr>
    </w:p>
    <w:p w14:paraId="0A10A886">
      <w:pPr>
        <w:spacing w:before="146" w:line="212" w:lineRule="auto"/>
        <w:ind w:left="4817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10"/>
          <w:sz w:val="31"/>
          <w:szCs w:val="31"/>
          <w:lang w:val="en-US" w:eastAsia="zh-CN"/>
        </w:rPr>
        <w:t>卫生健康委员会</w:t>
      </w:r>
      <w:r>
        <w:rPr>
          <w:rFonts w:ascii="方正小标宋简体" w:hAnsi="方正小标宋简体" w:eastAsia="方正小标宋简体" w:cs="方正小标宋简体"/>
          <w:color w:val="333333"/>
          <w:spacing w:val="10"/>
          <w:sz w:val="31"/>
          <w:szCs w:val="31"/>
        </w:rPr>
        <w:t>主动公开事项目录</w:t>
      </w:r>
    </w:p>
    <w:tbl>
      <w:tblPr>
        <w:tblStyle w:val="6"/>
        <w:tblpPr w:leftFromText="180" w:rightFromText="180" w:vertAnchor="text" w:horzAnchor="page" w:tblpXSpec="center" w:tblpY="61"/>
        <w:tblOverlap w:val="never"/>
        <w:tblW w:w="1351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1"/>
        <w:gridCol w:w="682"/>
        <w:gridCol w:w="464"/>
        <w:gridCol w:w="1691"/>
        <w:gridCol w:w="1200"/>
        <w:gridCol w:w="1554"/>
        <w:gridCol w:w="613"/>
        <w:gridCol w:w="792"/>
        <w:gridCol w:w="844"/>
        <w:gridCol w:w="1120"/>
        <w:gridCol w:w="1247"/>
        <w:gridCol w:w="544"/>
        <w:gridCol w:w="620"/>
        <w:gridCol w:w="653"/>
        <w:gridCol w:w="723"/>
      </w:tblGrid>
      <w:tr w14:paraId="0935C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917" w:type="dxa"/>
            <w:gridSpan w:val="3"/>
            <w:vAlign w:val="center"/>
          </w:tcPr>
          <w:p w14:paraId="6598408B">
            <w:pPr>
              <w:spacing w:before="51" w:line="218" w:lineRule="auto"/>
              <w:ind w:left="62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1691" w:type="dxa"/>
            <w:vMerge w:val="restart"/>
            <w:tcBorders>
              <w:bottom w:val="nil"/>
            </w:tcBorders>
            <w:vAlign w:val="center"/>
          </w:tcPr>
          <w:p w14:paraId="3B25B2BA">
            <w:pPr>
              <w:spacing w:before="72" w:line="248" w:lineRule="auto"/>
              <w:ind w:left="356" w:right="343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2"/>
                <w:szCs w:val="22"/>
              </w:rPr>
              <w:t>公开内容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7"/>
                <w:sz w:val="22"/>
                <w:szCs w:val="22"/>
              </w:rPr>
              <w:t>（要素）</w:t>
            </w:r>
          </w:p>
        </w:tc>
        <w:tc>
          <w:tcPr>
            <w:tcW w:w="1200" w:type="dxa"/>
            <w:vMerge w:val="restart"/>
            <w:tcBorders>
              <w:bottom w:val="nil"/>
            </w:tcBorders>
            <w:vAlign w:val="center"/>
          </w:tcPr>
          <w:p w14:paraId="6AECB8CD">
            <w:pPr>
              <w:spacing w:before="72" w:line="248" w:lineRule="auto"/>
              <w:ind w:left="147" w:right="135" w:firstLine="5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2"/>
                <w:szCs w:val="22"/>
              </w:rPr>
              <w:t>公开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2"/>
                <w:szCs w:val="22"/>
              </w:rPr>
              <w:t>依据</w:t>
            </w:r>
          </w:p>
        </w:tc>
        <w:tc>
          <w:tcPr>
            <w:tcW w:w="1554" w:type="dxa"/>
            <w:vMerge w:val="restart"/>
            <w:tcBorders>
              <w:bottom w:val="nil"/>
            </w:tcBorders>
            <w:vAlign w:val="center"/>
          </w:tcPr>
          <w:p w14:paraId="401D8255">
            <w:pPr>
              <w:spacing w:before="72" w:line="220" w:lineRule="auto"/>
              <w:ind w:left="431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2"/>
                <w:szCs w:val="22"/>
              </w:rPr>
              <w:t>条款内容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center"/>
          </w:tcPr>
          <w:p w14:paraId="35F7CAE8">
            <w:pPr>
              <w:spacing w:before="72" w:line="248" w:lineRule="auto"/>
              <w:ind w:right="17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2"/>
                <w:szCs w:val="22"/>
              </w:rPr>
              <w:t>依据效力位阶</w:t>
            </w:r>
          </w:p>
        </w:tc>
        <w:tc>
          <w:tcPr>
            <w:tcW w:w="792" w:type="dxa"/>
            <w:vMerge w:val="restart"/>
            <w:tcBorders>
              <w:bottom w:val="nil"/>
            </w:tcBorders>
            <w:vAlign w:val="center"/>
          </w:tcPr>
          <w:p w14:paraId="7509EFD5">
            <w:pPr>
              <w:spacing w:before="71" w:line="249" w:lineRule="auto"/>
              <w:ind w:left="156" w:right="135" w:hanging="3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2"/>
                <w:szCs w:val="22"/>
              </w:rPr>
              <w:t>公开</w:t>
            </w:r>
            <w:r>
              <w:rPr>
                <w:rFonts w:hint="eastAsia" w:asciiTheme="minorEastAsia" w:hAnsiTheme="minorEastAsia" w:eastAsiaTheme="minorEastAsia" w:cstheme="minorEastAsia"/>
                <w:spacing w:val="-9"/>
                <w:sz w:val="22"/>
                <w:szCs w:val="22"/>
              </w:rPr>
              <w:t>时限</w:t>
            </w:r>
          </w:p>
        </w:tc>
        <w:tc>
          <w:tcPr>
            <w:tcW w:w="844" w:type="dxa"/>
            <w:vMerge w:val="restart"/>
            <w:tcBorders>
              <w:bottom w:val="nil"/>
            </w:tcBorders>
            <w:vAlign w:val="center"/>
          </w:tcPr>
          <w:p w14:paraId="48E60F8F">
            <w:pPr>
              <w:spacing w:before="72" w:line="249" w:lineRule="auto"/>
              <w:ind w:left="164" w:right="151" w:firstLine="5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2"/>
                <w:szCs w:val="22"/>
              </w:rPr>
              <w:t>公开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2"/>
                <w:szCs w:val="22"/>
              </w:rPr>
              <w:t>主体</w:t>
            </w:r>
          </w:p>
        </w:tc>
        <w:tc>
          <w:tcPr>
            <w:tcW w:w="1120" w:type="dxa"/>
            <w:vMerge w:val="restart"/>
            <w:tcBorders>
              <w:bottom w:val="nil"/>
            </w:tcBorders>
            <w:vAlign w:val="center"/>
          </w:tcPr>
          <w:p w14:paraId="0265C5B8">
            <w:pPr>
              <w:spacing w:before="72" w:line="253" w:lineRule="auto"/>
              <w:ind w:left="116" w:right="7" w:firstLine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事项类别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2"/>
                <w:szCs w:val="22"/>
              </w:rPr>
              <w:t>（法定公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22"/>
                <w:sz w:val="22"/>
                <w:szCs w:val="22"/>
              </w:rPr>
              <w:t>开、其他）</w:t>
            </w:r>
          </w:p>
        </w:tc>
        <w:tc>
          <w:tcPr>
            <w:tcW w:w="1247" w:type="dxa"/>
            <w:vMerge w:val="restart"/>
            <w:tcBorders>
              <w:bottom w:val="nil"/>
            </w:tcBorders>
            <w:vAlign w:val="center"/>
          </w:tcPr>
          <w:p w14:paraId="53EF6422">
            <w:pPr>
              <w:spacing w:before="71" w:line="249" w:lineRule="auto"/>
              <w:ind w:left="301" w:right="177" w:hanging="104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2"/>
                <w:szCs w:val="22"/>
              </w:rPr>
              <w:t>公开渠道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2"/>
                <w:szCs w:val="22"/>
              </w:rPr>
              <w:t>和载体</w:t>
            </w:r>
          </w:p>
        </w:tc>
        <w:tc>
          <w:tcPr>
            <w:tcW w:w="1164" w:type="dxa"/>
            <w:gridSpan w:val="2"/>
            <w:vAlign w:val="center"/>
          </w:tcPr>
          <w:p w14:paraId="2D6E624A">
            <w:pPr>
              <w:spacing w:before="51" w:line="218" w:lineRule="auto"/>
              <w:ind w:left="1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65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5542C70">
            <w:pPr>
              <w:spacing w:before="209" w:line="209" w:lineRule="auto"/>
              <w:ind w:left="2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责</w:t>
            </w:r>
            <w:r>
              <w:rPr>
                <w:rFonts w:hint="eastAsia" w:asciiTheme="minorEastAsia" w:hAnsiTheme="minorEastAsia" w:eastAsiaTheme="minorEastAsia" w:cstheme="minorEastAsia"/>
                <w:spacing w:val="-17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任</w:t>
            </w:r>
            <w:r>
              <w:rPr>
                <w:rFonts w:hint="eastAsia" w:asciiTheme="minorEastAsia" w:hAnsiTheme="minorEastAsia" w:eastAsiaTheme="minorEastAsia" w:cstheme="minorEastAsia"/>
                <w:spacing w:val="-19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科</w:t>
            </w:r>
            <w:r>
              <w:rPr>
                <w:rFonts w:hint="eastAsia" w:asciiTheme="minorEastAsia" w:hAnsiTheme="minorEastAsia" w:eastAsiaTheme="minorEastAsia" w:cstheme="minorEastAsia"/>
                <w:spacing w:val="-19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室</w:t>
            </w:r>
          </w:p>
        </w:tc>
        <w:tc>
          <w:tcPr>
            <w:tcW w:w="723" w:type="dxa"/>
            <w:vMerge w:val="restart"/>
            <w:tcBorders>
              <w:bottom w:val="nil"/>
            </w:tcBorders>
            <w:vAlign w:val="center"/>
          </w:tcPr>
          <w:p w14:paraId="228E2361">
            <w:pPr>
              <w:pStyle w:val="7"/>
              <w:spacing w:line="449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E2337CE">
            <w:pPr>
              <w:spacing w:before="72" w:line="249" w:lineRule="auto"/>
              <w:ind w:left="270" w:right="260" w:hanging="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2"/>
                <w:szCs w:val="22"/>
              </w:rPr>
              <w:t>对应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2"/>
                <w:szCs w:val="22"/>
              </w:rPr>
              <w:t>职责</w:t>
            </w:r>
          </w:p>
        </w:tc>
      </w:tr>
      <w:tr w14:paraId="40952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  <w:jc w:val="center"/>
        </w:trPr>
        <w:tc>
          <w:tcPr>
            <w:tcW w:w="771" w:type="dxa"/>
            <w:tcBorders>
              <w:bottom w:val="single" w:color="auto" w:sz="4" w:space="0"/>
            </w:tcBorders>
            <w:vAlign w:val="center"/>
          </w:tcPr>
          <w:p w14:paraId="4477D454">
            <w:pPr>
              <w:spacing w:before="72" w:line="249" w:lineRule="auto"/>
              <w:ind w:left="171" w:right="160" w:firstLine="3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2"/>
                <w:szCs w:val="22"/>
              </w:rPr>
              <w:t>一级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682" w:type="dxa"/>
            <w:tcBorders>
              <w:bottom w:val="single" w:color="auto" w:sz="4" w:space="0"/>
            </w:tcBorders>
            <w:vAlign w:val="center"/>
          </w:tcPr>
          <w:p w14:paraId="18BF7784">
            <w:pPr>
              <w:spacing w:before="72" w:line="249" w:lineRule="auto"/>
              <w:ind w:left="116" w:right="111" w:firstLine="3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2"/>
                <w:szCs w:val="22"/>
              </w:rPr>
              <w:t>二级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464" w:type="dxa"/>
            <w:tcBorders>
              <w:bottom w:val="single" w:color="auto" w:sz="4" w:space="0"/>
            </w:tcBorders>
            <w:vAlign w:val="center"/>
          </w:tcPr>
          <w:p w14:paraId="532CF318">
            <w:pPr>
              <w:spacing w:before="72" w:line="249" w:lineRule="auto"/>
              <w:ind w:left="119" w:right="113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2"/>
                <w:szCs w:val="22"/>
              </w:rPr>
              <w:t>三级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1691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31B581B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56A1DC7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4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7D67D23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1D5041F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92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150C780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44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73E201F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2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23642BD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47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74A9AAE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44" w:type="dxa"/>
            <w:tcBorders>
              <w:bottom w:val="single" w:color="auto" w:sz="4" w:space="0"/>
            </w:tcBorders>
            <w:textDirection w:val="tbRlV"/>
            <w:vAlign w:val="center"/>
          </w:tcPr>
          <w:p w14:paraId="6EDFD3AA">
            <w:pPr>
              <w:spacing w:before="155" w:line="209" w:lineRule="auto"/>
              <w:ind w:left="202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全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社</w:t>
            </w:r>
            <w:r>
              <w:rPr>
                <w:rFonts w:hint="eastAsia" w:asciiTheme="minorEastAsia" w:hAnsiTheme="minorEastAsia" w:eastAsiaTheme="minorEastAsia" w:cstheme="minorEastAsia"/>
                <w:spacing w:val="-19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会</w:t>
            </w:r>
          </w:p>
        </w:tc>
        <w:tc>
          <w:tcPr>
            <w:tcW w:w="620" w:type="dxa"/>
            <w:tcBorders>
              <w:bottom w:val="single" w:color="auto" w:sz="4" w:space="0"/>
            </w:tcBorders>
            <w:textDirection w:val="tbRlV"/>
            <w:vAlign w:val="center"/>
          </w:tcPr>
          <w:p w14:paraId="6C4E4719">
            <w:pPr>
              <w:spacing w:before="192" w:line="209" w:lineRule="auto"/>
              <w:ind w:left="4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特</w:t>
            </w:r>
            <w:r>
              <w:rPr>
                <w:rFonts w:hint="eastAsia" w:asciiTheme="minorEastAsia" w:hAnsiTheme="minorEastAsia" w:eastAsiaTheme="minorEastAsia" w:cstheme="minorEastAsia"/>
                <w:spacing w:val="-17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pacing w:val="-19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群</w:t>
            </w:r>
            <w:r>
              <w:rPr>
                <w:rFonts w:hint="eastAsia" w:asciiTheme="minorEastAsia" w:hAnsiTheme="minorEastAsia" w:eastAsiaTheme="minorEastAsia" w:cstheme="minorEastAsia"/>
                <w:spacing w:val="-19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体</w:t>
            </w:r>
          </w:p>
        </w:tc>
        <w:tc>
          <w:tcPr>
            <w:tcW w:w="653" w:type="dxa"/>
            <w:vMerge w:val="continue"/>
            <w:tcBorders>
              <w:top w:val="nil"/>
              <w:bottom w:val="single" w:color="auto" w:sz="4" w:space="0"/>
            </w:tcBorders>
            <w:textDirection w:val="tbRlV"/>
            <w:vAlign w:val="center"/>
          </w:tcPr>
          <w:p w14:paraId="4F2CEE4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69AB594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68C93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771" w:type="dxa"/>
            <w:vMerge w:val="restart"/>
            <w:tcBorders>
              <w:top w:val="single" w:color="auto" w:sz="4" w:space="0"/>
            </w:tcBorders>
            <w:vAlign w:val="center"/>
          </w:tcPr>
          <w:p w14:paraId="1B3702B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机构</w:t>
            </w:r>
          </w:p>
          <w:p w14:paraId="7DBE524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信息</w:t>
            </w:r>
          </w:p>
        </w:tc>
        <w:tc>
          <w:tcPr>
            <w:tcW w:w="682" w:type="dxa"/>
            <w:tcBorders>
              <w:top w:val="single" w:color="auto" w:sz="4" w:space="0"/>
            </w:tcBorders>
            <w:vAlign w:val="center"/>
          </w:tcPr>
          <w:p w14:paraId="4B7EF77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机构概况</w:t>
            </w:r>
          </w:p>
        </w:tc>
        <w:tc>
          <w:tcPr>
            <w:tcW w:w="464" w:type="dxa"/>
            <w:tcBorders>
              <w:top w:val="single" w:color="auto" w:sz="4" w:space="0"/>
            </w:tcBorders>
            <w:vAlign w:val="center"/>
          </w:tcPr>
          <w:p w14:paraId="54950B7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color="auto" w:sz="4" w:space="0"/>
            </w:tcBorders>
            <w:vAlign w:val="center"/>
          </w:tcPr>
          <w:p w14:paraId="521A7A6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机构名称、职能、地址、邮政编码、办公电话、网址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vAlign w:val="center"/>
          </w:tcPr>
          <w:p w14:paraId="2D37A86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中华人民共和国政府信息公开条例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》</w:t>
            </w:r>
          </w:p>
        </w:tc>
        <w:tc>
          <w:tcPr>
            <w:tcW w:w="1554" w:type="dxa"/>
            <w:tcBorders>
              <w:top w:val="single" w:color="auto" w:sz="4" w:space="0"/>
            </w:tcBorders>
            <w:vAlign w:val="center"/>
          </w:tcPr>
          <w:p w14:paraId="1F46B3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第二十条　行政机关应当依照本条例第十九条的规定，主动公开本行政机关的下列政府信息：</w:t>
            </w:r>
          </w:p>
          <w:p w14:paraId="7803C5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（二）机关职能、机构设置、办公地址、办公时间、联系方式、负责人姓名；</w:t>
            </w:r>
          </w:p>
        </w:tc>
        <w:tc>
          <w:tcPr>
            <w:tcW w:w="613" w:type="dxa"/>
            <w:tcBorders>
              <w:top w:val="single" w:color="auto" w:sz="4" w:space="0"/>
            </w:tcBorders>
            <w:vAlign w:val="center"/>
          </w:tcPr>
          <w:p w14:paraId="7305D308">
            <w:pPr>
              <w:pStyle w:val="7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tcBorders>
              <w:top w:val="single" w:color="auto" w:sz="4" w:space="0"/>
            </w:tcBorders>
            <w:vAlign w:val="center"/>
          </w:tcPr>
          <w:p w14:paraId="1682D2B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自信息形成或者变更之日起20个工作日予以公开</w:t>
            </w:r>
          </w:p>
        </w:tc>
        <w:tc>
          <w:tcPr>
            <w:tcW w:w="844" w:type="dxa"/>
            <w:tcBorders>
              <w:top w:val="single" w:color="auto" w:sz="4" w:space="0"/>
            </w:tcBorders>
            <w:vAlign w:val="center"/>
          </w:tcPr>
          <w:p w14:paraId="7CDE024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tcBorders>
              <w:top w:val="single" w:color="auto" w:sz="4" w:space="0"/>
            </w:tcBorders>
            <w:vAlign w:val="center"/>
          </w:tcPr>
          <w:p w14:paraId="7FA44C2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tcBorders>
              <w:top w:val="single" w:color="auto" w:sz="4" w:space="0"/>
            </w:tcBorders>
            <w:vAlign w:val="center"/>
          </w:tcPr>
          <w:p w14:paraId="09961E0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tcBorders>
              <w:top w:val="single" w:color="auto" w:sz="4" w:space="0"/>
            </w:tcBorders>
            <w:vAlign w:val="center"/>
          </w:tcPr>
          <w:p w14:paraId="008521A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tcBorders>
              <w:top w:val="single" w:color="auto" w:sz="4" w:space="0"/>
            </w:tcBorders>
            <w:vAlign w:val="center"/>
          </w:tcPr>
          <w:p w14:paraId="795C61A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single" w:color="auto" w:sz="4" w:space="0"/>
            </w:tcBorders>
            <w:vAlign w:val="center"/>
          </w:tcPr>
          <w:p w14:paraId="3CA4471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tcBorders>
              <w:top w:val="single" w:color="auto" w:sz="4" w:space="0"/>
            </w:tcBorders>
            <w:vAlign w:val="center"/>
          </w:tcPr>
          <w:p w14:paraId="271919F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332E4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  <w:jc w:val="center"/>
        </w:trPr>
        <w:tc>
          <w:tcPr>
            <w:tcW w:w="771" w:type="dxa"/>
            <w:vMerge w:val="continue"/>
            <w:vAlign w:val="center"/>
          </w:tcPr>
          <w:p w14:paraId="4A26C6A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75DF7C9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领导信息</w:t>
            </w:r>
          </w:p>
        </w:tc>
        <w:tc>
          <w:tcPr>
            <w:tcW w:w="464" w:type="dxa"/>
            <w:vAlign w:val="center"/>
          </w:tcPr>
          <w:p w14:paraId="734DA76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2704224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姓名、职务、工作分工、简历等</w:t>
            </w:r>
          </w:p>
        </w:tc>
        <w:tc>
          <w:tcPr>
            <w:tcW w:w="1200" w:type="dxa"/>
            <w:vAlign w:val="center"/>
          </w:tcPr>
          <w:p w14:paraId="44294DF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110B0F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第二十条　行政机关应当依照本条例第十九条的规定，主动公开本行政机关的下列政府信息：</w:t>
            </w:r>
          </w:p>
          <w:p w14:paraId="2BBCF2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（二）机关职能、机构设置、办公地址、办公时间、联系方式、负责人姓名；</w:t>
            </w:r>
          </w:p>
        </w:tc>
        <w:tc>
          <w:tcPr>
            <w:tcW w:w="613" w:type="dxa"/>
            <w:vAlign w:val="center"/>
          </w:tcPr>
          <w:p w14:paraId="4F97139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1D5AFA2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61D0E3A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1798631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5DB7CE4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7B3C3E5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31307AE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63C9D60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0F8A539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5FBD0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Merge w:val="continue"/>
            <w:vAlign w:val="center"/>
          </w:tcPr>
          <w:p w14:paraId="60D203B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2FABBE2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内设机构</w:t>
            </w:r>
          </w:p>
        </w:tc>
        <w:tc>
          <w:tcPr>
            <w:tcW w:w="464" w:type="dxa"/>
            <w:vAlign w:val="center"/>
          </w:tcPr>
          <w:p w14:paraId="264E732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43C7817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内设机构名称、职能、办公电话、负责人</w:t>
            </w:r>
          </w:p>
        </w:tc>
        <w:tc>
          <w:tcPr>
            <w:tcW w:w="1200" w:type="dxa"/>
            <w:vAlign w:val="center"/>
          </w:tcPr>
          <w:p w14:paraId="2F8A5E0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4DF229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第二十条　行政机关应当依照本条例第十九条的规定，主动公开本行政机关的下列政府信息：</w:t>
            </w:r>
          </w:p>
          <w:p w14:paraId="6C92A8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（二）机关职能、机构设置、办公地址、办公时间、联系方式、负责人姓名；</w:t>
            </w:r>
          </w:p>
        </w:tc>
        <w:tc>
          <w:tcPr>
            <w:tcW w:w="613" w:type="dxa"/>
            <w:vAlign w:val="center"/>
          </w:tcPr>
          <w:p w14:paraId="068A0D5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063A06F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2A454F5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0453747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2F069FA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7F93642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0C54E6C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1F5D724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428C82D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093A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771" w:type="dxa"/>
            <w:vMerge w:val="continue"/>
            <w:vAlign w:val="center"/>
          </w:tcPr>
          <w:p w14:paraId="223BB0A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11C262F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下属单位和联系单位信息</w:t>
            </w:r>
          </w:p>
        </w:tc>
        <w:tc>
          <w:tcPr>
            <w:tcW w:w="464" w:type="dxa"/>
            <w:vAlign w:val="center"/>
          </w:tcPr>
          <w:p w14:paraId="29BDACC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5EBD1A8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机构名称、职能、地址、联系电话。负责人</w:t>
            </w:r>
          </w:p>
        </w:tc>
        <w:tc>
          <w:tcPr>
            <w:tcW w:w="1200" w:type="dxa"/>
            <w:vAlign w:val="center"/>
          </w:tcPr>
          <w:p w14:paraId="1D90956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46D942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第二十条　行政机关应当依照本条例第十九条的规定，主动公开本行政机关的下列政府信息：</w:t>
            </w:r>
          </w:p>
          <w:p w14:paraId="1BB2E2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（二）机关职能、机构设置、办公地址、办公时间、联系方式、负责人姓名；</w:t>
            </w:r>
            <w:bookmarkStart w:id="0" w:name="_GoBack"/>
            <w:bookmarkEnd w:id="0"/>
          </w:p>
        </w:tc>
        <w:tc>
          <w:tcPr>
            <w:tcW w:w="613" w:type="dxa"/>
            <w:vAlign w:val="center"/>
          </w:tcPr>
          <w:p w14:paraId="6603405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6E7858B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6325BEA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7F7EC3E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1D5246B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571BFA3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09429C6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7C0D379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6645518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DACC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Merge w:val="restart"/>
            <w:vAlign w:val="center"/>
          </w:tcPr>
          <w:p w14:paraId="3DA02AB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</w:t>
            </w:r>
          </w:p>
          <w:p w14:paraId="2042275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信息</w:t>
            </w:r>
          </w:p>
          <w:p w14:paraId="59A3E5E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公开</w:t>
            </w:r>
          </w:p>
          <w:p w14:paraId="59F1716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24B104D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42C160E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6C7BF9D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 w14:paraId="2938AAA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政府信息公开指南</w:t>
            </w:r>
          </w:p>
        </w:tc>
        <w:tc>
          <w:tcPr>
            <w:tcW w:w="464" w:type="dxa"/>
            <w:vAlign w:val="center"/>
          </w:tcPr>
          <w:p w14:paraId="6F8BD68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682682D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政府信息公开机构的名称、办公地址、办公时间、联系方式，接受信息公开申的方式，途径和程序要求，政府信息公开申请表等</w:t>
            </w:r>
          </w:p>
        </w:tc>
        <w:tc>
          <w:tcPr>
            <w:tcW w:w="1200" w:type="dxa"/>
            <w:vAlign w:val="center"/>
          </w:tcPr>
          <w:p w14:paraId="2165A73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224DCB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right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第十二条　行政机关编制、公布的政府信息公开指南和政府信息公开目录应当及时更新。政府信息公开指南包括政府信息的分类、编排体系、获取方式和政府信息公开工作机构的名称、办公地址、办公时间、联系电话、传真号码、互联网联系方式等内容。政府信息公开目录包括政府信息的索引、名称、内容概述、生成日期等内容。</w:t>
            </w:r>
          </w:p>
          <w:p w14:paraId="025EB2D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 w14:paraId="319CCA1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7B82E2D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10A2E6D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5D74173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70D0250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777E5C8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5344912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6B65DA2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6CB12E9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7A06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  <w:jc w:val="center"/>
        </w:trPr>
        <w:tc>
          <w:tcPr>
            <w:tcW w:w="771" w:type="dxa"/>
            <w:vMerge w:val="continue"/>
            <w:shd w:val="clear" w:color="auto" w:fill="auto"/>
            <w:vAlign w:val="center"/>
          </w:tcPr>
          <w:p w14:paraId="7BFC486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14:paraId="2E057B1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法定主动公开内容</w:t>
            </w:r>
          </w:p>
        </w:tc>
        <w:tc>
          <w:tcPr>
            <w:tcW w:w="464" w:type="dxa"/>
            <w:shd w:val="clear" w:color="auto" w:fill="auto"/>
            <w:vAlign w:val="center"/>
          </w:tcPr>
          <w:p w14:paraId="61C7034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1B91BCD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政府信息公开法定主动公开内容</w:t>
            </w:r>
          </w:p>
        </w:tc>
        <w:tc>
          <w:tcPr>
            <w:tcW w:w="1200" w:type="dxa"/>
            <w:vAlign w:val="center"/>
          </w:tcPr>
          <w:p w14:paraId="754A223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3631C77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行政机关应当依照本条例第十九条的规定，主动公开本行政机关的下列政府信息：（十五）法律、法规、规章和国家有关规定规定应当主动公开的其他政府信息。</w:t>
            </w:r>
          </w:p>
        </w:tc>
        <w:tc>
          <w:tcPr>
            <w:tcW w:w="613" w:type="dxa"/>
            <w:vAlign w:val="center"/>
          </w:tcPr>
          <w:p w14:paraId="2507355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7082BA5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1E01B2B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1846F0C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7710807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0FFD2C6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597DAE8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452F32E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30C1D99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95CA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Merge w:val="continue"/>
            <w:vAlign w:val="center"/>
          </w:tcPr>
          <w:p w14:paraId="7A71B88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391212C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政府信息公开工作年度报告</w:t>
            </w:r>
          </w:p>
        </w:tc>
        <w:tc>
          <w:tcPr>
            <w:tcW w:w="464" w:type="dxa"/>
            <w:vAlign w:val="center"/>
          </w:tcPr>
          <w:p w14:paraId="050D250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267D9E4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政府信息公开工作年度报告</w:t>
            </w:r>
          </w:p>
        </w:tc>
        <w:tc>
          <w:tcPr>
            <w:tcW w:w="1200" w:type="dxa"/>
            <w:vAlign w:val="center"/>
          </w:tcPr>
          <w:p w14:paraId="32CC213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247A17B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行政机关应当依照本条例第十九条的规定，主动公开本行政机关的下列政府信息：（十五）法律、法规、规章和国家有关规定规定应当主动公开的其他政府信息。</w:t>
            </w:r>
          </w:p>
        </w:tc>
        <w:tc>
          <w:tcPr>
            <w:tcW w:w="613" w:type="dxa"/>
            <w:vAlign w:val="center"/>
          </w:tcPr>
          <w:p w14:paraId="5B5E17D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619E9D5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每年1月31日前</w:t>
            </w:r>
          </w:p>
        </w:tc>
        <w:tc>
          <w:tcPr>
            <w:tcW w:w="844" w:type="dxa"/>
            <w:vAlign w:val="center"/>
          </w:tcPr>
          <w:p w14:paraId="57D26AA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10424AB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1C0F68C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4E6C69B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0C3F094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457E093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3017036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87FF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71" w:type="dxa"/>
            <w:vMerge w:val="restart"/>
            <w:shd w:val="clear" w:color="auto" w:fill="auto"/>
            <w:vAlign w:val="center"/>
          </w:tcPr>
          <w:p w14:paraId="3B304C1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政策</w:t>
            </w:r>
          </w:p>
          <w:p w14:paraId="45BBB71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文件</w:t>
            </w:r>
          </w:p>
        </w:tc>
        <w:tc>
          <w:tcPr>
            <w:tcW w:w="682" w:type="dxa"/>
            <w:vAlign w:val="center"/>
          </w:tcPr>
          <w:p w14:paraId="3CBB416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行政规范性文件</w:t>
            </w:r>
          </w:p>
        </w:tc>
        <w:tc>
          <w:tcPr>
            <w:tcW w:w="464" w:type="dxa"/>
            <w:vAlign w:val="center"/>
          </w:tcPr>
          <w:p w14:paraId="018E422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616AF79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规范性文件全文</w:t>
            </w:r>
          </w:p>
        </w:tc>
        <w:tc>
          <w:tcPr>
            <w:tcW w:w="1200" w:type="dxa"/>
            <w:vAlign w:val="center"/>
          </w:tcPr>
          <w:p w14:paraId="66A522C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202A57B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</w:t>
            </w:r>
          </w:p>
          <w:p w14:paraId="7A67C27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（一）行政法规、规章和规范性文件；</w:t>
            </w:r>
          </w:p>
        </w:tc>
        <w:tc>
          <w:tcPr>
            <w:tcW w:w="613" w:type="dxa"/>
            <w:vAlign w:val="center"/>
          </w:tcPr>
          <w:p w14:paraId="649B7B6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101EABE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自信息形成或者变更之日起7个工作日内予以公开</w:t>
            </w:r>
          </w:p>
        </w:tc>
        <w:tc>
          <w:tcPr>
            <w:tcW w:w="844" w:type="dxa"/>
            <w:vAlign w:val="center"/>
          </w:tcPr>
          <w:p w14:paraId="7CFE3F6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767EABD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3F2CBA0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7F53480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188FBBA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789A18A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1A53D0C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C394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Merge w:val="continue"/>
            <w:shd w:val="clear" w:color="auto" w:fill="auto"/>
            <w:vAlign w:val="center"/>
          </w:tcPr>
          <w:p w14:paraId="5DBE66E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82" w:type="dxa"/>
            <w:vAlign w:val="center"/>
          </w:tcPr>
          <w:p w14:paraId="4B7A54F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政策解读</w:t>
            </w:r>
          </w:p>
        </w:tc>
        <w:tc>
          <w:tcPr>
            <w:tcW w:w="464" w:type="dxa"/>
            <w:vAlign w:val="center"/>
          </w:tcPr>
          <w:p w14:paraId="0663B43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192C849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解读文件制定背景、目标、任务、主要内容和解决的问题、解读机构等</w:t>
            </w:r>
          </w:p>
        </w:tc>
        <w:tc>
          <w:tcPr>
            <w:tcW w:w="1200" w:type="dxa"/>
            <w:vAlign w:val="center"/>
          </w:tcPr>
          <w:p w14:paraId="32D3875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5FCAB66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</w:t>
            </w:r>
          </w:p>
          <w:p w14:paraId="0D19561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（一）行政法规、规章和规范性文件；</w:t>
            </w:r>
          </w:p>
        </w:tc>
        <w:tc>
          <w:tcPr>
            <w:tcW w:w="613" w:type="dxa"/>
            <w:vAlign w:val="center"/>
          </w:tcPr>
          <w:p w14:paraId="3F91C7E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1EE2786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2AFA628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3F27CEA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6D403BC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58A2379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5382AF2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4C58CD9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2BE45EA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7F04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771" w:type="dxa"/>
            <w:vMerge w:val="continue"/>
            <w:vAlign w:val="center"/>
          </w:tcPr>
          <w:p w14:paraId="4922D65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79B4140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其他文件</w:t>
            </w:r>
          </w:p>
        </w:tc>
        <w:tc>
          <w:tcPr>
            <w:tcW w:w="464" w:type="dxa"/>
            <w:vAlign w:val="center"/>
          </w:tcPr>
          <w:p w14:paraId="370B9E6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23829D7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旗卫健委制定的其他文件</w:t>
            </w:r>
          </w:p>
        </w:tc>
        <w:tc>
          <w:tcPr>
            <w:tcW w:w="1200" w:type="dxa"/>
            <w:vAlign w:val="center"/>
          </w:tcPr>
          <w:p w14:paraId="0D60A2D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3DAF6C2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</w:t>
            </w:r>
          </w:p>
          <w:p w14:paraId="40FAD9E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（一）行政法规、规章和规范性文件；</w:t>
            </w:r>
          </w:p>
        </w:tc>
        <w:tc>
          <w:tcPr>
            <w:tcW w:w="613" w:type="dxa"/>
            <w:vAlign w:val="center"/>
          </w:tcPr>
          <w:p w14:paraId="0545A08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5DEF8D6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0166DCA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4F2CDBF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2D0F1C9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57858AB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2CF8907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2F49E1B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011DF87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4FFA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Align w:val="center"/>
          </w:tcPr>
          <w:p w14:paraId="268372F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重大决策预公开</w:t>
            </w:r>
          </w:p>
        </w:tc>
        <w:tc>
          <w:tcPr>
            <w:tcW w:w="682" w:type="dxa"/>
            <w:vAlign w:val="center"/>
          </w:tcPr>
          <w:p w14:paraId="03C0049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意见征集</w:t>
            </w:r>
          </w:p>
        </w:tc>
        <w:tc>
          <w:tcPr>
            <w:tcW w:w="464" w:type="dxa"/>
            <w:vAlign w:val="center"/>
          </w:tcPr>
          <w:p w14:paraId="7BE6CCF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3658DD4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公开征求意见通知或公告</w:t>
            </w:r>
          </w:p>
        </w:tc>
        <w:tc>
          <w:tcPr>
            <w:tcW w:w="1200" w:type="dxa"/>
            <w:vAlign w:val="center"/>
          </w:tcPr>
          <w:p w14:paraId="3DCDDEA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《中华人民共和国政府信息公开条例》《重大行政决策程序暂行条例》</w:t>
            </w:r>
          </w:p>
        </w:tc>
        <w:tc>
          <w:tcPr>
            <w:tcW w:w="1554" w:type="dxa"/>
            <w:vAlign w:val="center"/>
          </w:tcPr>
          <w:p w14:paraId="78E3082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行政机关应当依照本条例第十九条的规定，主动公开本行政机关的下列政府信息：（十）重大建设项目的批准和实施情况；</w:t>
            </w:r>
          </w:p>
        </w:tc>
        <w:tc>
          <w:tcPr>
            <w:tcW w:w="613" w:type="dxa"/>
            <w:vAlign w:val="center"/>
          </w:tcPr>
          <w:p w14:paraId="4133E94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7FA713F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5CAAB41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28CA710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233EE96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01E9CE9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6540DC4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4556455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6B110B3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98DB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Align w:val="center"/>
          </w:tcPr>
          <w:p w14:paraId="413BEA3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新闻发布会</w:t>
            </w:r>
          </w:p>
        </w:tc>
        <w:tc>
          <w:tcPr>
            <w:tcW w:w="682" w:type="dxa"/>
            <w:vAlign w:val="center"/>
          </w:tcPr>
          <w:p w14:paraId="2B6A261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新闻发布会</w:t>
            </w:r>
          </w:p>
        </w:tc>
        <w:tc>
          <w:tcPr>
            <w:tcW w:w="464" w:type="dxa"/>
            <w:vAlign w:val="center"/>
          </w:tcPr>
          <w:p w14:paraId="66C2D6F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75B79A3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新闻发布会时间、地点、发布内容</w:t>
            </w:r>
          </w:p>
        </w:tc>
        <w:tc>
          <w:tcPr>
            <w:tcW w:w="1200" w:type="dxa"/>
            <w:vAlign w:val="center"/>
          </w:tcPr>
          <w:p w14:paraId="36B382F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206E8C1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第十九条　对涉及公众利益调整、需要公众广泛知晓或者需要公众参与决策的政府信息，行政机关应当主动公开。</w:t>
            </w:r>
          </w:p>
        </w:tc>
        <w:tc>
          <w:tcPr>
            <w:tcW w:w="613" w:type="dxa"/>
            <w:vAlign w:val="center"/>
          </w:tcPr>
          <w:p w14:paraId="066B234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5D3B8EA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65C9828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0A3F1D8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4631800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45F70B0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4805FD2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5DFBF90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5567AAC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79E8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Merge w:val="restart"/>
            <w:vAlign w:val="center"/>
          </w:tcPr>
          <w:p w14:paraId="5E40E7D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财务信息</w:t>
            </w:r>
          </w:p>
        </w:tc>
        <w:tc>
          <w:tcPr>
            <w:tcW w:w="682" w:type="dxa"/>
            <w:vMerge w:val="restart"/>
            <w:vAlign w:val="center"/>
          </w:tcPr>
          <w:p w14:paraId="7DD0666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部门预算</w:t>
            </w:r>
          </w:p>
          <w:p w14:paraId="0C1B65B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64" w:type="dxa"/>
            <w:vAlign w:val="center"/>
          </w:tcPr>
          <w:p w14:paraId="1D32C14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1DE1D11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部门预算情况</w:t>
            </w:r>
          </w:p>
        </w:tc>
        <w:tc>
          <w:tcPr>
            <w:tcW w:w="1200" w:type="dxa"/>
            <w:vAlign w:val="center"/>
          </w:tcPr>
          <w:p w14:paraId="325AD70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1772DA3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行政机关应当依照本条例第十九条的规定，主动公开本行政机关的下列政府信息：（七）财政预算、决算信息；</w:t>
            </w:r>
          </w:p>
        </w:tc>
        <w:tc>
          <w:tcPr>
            <w:tcW w:w="613" w:type="dxa"/>
            <w:vAlign w:val="center"/>
          </w:tcPr>
          <w:p w14:paraId="49E3EAE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7873515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051CE5C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6E6EE3D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38B79B1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3C0D13C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4385E1E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28AA96B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财务审计股</w:t>
            </w:r>
          </w:p>
        </w:tc>
        <w:tc>
          <w:tcPr>
            <w:tcW w:w="723" w:type="dxa"/>
            <w:vAlign w:val="center"/>
          </w:tcPr>
          <w:p w14:paraId="53317B9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9511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Merge w:val="continue"/>
            <w:vAlign w:val="center"/>
          </w:tcPr>
          <w:p w14:paraId="0775A88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82" w:type="dxa"/>
            <w:vMerge w:val="continue"/>
            <w:vAlign w:val="center"/>
          </w:tcPr>
          <w:p w14:paraId="2601E60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64" w:type="dxa"/>
            <w:vAlign w:val="center"/>
          </w:tcPr>
          <w:p w14:paraId="2A65568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79A6B1D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部门决算情况</w:t>
            </w:r>
          </w:p>
        </w:tc>
        <w:tc>
          <w:tcPr>
            <w:tcW w:w="1200" w:type="dxa"/>
            <w:vAlign w:val="center"/>
          </w:tcPr>
          <w:p w14:paraId="3DB2CAB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2D54049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行政机关应当依照本条例第十九条的规定，主动公开本行政机关的下列政府信息：（七）财政预算、决算信息；</w:t>
            </w:r>
          </w:p>
        </w:tc>
        <w:tc>
          <w:tcPr>
            <w:tcW w:w="613" w:type="dxa"/>
            <w:vAlign w:val="center"/>
          </w:tcPr>
          <w:p w14:paraId="7E1E39F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7DDC287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0212E1B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335C746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652558D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43EF21C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17F33EE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306637E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财务审计股</w:t>
            </w:r>
          </w:p>
        </w:tc>
        <w:tc>
          <w:tcPr>
            <w:tcW w:w="723" w:type="dxa"/>
            <w:vAlign w:val="center"/>
          </w:tcPr>
          <w:p w14:paraId="2C9E58D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2B21B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Merge w:val="continue"/>
            <w:vAlign w:val="center"/>
          </w:tcPr>
          <w:p w14:paraId="1B1E13C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23A353A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政府采购</w:t>
            </w:r>
          </w:p>
        </w:tc>
        <w:tc>
          <w:tcPr>
            <w:tcW w:w="464" w:type="dxa"/>
            <w:vAlign w:val="center"/>
          </w:tcPr>
          <w:p w14:paraId="5C163FB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0E7058D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委机关政府采购、招标公告、中标公告等</w:t>
            </w:r>
          </w:p>
        </w:tc>
        <w:tc>
          <w:tcPr>
            <w:tcW w:w="1200" w:type="dxa"/>
            <w:vAlign w:val="center"/>
          </w:tcPr>
          <w:p w14:paraId="3635D66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71999AE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政府信息：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（九）政府集中采购项目的目录、标准及实施情况；</w:t>
            </w:r>
          </w:p>
        </w:tc>
        <w:tc>
          <w:tcPr>
            <w:tcW w:w="613" w:type="dxa"/>
            <w:vAlign w:val="center"/>
          </w:tcPr>
          <w:p w14:paraId="351C457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71351A3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27EE105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1C43236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70F4A93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6D72CEA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365BFAF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6BE0000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05485E7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61AD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Align w:val="center"/>
          </w:tcPr>
          <w:p w14:paraId="5A19E5F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人事管理</w:t>
            </w:r>
          </w:p>
        </w:tc>
        <w:tc>
          <w:tcPr>
            <w:tcW w:w="682" w:type="dxa"/>
            <w:vAlign w:val="center"/>
          </w:tcPr>
          <w:p w14:paraId="0D0F5E7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人员招录</w:t>
            </w:r>
          </w:p>
        </w:tc>
        <w:tc>
          <w:tcPr>
            <w:tcW w:w="464" w:type="dxa"/>
            <w:vAlign w:val="center"/>
          </w:tcPr>
          <w:p w14:paraId="68BF49B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67F7B75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招考计划、面试公告、录用公告等</w:t>
            </w:r>
          </w:p>
        </w:tc>
        <w:tc>
          <w:tcPr>
            <w:tcW w:w="1200" w:type="dxa"/>
            <w:vAlign w:val="center"/>
          </w:tcPr>
          <w:p w14:paraId="5BF11FB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《中华人民共和国政府信息公开条例》等</w:t>
            </w:r>
          </w:p>
        </w:tc>
        <w:tc>
          <w:tcPr>
            <w:tcW w:w="1554" w:type="dxa"/>
            <w:vAlign w:val="center"/>
          </w:tcPr>
          <w:p w14:paraId="472A39D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行政机关应当依照本条例第十九条的规定，主动公开本行政机关的下列政府信息：（十四）公务员招考的职位、名额、报考条件等事项以及录用结果；</w:t>
            </w:r>
          </w:p>
        </w:tc>
        <w:tc>
          <w:tcPr>
            <w:tcW w:w="613" w:type="dxa"/>
            <w:vAlign w:val="center"/>
          </w:tcPr>
          <w:p w14:paraId="6FD7205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471F0CE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4EBEEAB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221CB6F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4F94A1E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19A000B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6DE90DD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1EC857E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3FE3461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5FE1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Align w:val="center"/>
          </w:tcPr>
          <w:p w14:paraId="70F2BB7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统计信息</w:t>
            </w:r>
          </w:p>
        </w:tc>
        <w:tc>
          <w:tcPr>
            <w:tcW w:w="682" w:type="dxa"/>
            <w:vAlign w:val="center"/>
          </w:tcPr>
          <w:p w14:paraId="6EF9706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医疗卫生机构统计信息</w:t>
            </w:r>
          </w:p>
        </w:tc>
        <w:tc>
          <w:tcPr>
            <w:tcW w:w="464" w:type="dxa"/>
            <w:vAlign w:val="center"/>
          </w:tcPr>
          <w:p w14:paraId="1938CC7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1BBF7BD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医疗卫生机构数、医护人员数、医疗卫生工作量等</w:t>
            </w:r>
          </w:p>
        </w:tc>
        <w:tc>
          <w:tcPr>
            <w:tcW w:w="1200" w:type="dxa"/>
            <w:vAlign w:val="center"/>
          </w:tcPr>
          <w:p w14:paraId="100B67D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《中华人民共和国政府信息公开条例》等</w:t>
            </w:r>
          </w:p>
        </w:tc>
        <w:tc>
          <w:tcPr>
            <w:tcW w:w="1554" w:type="dxa"/>
            <w:vAlign w:val="center"/>
          </w:tcPr>
          <w:p w14:paraId="58F1C51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行政机关应当依照本条例第十九条的规定，主动公开本行政机关的下列政府信息：（四）国民经济和社会发展统计信息；</w:t>
            </w:r>
          </w:p>
        </w:tc>
        <w:tc>
          <w:tcPr>
            <w:tcW w:w="613" w:type="dxa"/>
            <w:vAlign w:val="center"/>
          </w:tcPr>
          <w:p w14:paraId="6540F71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3D6C33B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7622009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1FDA1FC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13DA63A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3FD029D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5AFB2FC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26A2102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行政审批股</w:t>
            </w:r>
          </w:p>
        </w:tc>
        <w:tc>
          <w:tcPr>
            <w:tcW w:w="723" w:type="dxa"/>
            <w:vAlign w:val="center"/>
          </w:tcPr>
          <w:p w14:paraId="4199AC1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B801F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Align w:val="center"/>
          </w:tcPr>
          <w:p w14:paraId="37B6FAA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应急管理</w:t>
            </w:r>
          </w:p>
        </w:tc>
        <w:tc>
          <w:tcPr>
            <w:tcW w:w="682" w:type="dxa"/>
            <w:vAlign w:val="center"/>
          </w:tcPr>
          <w:p w14:paraId="6B618D0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应急管理</w:t>
            </w:r>
          </w:p>
        </w:tc>
        <w:tc>
          <w:tcPr>
            <w:tcW w:w="464" w:type="dxa"/>
            <w:vAlign w:val="center"/>
          </w:tcPr>
          <w:p w14:paraId="1644A8B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73E0DC8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应急预案、方案等</w:t>
            </w:r>
          </w:p>
        </w:tc>
        <w:tc>
          <w:tcPr>
            <w:tcW w:w="1200" w:type="dxa"/>
            <w:vAlign w:val="center"/>
          </w:tcPr>
          <w:p w14:paraId="50B4C86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《中华人民共和国政府信息公开条例》《突发公共卫生事件应急条例》</w:t>
            </w:r>
          </w:p>
        </w:tc>
        <w:tc>
          <w:tcPr>
            <w:tcW w:w="1554" w:type="dxa"/>
            <w:vAlign w:val="center"/>
          </w:tcPr>
          <w:p w14:paraId="39B44E9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行政机关应当依照本条例第十九条的规定，主动公开本行政机关的下列政府信息：（十二）突发公共事件的应急预案、预警信息及应对情况；</w:t>
            </w:r>
          </w:p>
        </w:tc>
        <w:tc>
          <w:tcPr>
            <w:tcW w:w="613" w:type="dxa"/>
            <w:vAlign w:val="center"/>
          </w:tcPr>
          <w:p w14:paraId="50CE347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5D5EDF1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55832B2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79D4DD6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7AF19BE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2D1B46D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3578591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75B3281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疾控妇幼和基层卫生健康股</w:t>
            </w:r>
          </w:p>
        </w:tc>
        <w:tc>
          <w:tcPr>
            <w:tcW w:w="723" w:type="dxa"/>
            <w:vAlign w:val="center"/>
          </w:tcPr>
          <w:p w14:paraId="7E26B03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25EC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Align w:val="center"/>
          </w:tcPr>
          <w:p w14:paraId="07F7CF7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疫情信息</w:t>
            </w:r>
          </w:p>
        </w:tc>
        <w:tc>
          <w:tcPr>
            <w:tcW w:w="682" w:type="dxa"/>
            <w:vAlign w:val="center"/>
          </w:tcPr>
          <w:p w14:paraId="71F0BB6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法定传染病疫情</w:t>
            </w:r>
          </w:p>
        </w:tc>
        <w:tc>
          <w:tcPr>
            <w:tcW w:w="464" w:type="dxa"/>
            <w:vAlign w:val="center"/>
          </w:tcPr>
          <w:p w14:paraId="42D5A26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5265963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法定传染病报告发病数、死亡数等内容</w:t>
            </w:r>
          </w:p>
        </w:tc>
        <w:tc>
          <w:tcPr>
            <w:tcW w:w="1200" w:type="dxa"/>
            <w:vAlign w:val="center"/>
          </w:tcPr>
          <w:p w14:paraId="4DC2583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《中华人民共和国政府信息公开条例》《传染病防治法》</w:t>
            </w:r>
          </w:p>
        </w:tc>
        <w:tc>
          <w:tcPr>
            <w:tcW w:w="1554" w:type="dxa"/>
            <w:vAlign w:val="center"/>
          </w:tcPr>
          <w:p w14:paraId="71E6F59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行政机关应当依照本条例第十九条的规定，主动公开本行政机关的下列政府信息：（十二）突发公共事件的应急预案、预警信息及应对情况；</w:t>
            </w:r>
          </w:p>
        </w:tc>
        <w:tc>
          <w:tcPr>
            <w:tcW w:w="613" w:type="dxa"/>
            <w:vAlign w:val="center"/>
          </w:tcPr>
          <w:p w14:paraId="0F832FD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1473E7F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4404968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39C0F60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270916F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378DF1C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72995E1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5962837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疾控妇幼和基层卫生健康股</w:t>
            </w:r>
          </w:p>
        </w:tc>
        <w:tc>
          <w:tcPr>
            <w:tcW w:w="723" w:type="dxa"/>
            <w:vAlign w:val="center"/>
          </w:tcPr>
          <w:p w14:paraId="57681F9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DEAD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Align w:val="center"/>
          </w:tcPr>
          <w:p w14:paraId="136F517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权责清单</w:t>
            </w:r>
          </w:p>
        </w:tc>
        <w:tc>
          <w:tcPr>
            <w:tcW w:w="682" w:type="dxa"/>
            <w:vAlign w:val="center"/>
          </w:tcPr>
          <w:p w14:paraId="0F7C5B3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行政权力和公共服务</w:t>
            </w:r>
          </w:p>
        </w:tc>
        <w:tc>
          <w:tcPr>
            <w:tcW w:w="464" w:type="dxa"/>
            <w:vAlign w:val="center"/>
          </w:tcPr>
          <w:p w14:paraId="41DA4DE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10ADAEE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行政权力、公共服务名称，办事指南</w:t>
            </w:r>
          </w:p>
        </w:tc>
        <w:tc>
          <w:tcPr>
            <w:tcW w:w="1200" w:type="dxa"/>
            <w:vAlign w:val="center"/>
          </w:tcPr>
          <w:p w14:paraId="072168E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2C70B51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行政机关应当依照本条例第十九条的规定，主动公开本行政机关的下列政府信息：（五）办理行政许可和其他对外管理服务事项的依据、条件、程序以及办理结果；</w:t>
            </w:r>
          </w:p>
        </w:tc>
        <w:tc>
          <w:tcPr>
            <w:tcW w:w="613" w:type="dxa"/>
            <w:vAlign w:val="center"/>
          </w:tcPr>
          <w:p w14:paraId="269DC57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67A62A26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46E430A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49933D7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0CE3523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08B3225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0C09BB4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71C95E5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行政审批股</w:t>
            </w:r>
          </w:p>
        </w:tc>
        <w:tc>
          <w:tcPr>
            <w:tcW w:w="723" w:type="dxa"/>
            <w:vAlign w:val="center"/>
          </w:tcPr>
          <w:p w14:paraId="2E0085C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662BF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53" w:hRule="atLeast"/>
          <w:jc w:val="center"/>
        </w:trPr>
        <w:tc>
          <w:tcPr>
            <w:tcW w:w="771" w:type="dxa"/>
            <w:vMerge w:val="restart"/>
            <w:vAlign w:val="center"/>
          </w:tcPr>
          <w:p w14:paraId="46524CF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行政许可和行政处罚“双公示”</w:t>
            </w:r>
          </w:p>
        </w:tc>
        <w:tc>
          <w:tcPr>
            <w:tcW w:w="682" w:type="dxa"/>
            <w:vAlign w:val="center"/>
          </w:tcPr>
          <w:p w14:paraId="47F8868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行政许可</w:t>
            </w:r>
          </w:p>
        </w:tc>
        <w:tc>
          <w:tcPr>
            <w:tcW w:w="464" w:type="dxa"/>
            <w:vAlign w:val="center"/>
          </w:tcPr>
          <w:p w14:paraId="54214A0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2BFFE82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行政许可决定信息</w:t>
            </w:r>
          </w:p>
        </w:tc>
        <w:tc>
          <w:tcPr>
            <w:tcW w:w="1200" w:type="dxa"/>
            <w:vAlign w:val="center"/>
          </w:tcPr>
          <w:p w14:paraId="4D38D43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《中华人民共和国政府信息公开条例》《中华人民共和国行政许可法》</w:t>
            </w:r>
          </w:p>
        </w:tc>
        <w:tc>
          <w:tcPr>
            <w:tcW w:w="1554" w:type="dxa"/>
            <w:vAlign w:val="center"/>
          </w:tcPr>
          <w:p w14:paraId="7EAB4E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left="0" w:right="0" w:firstLine="42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（五）办理行政许可和其他对外管理服务事项的依据、条件、程序以及办理结果；</w:t>
            </w:r>
          </w:p>
        </w:tc>
        <w:tc>
          <w:tcPr>
            <w:tcW w:w="613" w:type="dxa"/>
            <w:vAlign w:val="center"/>
          </w:tcPr>
          <w:p w14:paraId="2857490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65B21D7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自信息形成或者变更之日起7个工作日内予以公开</w:t>
            </w:r>
          </w:p>
        </w:tc>
        <w:tc>
          <w:tcPr>
            <w:tcW w:w="844" w:type="dxa"/>
            <w:vAlign w:val="center"/>
          </w:tcPr>
          <w:p w14:paraId="07BDD0F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4464DE1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68AE1D7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1B38CD2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20" w:type="dxa"/>
            <w:vAlign w:val="center"/>
          </w:tcPr>
          <w:p w14:paraId="250296B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2D113BD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行政审批股</w:t>
            </w:r>
          </w:p>
        </w:tc>
        <w:tc>
          <w:tcPr>
            <w:tcW w:w="723" w:type="dxa"/>
            <w:vAlign w:val="center"/>
          </w:tcPr>
          <w:p w14:paraId="39F448B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8283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Merge w:val="continue"/>
            <w:vAlign w:val="center"/>
          </w:tcPr>
          <w:p w14:paraId="43968D5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118F9F6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行政处罚</w:t>
            </w:r>
          </w:p>
        </w:tc>
        <w:tc>
          <w:tcPr>
            <w:tcW w:w="464" w:type="dxa"/>
            <w:vAlign w:val="center"/>
          </w:tcPr>
          <w:p w14:paraId="6E1DD17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62CA2CB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行政处罚决定信息</w:t>
            </w:r>
          </w:p>
        </w:tc>
        <w:tc>
          <w:tcPr>
            <w:tcW w:w="1200" w:type="dxa"/>
            <w:vAlign w:val="center"/>
          </w:tcPr>
          <w:p w14:paraId="63D3819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《中华人民共和国政府信息公开条例》《中华人民共和国行政处罚法》</w:t>
            </w:r>
          </w:p>
        </w:tc>
        <w:tc>
          <w:tcPr>
            <w:tcW w:w="1554" w:type="dxa"/>
            <w:vAlign w:val="center"/>
          </w:tcPr>
          <w:p w14:paraId="077B18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left="0" w:right="0" w:firstLine="42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行政机关应当依照本条例第十九条的规定，主动公开本行政机关的下列政府信息：（六）实施行政处罚、行政强制的依据、条件、程序以及本行政机关认为具有一定社会影响的行政处罚决定；</w:t>
            </w:r>
          </w:p>
          <w:p w14:paraId="7EF8FC3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《中华人民共和国行政处罚法》第五条</w:t>
            </w:r>
          </w:p>
        </w:tc>
        <w:tc>
          <w:tcPr>
            <w:tcW w:w="613" w:type="dxa"/>
            <w:vAlign w:val="center"/>
          </w:tcPr>
          <w:p w14:paraId="57DA88A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783DAFC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自信息形成或者变更之日起7个工作日内予以公开</w:t>
            </w:r>
          </w:p>
        </w:tc>
        <w:tc>
          <w:tcPr>
            <w:tcW w:w="844" w:type="dxa"/>
            <w:vAlign w:val="center"/>
          </w:tcPr>
          <w:p w14:paraId="7820418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57824E6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213104A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0D0BED8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022E4F9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250AC57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行政审批股</w:t>
            </w:r>
          </w:p>
        </w:tc>
        <w:tc>
          <w:tcPr>
            <w:tcW w:w="723" w:type="dxa"/>
            <w:vAlign w:val="center"/>
          </w:tcPr>
          <w:p w14:paraId="474F3E4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61B6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1" w:hRule="atLeast"/>
          <w:jc w:val="center"/>
        </w:trPr>
        <w:tc>
          <w:tcPr>
            <w:tcW w:w="771" w:type="dxa"/>
            <w:vAlign w:val="center"/>
          </w:tcPr>
          <w:p w14:paraId="6A6DAAC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监督检查</w:t>
            </w:r>
          </w:p>
        </w:tc>
        <w:tc>
          <w:tcPr>
            <w:tcW w:w="682" w:type="dxa"/>
            <w:vAlign w:val="center"/>
          </w:tcPr>
          <w:p w14:paraId="77EEA9A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卫生健康领域监督检查</w:t>
            </w:r>
          </w:p>
        </w:tc>
        <w:tc>
          <w:tcPr>
            <w:tcW w:w="464" w:type="dxa"/>
            <w:vAlign w:val="center"/>
          </w:tcPr>
          <w:p w14:paraId="55A85A1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0D12E13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部署开展监督检查通知文件</w:t>
            </w:r>
          </w:p>
        </w:tc>
        <w:tc>
          <w:tcPr>
            <w:tcW w:w="1200" w:type="dxa"/>
            <w:vAlign w:val="center"/>
          </w:tcPr>
          <w:p w14:paraId="78723CF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620368C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第二十条　行政机关应当依照本条例第十九条的规定，主动公开本行政机关的下列政府信息：（十三）环境保护、公共卫生、安全生产、食品药品、产品质量的监督检查情况；</w:t>
            </w:r>
          </w:p>
        </w:tc>
        <w:tc>
          <w:tcPr>
            <w:tcW w:w="613" w:type="dxa"/>
            <w:vAlign w:val="center"/>
          </w:tcPr>
          <w:p w14:paraId="3E57B91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6B23D04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0ACDD79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19247E4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3755416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20F0A87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0EAD9BC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1CE043E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疾控妇幼和基层卫生健康股</w:t>
            </w:r>
          </w:p>
        </w:tc>
        <w:tc>
          <w:tcPr>
            <w:tcW w:w="723" w:type="dxa"/>
            <w:vAlign w:val="center"/>
          </w:tcPr>
          <w:p w14:paraId="01CC71F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1717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71" w:type="dxa"/>
            <w:vMerge w:val="restart"/>
            <w:vAlign w:val="center"/>
          </w:tcPr>
          <w:p w14:paraId="1919950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建议提案</w:t>
            </w:r>
          </w:p>
        </w:tc>
        <w:tc>
          <w:tcPr>
            <w:tcW w:w="682" w:type="dxa"/>
            <w:vAlign w:val="center"/>
          </w:tcPr>
          <w:p w14:paraId="1787B6D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人大代表建议</w:t>
            </w:r>
          </w:p>
        </w:tc>
        <w:tc>
          <w:tcPr>
            <w:tcW w:w="464" w:type="dxa"/>
            <w:vAlign w:val="center"/>
          </w:tcPr>
          <w:p w14:paraId="79EE372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4C04B1B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主办的人大代表建议复文</w:t>
            </w:r>
          </w:p>
        </w:tc>
        <w:tc>
          <w:tcPr>
            <w:tcW w:w="1200" w:type="dxa"/>
            <w:vAlign w:val="center"/>
          </w:tcPr>
          <w:p w14:paraId="55BBCAA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4C000A9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第十九条　对涉及公众利益调整、需要公众广泛知晓或者需要公众参与决策的政府信息，行政机关应当主动公开。</w:t>
            </w:r>
          </w:p>
        </w:tc>
        <w:tc>
          <w:tcPr>
            <w:tcW w:w="613" w:type="dxa"/>
            <w:vAlign w:val="center"/>
          </w:tcPr>
          <w:p w14:paraId="2940DD3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6EF431D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34DC79DE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7DEE8828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3DE1127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216568E9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5C917EA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4BC19005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60B29683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5D67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  <w:jc w:val="center"/>
        </w:trPr>
        <w:tc>
          <w:tcPr>
            <w:tcW w:w="771" w:type="dxa"/>
            <w:vMerge w:val="continue"/>
            <w:vAlign w:val="center"/>
          </w:tcPr>
          <w:p w14:paraId="36B21ED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35D80FE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政协委员提案</w:t>
            </w:r>
          </w:p>
        </w:tc>
        <w:tc>
          <w:tcPr>
            <w:tcW w:w="464" w:type="dxa"/>
            <w:vAlign w:val="center"/>
          </w:tcPr>
          <w:p w14:paraId="16AA843D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429EB9D2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主办的政协委员提案复文</w:t>
            </w:r>
          </w:p>
        </w:tc>
        <w:tc>
          <w:tcPr>
            <w:tcW w:w="1200" w:type="dxa"/>
            <w:vAlign w:val="center"/>
          </w:tcPr>
          <w:p w14:paraId="7F87F48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554" w:type="dxa"/>
            <w:vAlign w:val="center"/>
          </w:tcPr>
          <w:p w14:paraId="5661A38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第十九条　对涉及公众利益调整、需要公众广泛知晓或者需要公众参与决策的政府信息，行政机关应当主动公开。</w:t>
            </w:r>
          </w:p>
        </w:tc>
        <w:tc>
          <w:tcPr>
            <w:tcW w:w="613" w:type="dxa"/>
            <w:vAlign w:val="center"/>
          </w:tcPr>
          <w:p w14:paraId="44365B9A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法律法规</w:t>
            </w:r>
          </w:p>
        </w:tc>
        <w:tc>
          <w:tcPr>
            <w:tcW w:w="792" w:type="dxa"/>
            <w:vAlign w:val="center"/>
          </w:tcPr>
          <w:p w14:paraId="2AB033BF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自信息形成或者变更之日起20个工作日内予以公开</w:t>
            </w:r>
          </w:p>
        </w:tc>
        <w:tc>
          <w:tcPr>
            <w:tcW w:w="844" w:type="dxa"/>
            <w:vAlign w:val="center"/>
          </w:tcPr>
          <w:p w14:paraId="5A2EC2CB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旗卫生健康委员会</w:t>
            </w:r>
          </w:p>
        </w:tc>
        <w:tc>
          <w:tcPr>
            <w:tcW w:w="1120" w:type="dxa"/>
            <w:vAlign w:val="center"/>
          </w:tcPr>
          <w:p w14:paraId="3E1447E7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247" w:type="dxa"/>
            <w:vAlign w:val="center"/>
          </w:tcPr>
          <w:p w14:paraId="61797E94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政府网站</w:t>
            </w:r>
          </w:p>
        </w:tc>
        <w:tc>
          <w:tcPr>
            <w:tcW w:w="544" w:type="dxa"/>
            <w:vAlign w:val="center"/>
          </w:tcPr>
          <w:p w14:paraId="75EDA9F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620" w:type="dxa"/>
            <w:vAlign w:val="center"/>
          </w:tcPr>
          <w:p w14:paraId="3866F6E0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1EA21AC1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723" w:type="dxa"/>
            <w:vAlign w:val="center"/>
          </w:tcPr>
          <w:p w14:paraId="6BEBFE0C">
            <w:pPr>
              <w:pStyle w:val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5D3D0434">
      <w:pPr>
        <w:spacing w:line="69" w:lineRule="exact"/>
        <w:rPr>
          <w:sz w:val="21"/>
          <w:szCs w:val="21"/>
        </w:rPr>
      </w:pPr>
    </w:p>
    <w:p w14:paraId="3E40F188">
      <w:pPr>
        <w:spacing w:before="180" w:line="196" w:lineRule="auto"/>
        <w:ind w:left="833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  <w:t>注：公开依据、条款内容、依据效力位阶、事项</w:t>
      </w:r>
      <w:r>
        <w:rPr>
          <w:rFonts w:ascii="微软雅黑" w:hAnsi="微软雅黑" w:eastAsia="微软雅黑" w:cs="微软雅黑"/>
          <w:color w:val="333333"/>
          <w:spacing w:val="-2"/>
          <w:sz w:val="21"/>
          <w:szCs w:val="21"/>
        </w:rPr>
        <w:t>类别、对应职责内部掌握。</w:t>
      </w:r>
    </w:p>
    <w:p w14:paraId="6820776B">
      <w:pPr>
        <w:spacing w:line="196" w:lineRule="auto"/>
        <w:rPr>
          <w:rFonts w:ascii="微软雅黑" w:hAnsi="微软雅黑" w:eastAsia="微软雅黑" w:cs="微软雅黑"/>
          <w:sz w:val="21"/>
          <w:szCs w:val="21"/>
        </w:rPr>
        <w:sectPr>
          <w:footerReference r:id="rId5" w:type="default"/>
          <w:pgSz w:w="16838" w:h="11906"/>
          <w:pgMar w:top="1011" w:right="1701" w:bottom="1271" w:left="1366" w:header="0" w:footer="993" w:gutter="0"/>
          <w:cols w:space="720" w:num="1"/>
        </w:sectPr>
      </w:pPr>
    </w:p>
    <w:p w14:paraId="57F60DCF">
      <w:pPr>
        <w:spacing w:line="267" w:lineRule="auto"/>
        <w:rPr>
          <w:rFonts w:ascii="Arial"/>
          <w:sz w:val="21"/>
          <w:szCs w:val="21"/>
        </w:rPr>
      </w:pPr>
    </w:p>
    <w:p w14:paraId="5A32E409">
      <w:pPr>
        <w:spacing w:line="267" w:lineRule="auto"/>
        <w:rPr>
          <w:rFonts w:ascii="Arial"/>
          <w:sz w:val="21"/>
          <w:szCs w:val="21"/>
        </w:rPr>
      </w:pPr>
    </w:p>
    <w:p w14:paraId="5F9A6F13">
      <w:pPr>
        <w:rPr>
          <w:rFonts w:ascii="Arial"/>
          <w:sz w:val="21"/>
          <w:szCs w:val="21"/>
        </w:rPr>
      </w:pPr>
    </w:p>
    <w:sectPr>
      <w:footerReference r:id="rId6" w:type="default"/>
      <w:pgSz w:w="16838" w:h="11906"/>
      <w:pgMar w:top="1011" w:right="1282" w:bottom="1271" w:left="1281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7DFB3">
    <w:pPr>
      <w:spacing w:before="1" w:line="176" w:lineRule="auto"/>
      <w:ind w:left="34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553BE">
    <w:pPr>
      <w:pStyle w:val="2"/>
      <w:spacing w:before="1" w:line="176" w:lineRule="auto"/>
      <w:ind w:left="429"/>
    </w:pPr>
    <w:r>
      <w:rPr>
        <w:spacing w:val="-7"/>
      </w:rPr>
      <w:t>-</w:t>
    </w:r>
    <w:r>
      <w:rPr>
        <w:spacing w:val="11"/>
      </w:rPr>
      <w:t xml:space="preserve"> </w:t>
    </w:r>
    <w:r>
      <w:rPr>
        <w:spacing w:val="-7"/>
      </w:rPr>
      <w:t>6</w:t>
    </w:r>
    <w:r>
      <w:rPr>
        <w:spacing w:val="9"/>
      </w:rPr>
      <w:t xml:space="preserve"> </w:t>
    </w:r>
    <w:r>
      <w:rPr>
        <w:spacing w:val="-7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18E1F2B"/>
    <w:rsid w:val="05790131"/>
    <w:rsid w:val="05F6352F"/>
    <w:rsid w:val="0B4E1717"/>
    <w:rsid w:val="1574621E"/>
    <w:rsid w:val="1C5172BA"/>
    <w:rsid w:val="2277734E"/>
    <w:rsid w:val="24455956"/>
    <w:rsid w:val="268A6173"/>
    <w:rsid w:val="2A924D25"/>
    <w:rsid w:val="2B12230A"/>
    <w:rsid w:val="2B560448"/>
    <w:rsid w:val="2ED7364E"/>
    <w:rsid w:val="332B5D17"/>
    <w:rsid w:val="3F4343E8"/>
    <w:rsid w:val="49431BB4"/>
    <w:rsid w:val="4BC15012"/>
    <w:rsid w:val="4F253B0A"/>
    <w:rsid w:val="52065E75"/>
    <w:rsid w:val="57414988"/>
    <w:rsid w:val="587753D7"/>
    <w:rsid w:val="5A0507C0"/>
    <w:rsid w:val="6A1D56B2"/>
    <w:rsid w:val="72FD0776"/>
    <w:rsid w:val="7A3C1B84"/>
    <w:rsid w:val="7E1F3C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3224</Words>
  <Characters>3246</Characters>
  <TotalTime>16</TotalTime>
  <ScaleCrop>false</ScaleCrop>
  <LinksUpToDate>false</LinksUpToDate>
  <CharactersWithSpaces>3271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2025-02-21T16:43:00Z</dcterms:created>
  <dc:creator>乌海市人民政府:</dc:creator>
  <cp:lastModifiedBy>绿茶咖啡</cp:lastModifiedBy>
  <dcterms:modified xsi:type="dcterms:W3CDTF">2025-03-21T08:14:23Z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2025-02-21T16:43:58Z</vt:filetime>
  </property>
  <property fmtid="{D5CDD505-2E9C-101B-9397-08002B2CF9AE}" pid="4" name="KSOProductBuildVer">
    <vt:lpwstr>2052-12.1.0.20305</vt:lpwstr>
  </property>
  <property fmtid="{D5CDD505-2E9C-101B-9397-08002B2CF9AE}" pid="5" name="ICV">
    <vt:lpwstr>5E07D3EA9942490CA7EFB26B297DCAF8_12</vt:lpwstr>
  </property>
  <property fmtid="{D5CDD505-2E9C-101B-9397-08002B2CF9AE}" pid="6" name="KSOTemplateDocerSaveRecord">
    <vt:lpwstr>eyJoZGlkIjoiOWU0ZjUyMzQ1ZDEwN2FiYzE2OTQzYzcwODIxYzMwY2IiLCJ1c2VySWQiOiIzMDQ2NjczODEifQ==</vt:lpwstr>
  </property>
</Properties>
</file>