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26"/>
      <w:r>
        <w:rPr>
          <w:rFonts w:hint="eastAsia" w:ascii="方正小标宋_GBK" w:hAnsi="方正小标宋_GBK" w:eastAsia="方正小标宋_GBK"/>
          <w:b w:val="0"/>
          <w:bCs w:val="0"/>
          <w:sz w:val="30"/>
        </w:rPr>
        <w:t>（二十三）救灾生产领域基层政务公开标准目录</w:t>
      </w:r>
      <w:bookmarkEnd w:id="0"/>
    </w:p>
    <w:tbl>
      <w:tblPr>
        <w:tblStyle w:val="9"/>
        <w:tblW w:w="15660" w:type="dxa"/>
        <w:tblInd w:w="-844" w:type="dxa"/>
        <w:tblLayout w:type="fixed"/>
        <w:tblCellMar>
          <w:top w:w="0" w:type="dxa"/>
          <w:left w:w="108" w:type="dxa"/>
          <w:bottom w:w="0" w:type="dxa"/>
          <w:right w:w="108" w:type="dxa"/>
        </w:tblCellMar>
      </w:tblPr>
      <w:tblGrid>
        <w:gridCol w:w="540"/>
        <w:gridCol w:w="900"/>
        <w:gridCol w:w="1080"/>
        <w:gridCol w:w="2700"/>
        <w:gridCol w:w="1968"/>
        <w:gridCol w:w="2160"/>
        <w:gridCol w:w="1183"/>
        <w:gridCol w:w="1405"/>
        <w:gridCol w:w="540"/>
        <w:gridCol w:w="720"/>
        <w:gridCol w:w="540"/>
        <w:gridCol w:w="720"/>
        <w:gridCol w:w="540"/>
        <w:gridCol w:w="664"/>
      </w:tblGrid>
      <w:tr>
        <w:tblPrEx>
          <w:tblCellMar>
            <w:top w:w="0" w:type="dxa"/>
            <w:left w:w="108" w:type="dxa"/>
            <w:bottom w:w="0" w:type="dxa"/>
            <w:right w:w="108" w:type="dxa"/>
          </w:tblCellMar>
        </w:tblPrEx>
        <w:trPr>
          <w:trHeight w:val="420" w:hRule="atLeast"/>
        </w:trPr>
        <w:tc>
          <w:tcPr>
            <w:tcW w:w="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8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tblPrEx>
          <w:tblCellMar>
            <w:top w:w="0" w:type="dxa"/>
            <w:left w:w="108" w:type="dxa"/>
            <w:bottom w:w="0" w:type="dxa"/>
            <w:right w:w="108" w:type="dxa"/>
          </w:tblCellMar>
        </w:tblPrEx>
        <w:trPr>
          <w:trHeight w:val="1123" w:hRule="atLeast"/>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Times New Roman" w:eastAsia="仿宋_GB2312"/>
                <w:color w:val="000000"/>
                <w:kern w:val="0"/>
                <w:sz w:val="18"/>
                <w:szCs w:val="18"/>
              </w:rPr>
            </w:pPr>
          </w:p>
        </w:tc>
        <w:tc>
          <w:tcPr>
            <w:tcW w:w="90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9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color w:val="000000"/>
                <w:kern w:val="0"/>
                <w:sz w:val="22"/>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黑体" w:hAnsi="宋体" w:eastAsia="黑体" w:cs="宋体"/>
                <w:color w:val="000000"/>
                <w:kern w:val="0"/>
                <w:sz w:val="22"/>
              </w:rPr>
            </w:pP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黑体" w:hAnsi="宋体" w:eastAsia="黑体" w:cs="宋体"/>
                <w:kern w:val="0"/>
                <w:sz w:val="22"/>
              </w:rPr>
            </w:pPr>
          </w:p>
        </w:tc>
        <w:tc>
          <w:tcPr>
            <w:tcW w:w="54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64" w:type="dxa"/>
            <w:tcBorders>
              <w:top w:val="nil"/>
              <w:left w:val="nil"/>
              <w:bottom w:val="single" w:color="auto" w:sz="4" w:space="0"/>
              <w:right w:val="single" w:color="auto" w:sz="4" w:space="0"/>
            </w:tcBorders>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tblPrEx>
          <w:tblCellMar>
            <w:top w:w="0" w:type="dxa"/>
            <w:left w:w="108" w:type="dxa"/>
            <w:bottom w:w="0" w:type="dxa"/>
            <w:right w:w="108" w:type="dxa"/>
          </w:tblCellMar>
        </w:tblPrEx>
        <w:trPr>
          <w:trHeight w:val="908"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left w:val="nil"/>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法律法规</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■两微一端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952"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left w:val="nil"/>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部门和地方规章</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与救灾有关的部门和地方规章、规范性文件</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■两微一端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82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left w:val="nil"/>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tcPr>
          <w:p>
            <w:pPr>
              <w:spacing w:line="240" w:lineRule="exact"/>
              <w:jc w:val="left"/>
              <w:rPr>
                <w:rFonts w:ascii="仿宋_GB2312" w:eastAsia="仿宋_GB2312"/>
                <w:sz w:val="18"/>
                <w:szCs w:val="18"/>
              </w:rPr>
            </w:pPr>
            <w:r>
              <w:rPr>
                <w:rFonts w:hint="eastAsia" w:ascii="仿宋_GB2312" w:eastAsia="仿宋_GB2312"/>
                <w:sz w:val="18"/>
                <w:szCs w:val="18"/>
              </w:rPr>
              <w:t>■政府网站</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970"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continue"/>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tcPr>
          <w:p>
            <w:pPr>
              <w:spacing w:line="240" w:lineRule="exact"/>
              <w:jc w:val="left"/>
              <w:rPr>
                <w:rFonts w:ascii="仿宋_GB2312" w:eastAsia="仿宋_GB2312"/>
                <w:sz w:val="18"/>
                <w:szCs w:val="18"/>
              </w:rPr>
            </w:pPr>
            <w:r>
              <w:rPr>
                <w:rFonts w:hint="eastAsia" w:ascii="仿宋_GB2312" w:eastAsia="仿宋_GB2312"/>
                <w:sz w:val="18"/>
                <w:szCs w:val="18"/>
              </w:rPr>
              <w:t>■政府网站</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237"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5</w:t>
            </w:r>
          </w:p>
        </w:tc>
        <w:tc>
          <w:tcPr>
            <w:tcW w:w="900" w:type="dxa"/>
            <w:vMerge w:val="restart"/>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重大决策草案</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涉及管理相对人切身利益、需社会广泛知晓的重要改革方案等重大决策，决策前向社会公开决策草案、决策依据</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■两微一端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6</w:t>
            </w:r>
          </w:p>
        </w:tc>
        <w:tc>
          <w:tcPr>
            <w:tcW w:w="900" w:type="dxa"/>
            <w:vMerge w:val="continue"/>
            <w:tcBorders>
              <w:top w:val="single" w:color="auto" w:sz="4" w:space="0"/>
              <w:left w:val="nil"/>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重大政策解读及回应</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eastAsia="仿宋_GB2312"/>
                <w:color w:val="000000"/>
                <w:sz w:val="18"/>
                <w:szCs w:val="18"/>
              </w:rPr>
            </w:pPr>
            <w:r>
              <w:rPr>
                <w:rFonts w:hint="eastAsia" w:ascii="仿宋_GB2312" w:eastAsia="仿宋_GB2312"/>
                <w:color w:val="000000"/>
                <w:sz w:val="18"/>
                <w:szCs w:val="18"/>
              </w:rPr>
              <w:t xml:space="preserve">有关重大政策的解读及回应                       </w:t>
            </w:r>
          </w:p>
          <w:p>
            <w:pPr>
              <w:rPr>
                <w:rFonts w:ascii="仿宋_GB2312" w:hAnsi="宋体" w:eastAsia="仿宋_GB2312" w:cs="宋体"/>
                <w:color w:val="000000"/>
                <w:sz w:val="18"/>
                <w:szCs w:val="18"/>
              </w:rPr>
            </w:pPr>
            <w:r>
              <w:rPr>
                <w:rFonts w:hint="eastAsia" w:ascii="仿宋_GB2312" w:eastAsia="仿宋_GB2312"/>
                <w:color w:val="000000"/>
                <w:sz w:val="18"/>
                <w:szCs w:val="18"/>
              </w:rPr>
              <w:t>相关热点问题的解读及回应</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《中华人民共和国政府信息公开条例》、《国务院办公厅关于在政务公开工作中进一步做好政务舆情回应的通知》</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重大决策作出后及时公开</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7</w:t>
            </w:r>
          </w:p>
        </w:tc>
        <w:tc>
          <w:tcPr>
            <w:tcW w:w="900" w:type="dxa"/>
            <w:vMerge w:val="continue"/>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重要会议</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以会议讨论作出重要改革方案等重大决策时，经党组研究认为有必要公开讨论决策过程的会议</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提前一周发通知邀请</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8</w:t>
            </w:r>
          </w:p>
        </w:tc>
        <w:tc>
          <w:tcPr>
            <w:tcW w:w="900" w:type="dxa"/>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征集采纳社会公众意见情况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重大决策草案公布后征集到的社会公众意见情况、采纳与否情况及理由等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《中华人民共和国政府信息公开条例》、《关于全面推进政务公开工作的意见》</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征求意见时对外公布的时限内公开</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p>
          <w:p>
            <w:pPr>
              <w:spacing w:line="240" w:lineRule="exact"/>
              <w:jc w:val="left"/>
              <w:rPr>
                <w:rFonts w:ascii="仿宋_GB2312" w:hAnsi="宋体" w:eastAsia="仿宋_GB2312" w:cs="宋体"/>
                <w:sz w:val="18"/>
                <w:szCs w:val="18"/>
              </w:rPr>
            </w:pP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w:t>
            </w:r>
          </w:p>
        </w:tc>
        <w:tc>
          <w:tcPr>
            <w:tcW w:w="900" w:type="dxa"/>
            <w:vMerge w:val="restart"/>
            <w:tcBorders>
              <w:left w:val="nil"/>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备灾</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综合减灾示范社区</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综合减灾示范社区分布情况（其具体位置、创建时间、创建级别等）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《中华人民共和国政府信息公开条例》、《社会救助暂行办法》、《国家综合防灾减灾规划（2016-2020年）》</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900" w:type="dxa"/>
            <w:vMerge w:val="continue"/>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030"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900" w:type="dxa"/>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本行政区域内因自然灾害造成的损失情况（受灾时间、灾害种类、受灾范围）</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13</w:t>
            </w:r>
          </w:p>
        </w:tc>
        <w:tc>
          <w:tcPr>
            <w:tcW w:w="900"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自然灾害救助（6类）的救助对象、申报材料、办理程序及时限等</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sz w:val="18"/>
                <w:szCs w:val="18"/>
              </w:rPr>
              <w:t>√</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900" w:type="dxa"/>
            <w:tcBorders>
              <w:left w:val="nil"/>
              <w:right w:val="single" w:color="auto" w:sz="4" w:space="0"/>
            </w:tcBorders>
            <w:shd w:val="clear" w:color="auto" w:fill="auto"/>
            <w:vAlign w:val="center"/>
          </w:tcPr>
          <w:p>
            <w:pPr>
              <w:jc w:val="center"/>
              <w:rPr>
                <w:rFonts w:ascii="仿宋_GB2312" w:eastAsia="仿宋_GB2312"/>
                <w:sz w:val="18"/>
                <w:szCs w:val="18"/>
              </w:rPr>
            </w:pPr>
            <w:r>
              <w:rPr>
                <w:rFonts w:hint="eastAsia" w:ascii="仿宋_GB2312" w:eastAsia="仿宋_GB2312"/>
                <w:sz w:val="18"/>
                <w:szCs w:val="18"/>
              </w:rPr>
              <w:t>灾害</w:t>
            </w:r>
          </w:p>
          <w:p>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sz w:val="18"/>
                <w:szCs w:val="18"/>
              </w:rPr>
              <w:t>应急管理部门审批</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救助款物通知</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113"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w:t>
            </w:r>
          </w:p>
        </w:tc>
        <w:tc>
          <w:tcPr>
            <w:tcW w:w="900" w:type="dxa"/>
            <w:vMerge w:val="restart"/>
            <w:tcBorders>
              <w:left w:val="nil"/>
              <w:right w:val="single" w:color="auto" w:sz="4" w:space="0"/>
            </w:tcBorders>
            <w:shd w:val="clear" w:color="auto" w:fill="auto"/>
            <w:vAlign w:val="center"/>
          </w:tcPr>
          <w:p>
            <w:pPr>
              <w:jc w:val="center"/>
              <w:rPr>
                <w:rFonts w:ascii="仿宋_GB2312" w:eastAsia="仿宋_GB2312"/>
                <w:sz w:val="18"/>
                <w:szCs w:val="18"/>
              </w:rPr>
            </w:pPr>
            <w:r>
              <w:rPr>
                <w:rFonts w:hint="eastAsia" w:ascii="仿宋_GB2312" w:eastAsia="仿宋_GB2312"/>
                <w:sz w:val="18"/>
                <w:szCs w:val="18"/>
              </w:rPr>
              <w:t>灾后</w:t>
            </w:r>
          </w:p>
          <w:p>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color w:val="000000"/>
                <w:sz w:val="18"/>
                <w:szCs w:val="18"/>
              </w:rPr>
            </w:pPr>
            <w:r>
              <w:rPr>
                <w:rFonts w:hint="eastAsia" w:ascii="仿宋_GB2312" w:eastAsia="仿宋_GB2312"/>
                <w:sz w:val="18"/>
                <w:szCs w:val="18"/>
              </w:rPr>
              <w:t>因灾过渡期生活救助标准、过渡期生活救助对象评议结果公示（灾民姓名、受灾情况、拟救助金额、监督举报电话）                                         过渡期生活救助对象确定（灾民姓名、受灾情况、救助金额、监督举报电话)</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公开查阅点  </w:t>
            </w:r>
            <w:r>
              <w:rPr>
                <w:rFonts w:hint="eastAsia" w:ascii="仿宋_GB2312" w:eastAsia="仿宋_GB2312"/>
                <w:sz w:val="18"/>
                <w:szCs w:val="18"/>
              </w:rPr>
              <w:br w:type="textWrapping"/>
            </w:r>
            <w:r>
              <w:rPr>
                <w:rFonts w:hint="eastAsia" w:ascii="仿宋_GB2312" w:eastAsia="仿宋_GB2312"/>
                <w:sz w:val="18"/>
                <w:szCs w:val="18"/>
              </w:rPr>
              <w:t>（镇、村级）</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2403"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900" w:type="dxa"/>
            <w:vMerge w:val="continue"/>
            <w:tcBorders>
              <w:left w:val="nil"/>
              <w:bottom w:val="single" w:color="auto" w:sz="4" w:space="0"/>
              <w:right w:val="single" w:color="auto" w:sz="4" w:space="0"/>
            </w:tcBorders>
            <w:shd w:val="clear" w:color="auto" w:fill="auto"/>
            <w:vAlign w:val="center"/>
          </w:tcPr>
          <w:p>
            <w:pPr>
              <w:jc w:val="center"/>
              <w:rPr>
                <w:rFonts w:ascii="仿宋_GB2312" w:hAnsi="宋体" w:eastAsia="仿宋_GB2312" w:cs="宋体"/>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eastAsia="仿宋_GB2312"/>
                <w:sz w:val="18"/>
                <w:szCs w:val="18"/>
              </w:rPr>
            </w:pPr>
            <w:r>
              <w:rPr>
                <w:rFonts w:hint="eastAsia" w:ascii="仿宋_GB2312" w:eastAsia="仿宋_GB2312"/>
                <w:sz w:val="18"/>
                <w:szCs w:val="18"/>
              </w:rPr>
              <w:t xml:space="preserve">居民住房恢复重建救助标准（居民因灾倒房、损房恢复重建具体救助标准）                            </w:t>
            </w:r>
          </w:p>
          <w:p>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《中华人民共和国政府信息公开条例》、《自然灾害救助条例》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公开查阅点 （镇、村级）</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6"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17</w:t>
            </w:r>
          </w:p>
        </w:tc>
        <w:tc>
          <w:tcPr>
            <w:tcW w:w="900" w:type="dxa"/>
            <w:tcBorders>
              <w:top w:val="single" w:color="auto" w:sz="4" w:space="0"/>
              <w:left w:val="single" w:color="auto" w:sz="6" w:space="0"/>
              <w:bottom w:val="single" w:color="auto" w:sz="4" w:space="0"/>
              <w:right w:val="single" w:color="auto" w:sz="6" w:space="0"/>
            </w:tcBorders>
            <w:shd w:val="clear" w:color="auto" w:fill="auto"/>
            <w:vAlign w:val="center"/>
          </w:tcPr>
          <w:p>
            <w:pPr>
              <w:jc w:val="center"/>
              <w:rPr>
                <w:rFonts w:ascii="仿宋_GB2312" w:eastAsia="仿宋_GB2312"/>
                <w:sz w:val="18"/>
                <w:szCs w:val="18"/>
              </w:rPr>
            </w:pPr>
            <w:r>
              <w:rPr>
                <w:rFonts w:hint="eastAsia" w:ascii="仿宋_GB2312" w:eastAsia="仿宋_GB2312"/>
                <w:sz w:val="18"/>
                <w:szCs w:val="18"/>
              </w:rPr>
              <w:t>款物</w:t>
            </w:r>
          </w:p>
          <w:p>
            <w:pPr>
              <w:jc w:val="center"/>
              <w:rPr>
                <w:rFonts w:ascii="仿宋_GB2312" w:hAnsi="宋体" w:eastAsia="仿宋_GB2312" w:cs="宋体"/>
                <w:color w:val="000000"/>
                <w:sz w:val="18"/>
                <w:szCs w:val="18"/>
              </w:rPr>
            </w:pPr>
            <w:r>
              <w:rPr>
                <w:rFonts w:hint="eastAsia" w:ascii="仿宋_GB2312" w:eastAsia="仿宋_GB2312"/>
                <w:sz w:val="18"/>
                <w:szCs w:val="18"/>
              </w:rPr>
              <w:t>管理</w:t>
            </w:r>
          </w:p>
        </w:tc>
        <w:tc>
          <w:tcPr>
            <w:tcW w:w="1080" w:type="dxa"/>
            <w:tcBorders>
              <w:top w:val="single" w:color="auto" w:sz="4" w:space="0"/>
              <w:left w:val="single" w:color="auto" w:sz="6" w:space="0"/>
              <w:bottom w:val="single" w:color="auto" w:sz="4" w:space="0"/>
              <w:right w:val="single" w:color="auto" w:sz="6"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捐赠款物信息</w:t>
            </w:r>
          </w:p>
        </w:tc>
        <w:tc>
          <w:tcPr>
            <w:tcW w:w="2700" w:type="dxa"/>
            <w:tcBorders>
              <w:top w:val="single" w:color="auto" w:sz="4" w:space="0"/>
              <w:left w:val="single" w:color="auto" w:sz="6" w:space="0"/>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年度捐赠款物信息以及款物使用情况</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按进展情况及时公开</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18</w:t>
            </w:r>
          </w:p>
        </w:tc>
        <w:tc>
          <w:tcPr>
            <w:tcW w:w="900" w:type="dxa"/>
            <w:vMerge w:val="restart"/>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eastAsia="仿宋_GB2312"/>
                <w:color w:val="000000"/>
                <w:sz w:val="18"/>
                <w:szCs w:val="18"/>
              </w:rPr>
            </w:pPr>
            <w:r>
              <w:rPr>
                <w:rFonts w:hint="eastAsia" w:ascii="仿宋_GB2312" w:eastAsia="仿宋_GB2312"/>
                <w:color w:val="000000"/>
                <w:sz w:val="18"/>
                <w:szCs w:val="18"/>
              </w:rPr>
              <w:t>工作</w:t>
            </w:r>
          </w:p>
          <w:p>
            <w:pPr>
              <w:jc w:val="center"/>
              <w:rPr>
                <w:rFonts w:ascii="仿宋_GB2312" w:hAnsi="宋体" w:eastAsia="仿宋_GB2312" w:cs="宋体"/>
                <w:sz w:val="18"/>
                <w:szCs w:val="18"/>
              </w:rPr>
            </w:pPr>
            <w:r>
              <w:rPr>
                <w:rFonts w:hint="eastAsia" w:ascii="仿宋_GB2312" w:eastAsia="仿宋_GB2312"/>
                <w:color w:val="000000"/>
                <w:sz w:val="18"/>
                <w:szCs w:val="18"/>
              </w:rPr>
              <w:t>动态</w:t>
            </w:r>
          </w:p>
        </w:tc>
        <w:tc>
          <w:tcPr>
            <w:tcW w:w="108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年度款物使用情况</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年度救灾资金和救灾物资等使用情况</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sz w:val="18"/>
                <w:szCs w:val="18"/>
              </w:rPr>
              <w:t>按进展情况及时公开</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r>
        <w:tblPrEx>
          <w:tblCellMar>
            <w:top w:w="0" w:type="dxa"/>
            <w:left w:w="108" w:type="dxa"/>
            <w:bottom w:w="0" w:type="dxa"/>
            <w:right w:w="108" w:type="dxa"/>
          </w:tblCellMar>
        </w:tblPrEx>
        <w:trPr>
          <w:trHeight w:val="1086" w:hRule="atLeast"/>
        </w:trPr>
        <w:tc>
          <w:tcPr>
            <w:tcW w:w="540" w:type="dxa"/>
            <w:tcBorders>
              <w:top w:val="single" w:color="auto" w:sz="4" w:space="0"/>
              <w:left w:val="single" w:color="auto" w:sz="4" w:space="0"/>
              <w:bottom w:val="single" w:color="auto" w:sz="4" w:space="0"/>
              <w:right w:val="single" w:color="auto" w:sz="6"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19</w:t>
            </w:r>
          </w:p>
        </w:tc>
        <w:tc>
          <w:tcPr>
            <w:tcW w:w="900" w:type="dxa"/>
            <w:vMerge w:val="continue"/>
            <w:tcBorders>
              <w:top w:val="single" w:color="auto" w:sz="4" w:space="0"/>
              <w:left w:val="single" w:color="auto" w:sz="6" w:space="0"/>
              <w:bottom w:val="single" w:color="auto" w:sz="4" w:space="0"/>
              <w:right w:val="single" w:color="auto" w:sz="6" w:space="0"/>
            </w:tcBorders>
            <w:shd w:val="clear" w:color="auto" w:fill="auto"/>
            <w:vAlign w:val="center"/>
          </w:tcPr>
          <w:p>
            <w:pPr>
              <w:jc w:val="center"/>
              <w:rPr>
                <w:rFonts w:ascii="仿宋_GB2312" w:hAnsi="宋体" w:eastAsia="仿宋_GB2312" w:cs="宋体"/>
                <w:color w:val="000000"/>
                <w:sz w:val="18"/>
                <w:szCs w:val="18"/>
              </w:rPr>
            </w:pPr>
          </w:p>
        </w:tc>
        <w:tc>
          <w:tcPr>
            <w:tcW w:w="1080" w:type="dxa"/>
            <w:tcBorders>
              <w:top w:val="single" w:color="auto" w:sz="4" w:space="0"/>
              <w:left w:val="single" w:color="auto" w:sz="6" w:space="0"/>
              <w:bottom w:val="single" w:color="auto" w:sz="4" w:space="0"/>
              <w:right w:val="single" w:color="auto" w:sz="6"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工作信息</w:t>
            </w:r>
          </w:p>
        </w:tc>
        <w:tc>
          <w:tcPr>
            <w:tcW w:w="2700" w:type="dxa"/>
            <w:tcBorders>
              <w:top w:val="single" w:color="auto" w:sz="4" w:space="0"/>
              <w:left w:val="single" w:color="auto" w:sz="6" w:space="0"/>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防灾减灾救灾其他相关动态信息</w:t>
            </w:r>
          </w:p>
        </w:tc>
        <w:tc>
          <w:tcPr>
            <w:tcW w:w="196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《中华人民共和国政府信息公开条例》</w:t>
            </w:r>
          </w:p>
        </w:tc>
        <w:tc>
          <w:tcPr>
            <w:tcW w:w="21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按进展</w:t>
            </w:r>
            <w:bookmarkStart w:id="1" w:name="_GoBack"/>
            <w:bookmarkEnd w:id="1"/>
            <w:r>
              <w:rPr>
                <w:rFonts w:hint="eastAsia" w:ascii="仿宋_GB2312" w:eastAsia="仿宋_GB2312"/>
                <w:sz w:val="18"/>
                <w:szCs w:val="18"/>
              </w:rPr>
              <w:t>情况及时公开</w:t>
            </w:r>
          </w:p>
        </w:tc>
        <w:tc>
          <w:tcPr>
            <w:tcW w:w="1183"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sz w:val="18"/>
                <w:szCs w:val="18"/>
              </w:rPr>
            </w:pPr>
            <w:r>
              <w:rPr>
                <w:rFonts w:hint="eastAsia" w:ascii="仿宋_GB2312" w:eastAsia="仿宋_GB2312"/>
                <w:sz w:val="18"/>
                <w:szCs w:val="18"/>
              </w:rPr>
              <w:t>应急管理部门</w:t>
            </w:r>
          </w:p>
        </w:tc>
        <w:tc>
          <w:tcPr>
            <w:tcW w:w="14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rPr>
                <w:rFonts w:ascii="仿宋_GB2312" w:eastAsia="仿宋_GB2312"/>
                <w:sz w:val="18"/>
                <w:szCs w:val="18"/>
              </w:rPr>
            </w:pPr>
            <w:r>
              <w:rPr>
                <w:rFonts w:hint="eastAsia" w:ascii="仿宋_GB2312" w:eastAsia="仿宋_GB2312"/>
                <w:sz w:val="18"/>
                <w:szCs w:val="18"/>
              </w:rPr>
              <w:t xml:space="preserve">■政府网站   </w:t>
            </w:r>
            <w:r>
              <w:rPr>
                <w:rFonts w:hint="eastAsia" w:ascii="仿宋_GB2312" w:eastAsia="仿宋_GB2312"/>
                <w:sz w:val="18"/>
                <w:szCs w:val="18"/>
              </w:rPr>
              <w:br w:type="textWrapping"/>
            </w:r>
            <w:r>
              <w:rPr>
                <w:rFonts w:hint="eastAsia" w:ascii="仿宋_GB2312" w:eastAsia="仿宋_GB2312"/>
                <w:sz w:val="18"/>
                <w:szCs w:val="18"/>
              </w:rPr>
              <w:t xml:space="preserve">■两微一端   </w:t>
            </w:r>
            <w:r>
              <w:rPr>
                <w:rFonts w:hint="eastAsia" w:ascii="仿宋_GB2312" w:eastAsia="仿宋_GB2312"/>
                <w:sz w:val="18"/>
                <w:szCs w:val="18"/>
              </w:rPr>
              <w:br w:type="textWrapping"/>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c>
          <w:tcPr>
            <w:tcW w:w="664" w:type="dxa"/>
            <w:tcBorders>
              <w:top w:val="single" w:color="auto" w:sz="4" w:space="0"/>
              <w:left w:val="nil"/>
              <w:bottom w:val="single" w:color="auto" w:sz="4" w:space="0"/>
              <w:right w:val="single" w:color="auto" w:sz="4" w:space="0"/>
            </w:tcBorders>
            <w:shd w:val="clear" w:color="auto" w:fill="auto"/>
            <w:vAlign w:val="center"/>
          </w:tcPr>
          <w:p>
            <w:pPr>
              <w:rPr>
                <w:rFonts w:ascii="仿宋_GB2312" w:hAnsi="宋体" w:eastAsia="仿宋_GB2312" w:cs="宋体"/>
                <w:sz w:val="18"/>
                <w:szCs w:val="18"/>
              </w:rPr>
            </w:pPr>
            <w:r>
              <w:rPr>
                <w:rFonts w:hint="eastAsia" w:ascii="仿宋_GB2312" w:eastAsia="仿宋_GB2312"/>
                <w:sz w:val="18"/>
                <w:szCs w:val="18"/>
              </w:rPr>
              <w:t>√</w:t>
            </w:r>
          </w:p>
        </w:tc>
      </w:tr>
    </w:tbl>
    <w:tbl>
      <w:tblPr>
        <w:tblStyle w:val="10"/>
        <w:tblpPr w:leftFromText="180" w:rightFromText="180" w:vertAnchor="text" w:tblpX="-1372" w:tblpY="-20413"/>
        <w:tblOverlap w:val="never"/>
        <w:tblW w:w="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60" w:type="dxa"/>
          </w:tcPr>
          <w:p>
            <w:pPr>
              <w:jc w:val="center"/>
              <w:rPr>
                <w:rFonts w:ascii="Times New Roman" w:hAnsi="Times New Roman" w:eastAsia="方正小标宋_GBK"/>
                <w:sz w:val="28"/>
                <w:szCs w:val="28"/>
                <w:lang w:bidi="mn-Mong-CN"/>
              </w:rPr>
            </w:pPr>
          </w:p>
        </w:tc>
      </w:tr>
    </w:tbl>
    <w:p>
      <w:pPr>
        <w:jc w:val="center"/>
        <w:rPr>
          <w:rFonts w:ascii="Times New Roman" w:hAnsi="Times New Roman" w:eastAsia="方正小标宋_GBK"/>
          <w:sz w:val="28"/>
          <w:szCs w:val="28"/>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JiZDFmYzk2ZWNjNDFhZDRkMmI3NDg0NzYzMjUxYzYifQ=="/>
  </w:docVars>
  <w:rsids>
    <w:rsidRoot w:val="00416393"/>
    <w:rsid w:val="00146120"/>
    <w:rsid w:val="00190068"/>
    <w:rsid w:val="00193DB9"/>
    <w:rsid w:val="001E6D63"/>
    <w:rsid w:val="002967AA"/>
    <w:rsid w:val="002E0878"/>
    <w:rsid w:val="002F05A8"/>
    <w:rsid w:val="003B2C77"/>
    <w:rsid w:val="004077CB"/>
    <w:rsid w:val="00416393"/>
    <w:rsid w:val="00505CE0"/>
    <w:rsid w:val="00590A2F"/>
    <w:rsid w:val="00612901"/>
    <w:rsid w:val="006A4856"/>
    <w:rsid w:val="006B2C7F"/>
    <w:rsid w:val="0077273F"/>
    <w:rsid w:val="00794728"/>
    <w:rsid w:val="008438B0"/>
    <w:rsid w:val="00902A01"/>
    <w:rsid w:val="00A41EEC"/>
    <w:rsid w:val="00A51261"/>
    <w:rsid w:val="00AA6B60"/>
    <w:rsid w:val="00B1145B"/>
    <w:rsid w:val="00B1299C"/>
    <w:rsid w:val="00B56955"/>
    <w:rsid w:val="00C3715A"/>
    <w:rsid w:val="00D0207F"/>
    <w:rsid w:val="00D31D5E"/>
    <w:rsid w:val="00F07C25"/>
    <w:rsid w:val="00FA002F"/>
    <w:rsid w:val="02FD3DE6"/>
    <w:rsid w:val="06537477"/>
    <w:rsid w:val="16560B1C"/>
    <w:rsid w:val="3E267413"/>
    <w:rsid w:val="4D917C50"/>
    <w:rsid w:val="56A2039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qFormat/>
    <w:uiPriority w:val="0"/>
    <w:pPr>
      <w:jc w:val="left"/>
    </w:pPr>
  </w:style>
  <w:style w:type="paragraph" w:styleId="4">
    <w:name w:val="Balloon Text"/>
    <w:basedOn w:val="1"/>
    <w:link w:val="20"/>
    <w:semiHidden/>
    <w:qFormat/>
    <w:uiPriority w:val="0"/>
    <w:rPr>
      <w:sz w:val="18"/>
      <w:szCs w:val="18"/>
    </w:rPr>
  </w:style>
  <w:style w:type="paragraph" w:styleId="5">
    <w:name w:val="footer"/>
    <w:basedOn w:val="1"/>
    <w:link w:val="23"/>
    <w:qFormat/>
    <w:uiPriority w:val="0"/>
    <w:pPr>
      <w:tabs>
        <w:tab w:val="center" w:pos="4153"/>
        <w:tab w:val="right" w:pos="8306"/>
      </w:tabs>
      <w:snapToGrid w:val="0"/>
      <w:jc w:val="left"/>
    </w:pPr>
    <w:rPr>
      <w:sz w:val="18"/>
      <w:szCs w:val="18"/>
    </w:rPr>
  </w:style>
  <w:style w:type="paragraph" w:styleId="6">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9"/>
    <w:semiHidden/>
    <w:qFormat/>
    <w:uiPriority w:val="0"/>
    <w:rPr>
      <w:b/>
      <w:bCs/>
    </w:rPr>
  </w:style>
  <w:style w:type="table" w:styleId="10">
    <w:name w:val="Table Grid"/>
    <w:basedOn w:val="9"/>
    <w:qFormat/>
    <w:uiPriority w:val="0"/>
    <w:rPr>
      <w:rFonts w:ascii="Calibri" w:hAnsi="Calibri" w:eastAsia="宋体" w:cs="Times New Roman"/>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character" w:styleId="14">
    <w:name w:val="Hyperlink"/>
    <w:qFormat/>
    <w:uiPriority w:val="0"/>
    <w:rPr>
      <w:color w:val="0000FF"/>
      <w:u w:val="single"/>
    </w:rPr>
  </w:style>
  <w:style w:type="character" w:styleId="15">
    <w:name w:val="annotation reference"/>
    <w:semiHidden/>
    <w:qFormat/>
    <w:uiPriority w:val="0"/>
    <w:rPr>
      <w:sz w:val="21"/>
      <w:szCs w:val="21"/>
    </w:rPr>
  </w:style>
  <w:style w:type="character" w:customStyle="1" w:styleId="16">
    <w:name w:val="标题 1 Char"/>
    <w:basedOn w:val="11"/>
    <w:link w:val="2"/>
    <w:qFormat/>
    <w:uiPriority w:val="0"/>
    <w:rPr>
      <w:rFonts w:ascii="Calibri" w:hAnsi="Calibri" w:eastAsia="宋体" w:cs="Times New Roman"/>
      <w:b/>
      <w:bCs/>
      <w:kern w:val="44"/>
      <w:sz w:val="44"/>
      <w:szCs w:val="44"/>
    </w:rPr>
  </w:style>
  <w:style w:type="paragraph" w:customStyle="1" w:styleId="17">
    <w:name w:val="列出段落1"/>
    <w:basedOn w:val="1"/>
    <w:qFormat/>
    <w:uiPriority w:val="0"/>
    <w:pPr>
      <w:ind w:firstLine="420" w:firstLineChars="200"/>
    </w:pPr>
    <w:rPr>
      <w:rFonts w:ascii="等线" w:hAnsi="等线" w:eastAsia="等线"/>
    </w:rPr>
  </w:style>
  <w:style w:type="character" w:customStyle="1" w:styleId="18">
    <w:name w:val="批注文字 Char"/>
    <w:basedOn w:val="11"/>
    <w:link w:val="3"/>
    <w:semiHidden/>
    <w:qFormat/>
    <w:uiPriority w:val="0"/>
    <w:rPr>
      <w:rFonts w:ascii="Calibri" w:hAnsi="Calibri" w:eastAsia="宋体" w:cs="Times New Roman"/>
    </w:rPr>
  </w:style>
  <w:style w:type="character" w:customStyle="1" w:styleId="19">
    <w:name w:val="批注主题 Char"/>
    <w:basedOn w:val="18"/>
    <w:link w:val="8"/>
    <w:semiHidden/>
    <w:qFormat/>
    <w:uiPriority w:val="0"/>
    <w:rPr>
      <w:rFonts w:ascii="Calibri" w:hAnsi="Calibri" w:eastAsia="宋体" w:cs="Times New Roman"/>
      <w:b/>
      <w:bCs/>
    </w:rPr>
  </w:style>
  <w:style w:type="character" w:customStyle="1" w:styleId="20">
    <w:name w:val="批注框文本 Char"/>
    <w:basedOn w:val="11"/>
    <w:link w:val="4"/>
    <w:semiHidden/>
    <w:qFormat/>
    <w:uiPriority w:val="0"/>
    <w:rPr>
      <w:rFonts w:ascii="Calibri" w:hAnsi="Calibri" w:eastAsia="宋体" w:cs="Times New Roman"/>
      <w:sz w:val="18"/>
      <w:szCs w:val="18"/>
    </w:rPr>
  </w:style>
  <w:style w:type="paragraph" w:customStyle="1" w:styleId="21">
    <w:name w:val="列出段落11"/>
    <w:basedOn w:val="1"/>
    <w:qFormat/>
    <w:uiPriority w:val="0"/>
    <w:pPr>
      <w:ind w:firstLine="420" w:firstLineChars="200"/>
    </w:pPr>
  </w:style>
  <w:style w:type="character" w:customStyle="1" w:styleId="22">
    <w:name w:val="页眉 Char"/>
    <w:basedOn w:val="11"/>
    <w:link w:val="6"/>
    <w:qFormat/>
    <w:uiPriority w:val="0"/>
    <w:rPr>
      <w:rFonts w:ascii="Calibri" w:hAnsi="Calibri" w:eastAsia="宋体" w:cs="Times New Roman"/>
      <w:sz w:val="18"/>
      <w:szCs w:val="18"/>
    </w:rPr>
  </w:style>
  <w:style w:type="character" w:customStyle="1" w:styleId="23">
    <w:name w:val="页脚 Char"/>
    <w:basedOn w:val="11"/>
    <w:link w:val="5"/>
    <w:qFormat/>
    <w:uiPriority w:val="0"/>
    <w:rPr>
      <w:rFonts w:ascii="Calibri" w:hAnsi="Calibri" w:eastAsia="宋体" w:cs="Times New Roman"/>
      <w:sz w:val="18"/>
      <w:szCs w:val="18"/>
    </w:rPr>
  </w:style>
  <w:style w:type="character" w:customStyle="1" w:styleId="2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6A6D-FB92-4AFE-9CC9-B481C3FA0838}">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4</Pages>
  <Words>342</Words>
  <Characters>1953</Characters>
  <Lines>16</Lines>
  <Paragraphs>4</Paragraphs>
  <TotalTime>2</TotalTime>
  <ScaleCrop>false</ScaleCrop>
  <LinksUpToDate>false</LinksUpToDate>
  <CharactersWithSpaces>2291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2020-03-06T07:49:00Z</dcterms:created>
  <dc:creator>tai yuzhu</dc:creator>
  <cp:lastModifiedBy>绿茶咖啡</cp:lastModifiedBy>
  <dcterms:modified xsi:type="dcterms:W3CDTF">2024-03-25T07:45:18Z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C6C296EA397F47DE935624F638756FBD_12</vt:lpwstr>
  </property>
</Properties>
</file>