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78B78">
      <w:pPr>
        <w:jc w:val="center"/>
        <w:rPr>
          <w:rFonts w:hint="eastAsia" w:ascii="方正宋黑简体" w:hAnsi="方正宋黑简体" w:eastAsia="方正宋黑简体"/>
          <w:bCs/>
          <w:color w:val="FF0000"/>
          <w:w w:val="50"/>
          <w:kern w:val="100"/>
          <w:sz w:val="72"/>
          <w:szCs w:val="72"/>
        </w:rPr>
      </w:pPr>
      <w:r>
        <w:rPr>
          <w:rFonts w:hint="eastAsia" w:ascii="方正宋黑简体" w:hAnsi="方正宋黑简体" w:eastAsia="方正宋黑简体"/>
          <w:bCs/>
          <w:color w:val="FF0000"/>
          <w:w w:val="50"/>
          <w:kern w:val="100"/>
          <w:sz w:val="72"/>
          <w:szCs w:val="72"/>
        </w:rPr>
        <w:t xml:space="preserve"> </w:t>
      </w:r>
    </w:p>
    <w:p w14:paraId="2AF486CF">
      <w:pPr>
        <w:jc w:val="center"/>
        <w:rPr>
          <w:rFonts w:hint="eastAsia" w:ascii="方正宋黑简体" w:hAnsi="方正宋黑简体" w:eastAsia="方正宋黑简体"/>
          <w:bCs/>
          <w:color w:val="FF0000"/>
          <w:w w:val="50"/>
          <w:kern w:val="100"/>
          <w:sz w:val="72"/>
          <w:szCs w:val="72"/>
        </w:rPr>
      </w:pPr>
    </w:p>
    <w:p w14:paraId="1419A121">
      <w:pPr>
        <w:jc w:val="center"/>
        <w:rPr>
          <w:rFonts w:hint="eastAsia" w:ascii="方正宋黑简体" w:hAnsi="方正宋黑简体" w:eastAsia="方正宋黑简体"/>
          <w:bCs/>
          <w:color w:val="FF0000"/>
          <w:w w:val="50"/>
          <w:kern w:val="100"/>
          <w:sz w:val="100"/>
          <w:szCs w:val="100"/>
        </w:rPr>
      </w:pPr>
    </w:p>
    <w:p w14:paraId="1B846EF7">
      <w:pPr>
        <w:pStyle w:val="2"/>
        <w:rPr>
          <w:rFonts w:hint="eastAsia" w:ascii="方正宋黑简体" w:hAnsi="方正宋黑简体" w:eastAsia="方正宋黑简体"/>
          <w:bCs/>
          <w:color w:val="FF0000"/>
          <w:w w:val="50"/>
          <w:kern w:val="100"/>
          <w:sz w:val="100"/>
          <w:szCs w:val="100"/>
        </w:rPr>
      </w:pPr>
    </w:p>
    <w:p w14:paraId="21802FD5">
      <w:pPr>
        <w:rPr>
          <w:rFonts w:hint="eastAsia"/>
        </w:rPr>
      </w:pPr>
    </w:p>
    <w:p w14:paraId="69EE0A5A">
      <w:pPr>
        <w:rPr>
          <w:rFonts w:hint="eastAsia" w:ascii="仿宋_GB2312" w:eastAsia="仿宋_GB2312"/>
          <w:color w:val="FFFFFF"/>
        </w:rPr>
      </w:pPr>
    </w:p>
    <w:p w14:paraId="7C370218">
      <w:pPr>
        <w:rPr>
          <w:rFonts w:hint="eastAsia" w:ascii="仿宋_GB2312" w:eastAsia="仿宋_GB2312"/>
          <w:color w:val="FFFFFF"/>
        </w:rPr>
      </w:pPr>
    </w:p>
    <w:p w14:paraId="45157E2F">
      <w:pPr>
        <w:jc w:val="center"/>
        <w:rPr>
          <w:rFonts w:hint="default" w:ascii="仿宋_GB2312" w:eastAsia="仿宋_GB2312"/>
          <w:color w:val="FFFFFF"/>
          <w:lang w:val="en-US"/>
        </w:rPr>
      </w:pPr>
      <w:bookmarkStart w:id="0" w:name="发文字号"/>
      <w:r>
        <w:rPr>
          <w:rFonts w:hint="default" w:ascii="仿宋_GB2312" w:eastAsia="仿宋_GB2312"/>
          <w:sz w:val="32"/>
          <w:lang w:eastAsia="zh-CN"/>
        </w:rPr>
        <w:t>乌政办发</w:t>
      </w:r>
      <w:r>
        <w:rPr>
          <w:rFonts w:hint="eastAsia" w:ascii="仿宋_GB2312" w:hAnsi="仿宋_GB2312" w:eastAsia="仿宋_GB2312" w:cs="仿宋_GB2312"/>
          <w:sz w:val="32"/>
          <w:lang w:eastAsia="zh-CN"/>
        </w:rPr>
        <w:t>〔</w:t>
      </w:r>
      <w:r>
        <w:rPr>
          <w:rFonts w:hint="default" w:ascii="仿宋_GB2312" w:eastAsia="仿宋_GB2312"/>
          <w:sz w:val="32"/>
          <w:lang w:eastAsia="zh-CN"/>
        </w:rPr>
        <w:t>2024</w:t>
      </w:r>
      <w:r>
        <w:rPr>
          <w:rFonts w:hint="eastAsia" w:ascii="仿宋_GB2312" w:hAnsi="仿宋_GB2312" w:eastAsia="仿宋_GB2312" w:cs="仿宋_GB2312"/>
          <w:sz w:val="32"/>
          <w:lang w:eastAsia="zh-CN"/>
        </w:rPr>
        <w:t>〕</w:t>
      </w:r>
      <w:r>
        <w:rPr>
          <w:rFonts w:hint="default" w:ascii="仿宋_GB2312" w:eastAsia="仿宋_GB2312"/>
          <w:sz w:val="32"/>
          <w:lang w:eastAsia="zh-CN"/>
        </w:rPr>
        <w:t>84</w:t>
      </w:r>
      <w:bookmarkEnd w:id="0"/>
      <w:r>
        <w:rPr>
          <w:rFonts w:hint="eastAsia" w:ascii="仿宋_GB2312" w:eastAsia="仿宋_GB2312"/>
          <w:sz w:val="32"/>
          <w:lang w:val="en-US" w:eastAsia="zh-CN"/>
        </w:rPr>
        <w:t>号</w:t>
      </w:r>
    </w:p>
    <w:p w14:paraId="35C9CF8A">
      <w:pPr>
        <w:rPr>
          <w:rFonts w:hint="eastAsia" w:ascii="仿宋_GB2312" w:eastAsia="仿宋_GB2312"/>
          <w:color w:val="FFFFFF"/>
        </w:rPr>
      </w:pPr>
      <w:r>
        <w:rPr>
          <w:rFonts w:hint="eastAsia" w:ascii="仿宋_GB2312" w:eastAsia="仿宋_GB2312"/>
          <w:color w:val="FFFFF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600700" cy="0"/>
                <wp:effectExtent l="0" t="12700" r="7620" b="17780"/>
                <wp:wrapNone/>
                <wp:docPr id="1" name="直线 11"/>
                <wp:cNvGraphicFramePr/>
                <a:graphic xmlns:a="http://schemas.openxmlformats.org/drawingml/2006/main">
                  <a:graphicData uri="http://schemas.microsoft.com/office/word/2010/wordprocessingShape">
                    <wps:wsp>
                      <wps:cNvCnPr/>
                      <wps:spPr>
                        <a:xfrm flipV="1">
                          <a:off x="0" y="0"/>
                          <a:ext cx="560070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直线 11" o:spid="_x0000_s1026" o:spt="20" style="position:absolute;left:0pt;flip:y;margin-left:0pt;margin-top:0pt;height:0pt;width:441pt;z-index:251660288;mso-width-relative:page;mso-height-relative:page;" filled="f" stroked="t" coordsize="21600,21600" o:gfxdata="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mZ5v7P&#10;AAAAAgEAAA8AAAAAAAAAAQAgAAAAIgAAAGRycy9kb3ducmV2LnhtbFBLAQIUABQAAAAIAIdO4kBg&#10;67WA8AEAAOcDAAAOAAAAAAAAAAEAIAAAAB4BAABkcnMvZTJvRG9jLnhtbFBLBQYAAAAABgAGAFkB&#10;AACABQAAAAA=&#10;">
                <v:fill on="f" focussize="0,0"/>
                <v:stroke weight="2pt" color="#FF0000" joinstyle="round"/>
                <v:imagedata o:title=""/>
                <o:lock v:ext="edit" aspectratio="f"/>
              </v:line>
            </w:pict>
          </mc:Fallback>
        </mc:AlternateContent>
      </w:r>
      <w:bookmarkStart w:id="1" w:name="Content"/>
    </w:p>
    <w:p w14:paraId="098867E3">
      <w:pPr>
        <w:pStyle w:val="3"/>
        <w:pageBreakBefore w:val="0"/>
        <w:widowControl w:val="0"/>
        <w:kinsoku/>
        <w:wordWrap/>
        <w:overflowPunct/>
        <w:topLinePunct w:val="0"/>
        <w:autoSpaceDE/>
        <w:autoSpaceDN/>
        <w:bidi w:val="0"/>
        <w:adjustRightInd/>
        <w:snapToGrid/>
        <w:spacing w:before="0" w:beforeAutospacing="0" w:after="0" w:afterAutospacing="0" w:line="579" w:lineRule="exact"/>
        <w:jc w:val="center"/>
        <w:textAlignment w:val="auto"/>
        <w:rPr>
          <w:rFonts w:hint="eastAsia" w:ascii="方正小标宋_GBK" w:eastAsia="方正小标宋_GBK"/>
          <w:b w:val="0"/>
          <w:bCs w:val="0"/>
          <w:color w:val="auto"/>
          <w:spacing w:val="0"/>
          <w:sz w:val="44"/>
          <w:szCs w:val="44"/>
          <w:lang w:val="en-US" w:eastAsia="zh-CN"/>
        </w:rPr>
      </w:pPr>
      <w:r>
        <w:rPr>
          <w:rFonts w:hint="eastAsia" w:ascii="方正小标宋_GBK" w:eastAsia="方正小标宋_GBK"/>
          <w:b w:val="0"/>
          <w:bCs w:val="0"/>
          <w:color w:val="auto"/>
          <w:spacing w:val="0"/>
          <w:sz w:val="44"/>
          <w:szCs w:val="44"/>
          <w:lang w:val="en-US" w:eastAsia="zh-CN"/>
        </w:rPr>
        <w:t>乌审旗人民政府办公室关于印发《内蒙古</w:t>
      </w:r>
      <w:bookmarkStart w:id="2" w:name="_GoBack"/>
      <w:bookmarkEnd w:id="2"/>
      <w:r>
        <w:rPr>
          <w:rFonts w:hint="eastAsia" w:ascii="方正小标宋_GBK" w:eastAsia="方正小标宋_GBK"/>
          <w:b w:val="0"/>
          <w:bCs w:val="0"/>
          <w:color w:val="auto"/>
          <w:spacing w:val="0"/>
          <w:sz w:val="44"/>
          <w:szCs w:val="44"/>
          <w:lang w:val="en-US" w:eastAsia="zh-CN"/>
        </w:rPr>
        <w:t>萨拉乌苏国家湿地公园管理办法》的通知</w:t>
      </w:r>
    </w:p>
    <w:p w14:paraId="4DBB95FA">
      <w:pPr>
        <w:pStyle w:val="3"/>
        <w:pageBreakBefore w:val="0"/>
        <w:widowControl w:val="0"/>
        <w:kinsoku/>
        <w:wordWrap/>
        <w:overflowPunct/>
        <w:topLinePunct w:val="0"/>
        <w:autoSpaceDE/>
        <w:autoSpaceDN/>
        <w:bidi w:val="0"/>
        <w:adjustRightInd/>
        <w:snapToGrid/>
        <w:spacing w:before="0" w:beforeAutospacing="0" w:after="0" w:afterAutospacing="0" w:line="579" w:lineRule="exact"/>
        <w:jc w:val="center"/>
        <w:textAlignment w:val="auto"/>
        <w:rPr>
          <w:rFonts w:hint="eastAsia" w:ascii="方正小标宋简体" w:hAnsi="方正小标宋简体" w:eastAsia="方正小标宋简体" w:cs="方正小标宋简体"/>
          <w:b w:val="0"/>
          <w:bCs w:val="0"/>
          <w:spacing w:val="0"/>
          <w:sz w:val="44"/>
          <w:szCs w:val="44"/>
          <w:lang w:val="en-US" w:eastAsia="zh-CN"/>
        </w:rPr>
      </w:pPr>
    </w:p>
    <w:p w14:paraId="1E316248">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jc w:val="both"/>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各苏木镇人民政府、旗直各有关部门</w:t>
      </w:r>
    </w:p>
    <w:p w14:paraId="6FC569ED">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jc w:val="both"/>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《内蒙古萨拉乌苏国家湿地公园管理办法》已经旗</w:t>
      </w:r>
      <w:r>
        <w:rPr>
          <w:rFonts w:hint="eastAsia" w:ascii="仿宋_GB2312" w:eastAsia="仿宋_GB2312"/>
          <w:color w:val="auto"/>
          <w:sz w:val="32"/>
          <w:szCs w:val="32"/>
        </w:rPr>
        <w:t>人民政府</w:t>
      </w:r>
      <w:r>
        <w:rPr>
          <w:rFonts w:hint="eastAsia" w:ascii="仿宋_GB2312" w:eastAsia="仿宋_GB2312"/>
          <w:color w:val="auto"/>
          <w:sz w:val="32"/>
          <w:szCs w:val="32"/>
          <w:lang w:val="en-US" w:eastAsia="zh-CN"/>
        </w:rPr>
        <w:t>2024年第17次常务会议审议通过，</w:t>
      </w:r>
      <w:r>
        <w:rPr>
          <w:rFonts w:hint="eastAsia" w:ascii="仿宋_GB2312" w:hAnsi="仿宋_GB2312" w:eastAsia="仿宋_GB2312" w:cs="仿宋_GB2312"/>
          <w:spacing w:val="0"/>
          <w:sz w:val="32"/>
          <w:szCs w:val="32"/>
          <w:lang w:val="en-US" w:eastAsia="zh-CN"/>
        </w:rPr>
        <w:t>现印发给你们，请认真遵照执行。</w:t>
      </w:r>
    </w:p>
    <w:p w14:paraId="45B4D800">
      <w:pPr>
        <w:pStyle w:val="10"/>
        <w:keepNext w:val="0"/>
        <w:keepLines w:val="0"/>
        <w:pageBreakBefore w:val="0"/>
        <w:widowControl/>
        <w:tabs>
          <w:tab w:val="left" w:pos="7560"/>
        </w:tabs>
        <w:kinsoku/>
        <w:wordWrap/>
        <w:overflowPunct/>
        <w:topLinePunct w:val="0"/>
        <w:autoSpaceDE/>
        <w:autoSpaceDN/>
        <w:bidi w:val="0"/>
        <w:adjustRightInd/>
        <w:snapToGrid/>
        <w:spacing w:before="0" w:beforeAutospacing="0" w:after="0" w:afterAutospacing="0" w:line="579" w:lineRule="exact"/>
        <w:jc w:val="left"/>
        <w:textAlignment w:val="auto"/>
        <w:outlineLvl w:val="9"/>
        <w:rPr>
          <w:rFonts w:hint="eastAsia" w:ascii="仿宋_GB2312" w:eastAsia="仿宋_GB2312"/>
          <w:color w:val="auto"/>
          <w:sz w:val="32"/>
          <w:szCs w:val="32"/>
        </w:rPr>
      </w:pPr>
    </w:p>
    <w:p w14:paraId="6C59AFD6">
      <w:pPr>
        <w:pStyle w:val="10"/>
        <w:keepNext w:val="0"/>
        <w:keepLines w:val="0"/>
        <w:pageBreakBefore w:val="0"/>
        <w:widowControl/>
        <w:tabs>
          <w:tab w:val="left" w:pos="7560"/>
        </w:tabs>
        <w:kinsoku/>
        <w:wordWrap/>
        <w:overflowPunct/>
        <w:topLinePunct w:val="0"/>
        <w:autoSpaceDE/>
        <w:autoSpaceDN/>
        <w:bidi w:val="0"/>
        <w:adjustRightInd/>
        <w:snapToGrid/>
        <w:spacing w:before="0" w:beforeAutospacing="0" w:after="0" w:afterAutospacing="0" w:line="579" w:lineRule="exact"/>
        <w:jc w:val="left"/>
        <w:textAlignment w:val="auto"/>
        <w:outlineLvl w:val="9"/>
        <w:rPr>
          <w:rFonts w:hint="eastAsia" w:ascii="仿宋_GB2312" w:eastAsia="仿宋_GB2312"/>
          <w:color w:val="auto"/>
          <w:sz w:val="32"/>
          <w:szCs w:val="32"/>
        </w:rPr>
      </w:pPr>
    </w:p>
    <w:p w14:paraId="16AA4434">
      <w:pPr>
        <w:pStyle w:val="10"/>
        <w:keepNext w:val="0"/>
        <w:keepLines w:val="0"/>
        <w:pageBreakBefore w:val="0"/>
        <w:kinsoku/>
        <w:wordWrap w:val="0"/>
        <w:overflowPunct/>
        <w:topLinePunct w:val="0"/>
        <w:autoSpaceDE/>
        <w:autoSpaceDN/>
        <w:bidi w:val="0"/>
        <w:adjustRightInd/>
        <w:snapToGrid/>
        <w:spacing w:before="0" w:beforeAutospacing="0" w:after="0" w:afterAutospacing="0" w:line="579" w:lineRule="exact"/>
        <w:jc w:val="left"/>
        <w:textAlignment w:val="auto"/>
        <w:outlineLvl w:val="9"/>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乌审旗</w:t>
      </w:r>
      <w:r>
        <w:rPr>
          <w:rFonts w:hint="eastAsia" w:ascii="仿宋_GB2312" w:eastAsia="仿宋_GB2312"/>
          <w:color w:val="auto"/>
          <w:sz w:val="32"/>
          <w:szCs w:val="32"/>
          <w:lang w:val="en-US" w:eastAsia="zh-CN"/>
        </w:rPr>
        <w:t>人民政府</w:t>
      </w:r>
      <w:r>
        <w:rPr>
          <w:rFonts w:hint="eastAsia" w:ascii="仿宋_GB2312" w:eastAsia="仿宋_GB2312"/>
          <w:color w:val="auto"/>
          <w:sz w:val="32"/>
          <w:szCs w:val="32"/>
        </w:rPr>
        <w:t>办公室</w:t>
      </w:r>
      <w:r>
        <w:rPr>
          <w:rFonts w:hint="eastAsia" w:ascii="仿宋_GB2312" w:eastAsia="仿宋_GB2312"/>
          <w:color w:val="auto"/>
          <w:sz w:val="32"/>
          <w:szCs w:val="32"/>
          <w:lang w:val="en-US" w:eastAsia="zh-CN"/>
        </w:rPr>
        <w:t xml:space="preserve">  </w:t>
      </w:r>
    </w:p>
    <w:p w14:paraId="36B6A908">
      <w:pPr>
        <w:keepNext w:val="0"/>
        <w:keepLines w:val="0"/>
        <w:pageBreakBefore w:val="0"/>
        <w:widowControl w:val="0"/>
        <w:kinsoku/>
        <w:wordWrap/>
        <w:overflowPunct/>
        <w:topLinePunct w:val="0"/>
        <w:autoSpaceDE/>
        <w:autoSpaceDN/>
        <w:bidi w:val="0"/>
        <w:adjustRightInd/>
        <w:snapToGrid/>
        <w:spacing w:before="0" w:beforeAutospacing="0" w:after="0" w:afterAutospacing="0" w:line="579" w:lineRule="exact"/>
        <w:jc w:val="left"/>
        <w:textAlignment w:val="baseline"/>
        <w:rPr>
          <w:rFonts w:hint="eastAsia" w:ascii="方正小标宋_GBK" w:hAnsi="方正小标宋_GBK" w:eastAsia="方正小标宋_GBK" w:cs="方正小标宋_GBK"/>
          <w:sz w:val="44"/>
          <w:szCs w:val="44"/>
          <w:lang w:val="en-US" w:eastAsia="zh-CN"/>
        </w:rPr>
      </w:pPr>
      <w:r>
        <w:rPr>
          <w:rFonts w:hint="eastAsia"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 xml:space="preserve"> 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日</w:t>
      </w:r>
    </w:p>
    <w:p w14:paraId="26F07AD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内蒙古萨拉乌苏国家湿地公园管理办法</w:t>
      </w:r>
    </w:p>
    <w:p w14:paraId="13CA0033">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1A676F4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14:paraId="5DAF9F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 xml:space="preserve"> 为了加强内蒙古萨拉乌苏国家湿地公园的保护管理，维护湿地生态功能和生物多样性，保障生态安全，促进湿地资源可持续利用，建设人与自然和谐共生的现代化，根据《中华人民共和国湿地保护法》《国家级自然公园管理办法（试行）》《国家公园宣传教育管理办法（试行）》以及相关法规政策，结合我旗实际，制定本办法。</w:t>
      </w:r>
    </w:p>
    <w:p w14:paraId="75C334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内蒙古萨拉乌苏国家湿地公</w:t>
      </w:r>
      <w:r>
        <w:rPr>
          <w:rFonts w:hint="eastAsia" w:ascii="仿宋_GB2312" w:hAnsi="仿宋_GB2312" w:eastAsia="仿宋_GB2312" w:cs="仿宋_GB2312"/>
          <w:b w:val="0"/>
          <w:bCs w:val="0"/>
          <w:sz w:val="32"/>
          <w:szCs w:val="32"/>
          <w:lang w:val="en-US" w:eastAsia="zh-CN"/>
        </w:rPr>
        <w:t>园（以下简称湿地公园）范围内一切规划、保护、建设、利用、管理及其他活动应当遵守本办法。湿地公园经国家林业主管部门批准设立，西南起范家沟湾，东北至新窑卯水电站，整体呈西南—东北向分布，包括范家沟湾以北的无定河河道及河岸带、巴图湾水库和水库大坝以下到新窑卯水电站之间的河段。其具体范围在《内蒙古萨拉乌苏国家湿地公园规划（2024—2035年）》（以下简称湿地公园总体规划）中明确，并由旗人民政府向社会公布，标界立碑。</w:t>
      </w:r>
    </w:p>
    <w:p w14:paraId="4A6E84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湿地公园规划总面积3000.4hm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val="en-US" w:eastAsia="zh-CN"/>
        </w:rPr>
        <w:t>。划分为生态保育区和合理利用区2个功能分区。生态保育区面积2362.1hm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val="en-US" w:eastAsia="zh-CN"/>
        </w:rPr>
        <w:t>，占总面积的78.73%，合理利用区面积638.3hm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val="en-US" w:eastAsia="zh-CN"/>
        </w:rPr>
        <w:t>，占总面积的21.27%。其保护和管理应当遵循“保护优先、科学规划、多方参与、合理利用、可持续发展”的原则，以永续保护湿地生态系统、合理利用湿地资源和文化景观资源、开展湿地宣传教育和科学研究为目的，保护维持湿地原生态，改善提升湿地水环境。</w:t>
      </w:r>
    </w:p>
    <w:p w14:paraId="071F41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旗人民政府应当加强对湿地公园保护和管理工作的领导，建立完善湿地公园保护和管理统筹协调机制，研究湿地公园保护和管理中的规划建设、政策措施、职责分工等重大事项，部署以湿地公园为主体的流域保护治理工作，审定水资源年度调度计划和取水总量控制计划，统筹安排保护治理项目建设和资</w:t>
      </w:r>
      <w:r>
        <w:rPr>
          <w:rFonts w:hint="eastAsia" w:ascii="仿宋_GB2312" w:hAnsi="仿宋_GB2312" w:eastAsia="仿宋_GB2312" w:cs="仿宋_GB2312"/>
          <w:spacing w:val="-6"/>
          <w:sz w:val="32"/>
          <w:szCs w:val="32"/>
          <w:lang w:val="en-US" w:eastAsia="zh-CN"/>
        </w:rPr>
        <w:t>金。全面实行河湖长制、林长制、田长制，严格按照有关规定执行。</w:t>
      </w:r>
    </w:p>
    <w:p w14:paraId="5F623D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旗人民政府应当采取有效措施保持湿地面积稳定，提升湿地生态功能和质量，将湿地保护纳入国民经济和社会发展规划，所需经费列入本级财政预算，建立健全湿地生态保护补偿机制。</w:t>
      </w:r>
    </w:p>
    <w:p w14:paraId="57555C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lang w:val="en-US" w:eastAsia="zh-CN"/>
        </w:rPr>
        <w:t xml:space="preserve"> 旗人民政府确定的萨拉乌苏国家湿地公园管理机构（以下简称管理机构），对湿地公园实施统一管理，依法履行下列职责:</w:t>
      </w:r>
    </w:p>
    <w:p w14:paraId="37A8B1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z w:val="32"/>
          <w:szCs w:val="32"/>
          <w:lang w:val="en-US" w:eastAsia="zh-CN"/>
        </w:rPr>
        <w:t>（一）宣</w:t>
      </w:r>
      <w:r>
        <w:rPr>
          <w:rFonts w:hint="eastAsia" w:ascii="仿宋_GB2312" w:hAnsi="仿宋_GB2312" w:eastAsia="仿宋_GB2312" w:cs="仿宋_GB2312"/>
          <w:spacing w:val="-11"/>
          <w:sz w:val="32"/>
          <w:szCs w:val="32"/>
          <w:lang w:val="en-US" w:eastAsia="zh-CN"/>
        </w:rPr>
        <w:t>传贯彻执行有关湿地保护的法律、法规、规章、政策；</w:t>
      </w:r>
    </w:p>
    <w:p w14:paraId="343005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（二）负责湿地的保护、管理、监测、研究、宣传、科普、疫源疫病防治、野生动植物救护、森林草原防火和合理利用，制定并实施湿地公园管理制度；</w:t>
      </w:r>
    </w:p>
    <w:p w14:paraId="4794DD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（三）编制并组织实施湿地公园生态环境保护、管理与可持续发展措施、总体规划，参与其他部门围绕该地区有关规划编制；</w:t>
      </w:r>
    </w:p>
    <w:p w14:paraId="14E372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（四）承担湿地公园保护和管理统筹协调的具体工作；</w:t>
      </w:r>
    </w:p>
    <w:p w14:paraId="04035F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（五）鼓励和支持高等院校、科研机构开展湿地保护科学研究和技术成果转化应用，加强湿地保护科技交流和人才培养，提高湿地保护科学技术水平；</w:t>
      </w:r>
    </w:p>
    <w:p w14:paraId="705EC5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（六）根据本办法规定对有关项目、活动提出意见；</w:t>
      </w:r>
    </w:p>
    <w:p w14:paraId="349D88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（七）承担本办法以及旗人民政府授予的其他职责。</w:t>
      </w:r>
    </w:p>
    <w:p w14:paraId="3B6CE4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第七条 </w:t>
      </w:r>
      <w:r>
        <w:rPr>
          <w:rFonts w:hint="eastAsia" w:ascii="仿宋_GB2312" w:hAnsi="仿宋_GB2312" w:eastAsia="仿宋_GB2312" w:cs="仿宋_GB2312"/>
          <w:sz w:val="32"/>
          <w:szCs w:val="32"/>
          <w:lang w:val="en-US" w:eastAsia="zh-CN"/>
        </w:rPr>
        <w:t>旗林草、水利、文旅、自然资源、环保、住建、交通、农牧、气象等有关部门，应当在各自职责范围内，严格按照有关法律、法规的规定，加强对湿地生态环境的监测与监管，共同做好湿地公园相关保护和管理工作。</w:t>
      </w:r>
    </w:p>
    <w:p w14:paraId="3FFF08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 xml:space="preserve"> 湿地公园所在地苏木镇应当依照本办法和有关规定实行管理，严格落实湿地公园保护治理计划和措施，控制面源污染和沿岸污染源，制止并协助查处毁林毁草毁湿、私搭乱建、围垦筑塘、开垦放牧、倾倒垃圾和废弃物、排放污染物等违法行为，依法做好相关行政执法工作。湿地公园周边区域村民委员会和村民小组协同做好湿地保护管理的相关工作。</w:t>
      </w:r>
    </w:p>
    <w:p w14:paraId="7E8A7F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旗林业、教育等有关部门、学校和其他相关社会组织应当加强湿地保护宣传教育和科学知识普及工作，利用湿地保护科普宣教基地，结合世界湿地日、世界野生动植物日、爱鸟周等开展湿地主题宣传教育活动，全面提高公民的湿地保护意识。</w:t>
      </w:r>
    </w:p>
    <w:p w14:paraId="142E65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任何公民、法人和其他组织都有依法保护湿地公园生态环境、基础设施、人文历史风貌资源的义务和依法劝阻、举报破坏湿地行为的权利。鼓励单位、个人和其他组织依法通过宣传、捐赠、资助、志愿服务等方式参与湿地公园保护。对在湿地公园保护方面做出显著成绩的单位、个人和其他组织，按照国家有关规定给予表彰、奖励。</w:t>
      </w:r>
    </w:p>
    <w:p w14:paraId="6411804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规划与建设</w:t>
      </w:r>
    </w:p>
    <w:p w14:paraId="11069B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sz w:val="32"/>
          <w:szCs w:val="32"/>
          <w:lang w:val="en-US" w:eastAsia="zh-CN"/>
        </w:rPr>
        <w:t xml:space="preserve"> 湿地公园总体规划是湿地公园保护、建设、利用和管理的依据，任何单位和个人都应当遵守。湿地公园总体规划由管理机构会同旗林业、水利、自然资源等部门组织编制，征求相关权利人、专家和有关部门意见后，由旗人民政府上报自治区人民政府批准实施。湿地公园总体规划需要调整的，按照原批准程序办理。</w:t>
      </w:r>
    </w:p>
    <w:p w14:paraId="5FFB74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湿地公园总体规划应当符合旗国土空间规划和生态环境分区管控要求，并与水利防洪规划等相衔接。湿地公园总体规划应当根据湿地公园的范围、规模、生态功能和水资源、生物多样性状况，科学合理划定功能分区和空间布局,科学指导湿地公园的建设管理，严格控制湿地公园内建筑总量，明确保护措施，设置必备的科普宣教设施，确定湿地资源合理利用的方式，促进湿地保护工作的可持续发展。</w:t>
      </w:r>
    </w:p>
    <w:p w14:paraId="549652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sz w:val="32"/>
          <w:szCs w:val="32"/>
          <w:lang w:val="en-US" w:eastAsia="zh-CN"/>
        </w:rPr>
        <w:t xml:space="preserve"> 湿地公园外围保护地带和周边景观控制区所在地的国土空间详细规划和各类专项规划，应当与湿地公园总体规划相衔接，统筹考虑生态林带建设、湿地生境保护、道路交通优化、配套服务设施设置等。建设项目高度和体量，应当与湿地公园景观和环境相协调。有关部门在编制相关规划时，应当征求管理机构意见。</w:t>
      </w:r>
    </w:p>
    <w:p w14:paraId="35C1B93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第十四条</w:t>
      </w:r>
      <w:r>
        <w:rPr>
          <w:rFonts w:hint="eastAsia" w:ascii="仿宋_GB2312" w:hAnsi="仿宋_GB2312" w:eastAsia="仿宋_GB2312" w:cs="仿宋_GB2312"/>
          <w:sz w:val="32"/>
          <w:szCs w:val="32"/>
          <w:lang w:val="en-US" w:eastAsia="zh-CN"/>
        </w:rPr>
        <w:t xml:space="preserve"> 在生态保育区禁止开展与湿地保护无关的建设和开发活动。由于历史原因存续的单位或住户，除依法依规开展必要的房屋修缮和公共设施建设外，不得开发建设新景点，不得借改造、拆除重建等名目，擅自扩大原有构建物。在合理利用区新建、改建、扩建项目，应当符合国土空间规划、湿地公园总体规划、水利防洪规划等相关规划和用水总量控制目标要求，其造型、风格、色调等应当与湿地公园景观和环境相协调，并依法办理审批手续。</w:t>
      </w:r>
    </w:p>
    <w:p w14:paraId="58455B7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第十五条</w:t>
      </w:r>
      <w:r>
        <w:rPr>
          <w:rFonts w:hint="eastAsia" w:ascii="仿宋_GB2312" w:hAnsi="仿宋_GB2312" w:eastAsia="仿宋_GB2312" w:cs="仿宋_GB2312"/>
          <w:sz w:val="32"/>
          <w:szCs w:val="32"/>
          <w:lang w:val="en-US" w:eastAsia="zh-CN"/>
        </w:rPr>
        <w:t xml:space="preserve"> 管理机构应当会同环保部门，按照有关法律、法规的规定，加强湿地公园内建设项目对环境影响的监管。建设单位应当按照国家有关规定编制或者填报环境影响评价文件。其中，环境影响报告书、环境影响报告表应当包括湿地生态功能影响评价，并有相应的湿地保护方案。建设单位应当按照湿地保护方案采取相应的保护措施。</w:t>
      </w:r>
    </w:p>
    <w:p w14:paraId="768F77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第十六条</w:t>
      </w:r>
      <w:r>
        <w:rPr>
          <w:rFonts w:hint="eastAsia" w:ascii="仿宋_GB2312" w:hAnsi="仿宋_GB2312" w:eastAsia="仿宋_GB2312" w:cs="仿宋_GB2312"/>
          <w:sz w:val="32"/>
          <w:szCs w:val="32"/>
          <w:lang w:val="en-US" w:eastAsia="zh-CN"/>
        </w:rPr>
        <w:t xml:space="preserve"> 管理机构应当加强对相关活动和设施建设的监督，督促有关单位和个人严格执行相关法律法规的规定，依法办理相关手续，在指定区域内进行，并采取必要保护修复措施，减少和降低对自然生态系统、自然遗迹以及自然和人文景观的不利影响。建设活动结束后，建设单位或个人应当及时清理场地，恢复环境原貌。</w:t>
      </w:r>
      <w:r>
        <w:rPr>
          <w:rFonts w:hint="eastAsia" w:ascii="仿宋_GB2312" w:hAnsi="仿宋_GB2312" w:eastAsia="仿宋_GB2312" w:cs="仿宋_GB2312"/>
          <w:sz w:val="32"/>
          <w:szCs w:val="32"/>
          <w:highlight w:val="none"/>
          <w:lang w:val="en-US" w:eastAsia="zh-CN"/>
        </w:rPr>
        <w:t>经依法批准占用湿地的单位，应当按照国家有关规定，在湿地公园内恢复或者重建与所占用湿地面积和质量相当的湿地。湿地恢复费的缴纳、使用和管理参照国家最新要求或自治区有关规定执行。</w:t>
      </w:r>
    </w:p>
    <w:p w14:paraId="02A76F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第十七条</w:t>
      </w:r>
      <w:r>
        <w:rPr>
          <w:rFonts w:hint="eastAsia" w:ascii="仿宋_GB2312" w:hAnsi="仿宋_GB2312" w:eastAsia="仿宋_GB2312" w:cs="仿宋_GB2312"/>
          <w:sz w:val="32"/>
          <w:szCs w:val="32"/>
          <w:lang w:val="en-US" w:eastAsia="zh-CN"/>
        </w:rPr>
        <w:t xml:space="preserve"> 管理机构应当加强日常巡护工作，对发现有违规行为的，应及时采取措施予以制止，并向执法部门移交处置。</w:t>
      </w:r>
    </w:p>
    <w:p w14:paraId="7623571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0F1980B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保 护</w:t>
      </w:r>
    </w:p>
    <w:p w14:paraId="71A8A1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第十八条</w:t>
      </w:r>
      <w:r>
        <w:rPr>
          <w:rFonts w:hint="eastAsia" w:ascii="仿宋_GB2312" w:hAnsi="仿宋_GB2312" w:eastAsia="仿宋_GB2312" w:cs="仿宋_GB2312"/>
          <w:sz w:val="32"/>
          <w:szCs w:val="32"/>
          <w:lang w:val="en-US" w:eastAsia="zh-CN"/>
        </w:rPr>
        <w:t xml:space="preserve"> 湿地公园内的湿地以及依附湿地栖息、繁衍、生存的野生生物资源，属于湿地资源，应当严格保护。</w:t>
      </w:r>
    </w:p>
    <w:p w14:paraId="42C81E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第十九条</w:t>
      </w:r>
      <w:r>
        <w:rPr>
          <w:rFonts w:hint="eastAsia" w:ascii="仿宋_GB2312" w:hAnsi="仿宋_GB2312" w:eastAsia="仿宋_GB2312" w:cs="仿宋_GB2312"/>
          <w:sz w:val="32"/>
          <w:szCs w:val="32"/>
          <w:lang w:val="en-US" w:eastAsia="zh-CN"/>
        </w:rPr>
        <w:t xml:space="preserve"> 湿地公园应当按照国家有关规定实行分区保护。范家沟湾、杨四沟湾、米浪沟湾、三岔河、小河口、鸟岛等野生动物繁殖、捕食、栖息重要场所为湿地公园生态保育区，应当依法保护，除开展保护、监测、科学研究等必需的保护管理活动外，不得进行任何与湿地生态系统保护和管理无关的其他活动。巴图湾水电站周边围封区域为野生大豆保护区，应当依法保护，只能开展必要的科研监测活动，其他活动一律禁止。</w:t>
      </w:r>
    </w:p>
    <w:p w14:paraId="51CC44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第二十条</w:t>
      </w:r>
      <w:r>
        <w:rPr>
          <w:rFonts w:hint="eastAsia" w:ascii="仿宋_GB2312" w:hAnsi="仿宋_GB2312" w:eastAsia="仿宋_GB2312" w:cs="仿宋_GB2312"/>
          <w:sz w:val="32"/>
          <w:szCs w:val="32"/>
          <w:lang w:val="en-US" w:eastAsia="zh-CN"/>
        </w:rPr>
        <w:t xml:space="preserve"> 除</w:t>
      </w:r>
      <w:r>
        <w:rPr>
          <w:rFonts w:hint="eastAsia" w:ascii="仿宋_GB2312" w:hAnsi="仿宋_GB2312" w:eastAsia="仿宋_GB2312" w:cs="仿宋_GB2312"/>
          <w:spacing w:val="-11"/>
          <w:sz w:val="32"/>
          <w:szCs w:val="32"/>
          <w:lang w:val="en-US" w:eastAsia="zh-CN"/>
        </w:rPr>
        <w:t>国家另有规定外，湿地公园内禁止从事下列活动。</w:t>
      </w:r>
    </w:p>
    <w:p w14:paraId="77BFFC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（一）开（围）垦、烧荒；</w:t>
      </w:r>
    </w:p>
    <w:p w14:paraId="1B4119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（二）排干自然湿地，截断自然湿地水源；</w:t>
      </w:r>
    </w:p>
    <w:p w14:paraId="1084CC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（三）擅自填埋自然湿地，擅自采砂、采矿、取土、挖塘；</w:t>
      </w:r>
    </w:p>
    <w:p w14:paraId="027272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（四）排放不符合水污染物排放标准的工业废水、生活污水及其他污染湿地的废水、污水，排放有毒有害气体，倾倒、堆放、丢弃、遗撒固体废物和垃圾，投放可能危害水体、水生生物的化学物品；</w:t>
      </w:r>
    </w:p>
    <w:p w14:paraId="7D1572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（五）过度放牧或者滥采野生植物、砍伐树木，过度捕捞或者灭绝式捕捞，过度施肥、投药、投放饵料等污染湿地的种植养殖行为；</w:t>
      </w:r>
    </w:p>
    <w:p w14:paraId="715D96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（六）引进或放生外来物种；</w:t>
      </w:r>
    </w:p>
    <w:p w14:paraId="2540C8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（七）擅自养殖水产；</w:t>
      </w:r>
    </w:p>
    <w:p w14:paraId="234378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（八）擅自改变和挪动湿地公园界桩，损坏湿地公园设施和植被；</w:t>
      </w:r>
    </w:p>
    <w:p w14:paraId="0E5D8A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（九）在湿地公园野生水域游泳、垂钓、野炊；</w:t>
      </w:r>
    </w:p>
    <w:p w14:paraId="464D83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（十）其他破坏湿地及其生态功能的行为。</w:t>
      </w:r>
    </w:p>
    <w:p w14:paraId="3D9C1A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第二十一条</w:t>
      </w:r>
      <w:r>
        <w:rPr>
          <w:rFonts w:hint="eastAsia" w:ascii="仿宋_GB2312" w:hAnsi="仿宋_GB2312" w:eastAsia="仿宋_GB2312" w:cs="仿宋_GB2312"/>
          <w:sz w:val="32"/>
          <w:szCs w:val="32"/>
          <w:lang w:val="en-US" w:eastAsia="zh-CN"/>
        </w:rPr>
        <w:t xml:space="preserve"> 旗人民政府应当组织有关部门开展湿地公园引水研究，合理配置水资源，提升引水质量，保障湿地公园生态用水需求。</w:t>
      </w:r>
    </w:p>
    <w:p w14:paraId="7A1FBE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第二十二条</w:t>
      </w:r>
      <w:r>
        <w:rPr>
          <w:rFonts w:hint="eastAsia" w:ascii="仿宋_GB2312" w:hAnsi="仿宋_GB2312" w:eastAsia="仿宋_GB2312" w:cs="仿宋_GB2312"/>
          <w:sz w:val="32"/>
          <w:szCs w:val="32"/>
          <w:lang w:val="en-US" w:eastAsia="zh-CN"/>
        </w:rPr>
        <w:t xml:space="preserve"> 管理机构应当会同旗环保、水利、林草等部门，加强湿地公园水体水质监测，因地制宜采取水系连通、清淤疏浚、水源涵养与水土保持等治理修复措施，加强水岸线保护修复、栖息地植被改善修复等生态保护工作，增强湿地生态系统稳定性。</w:t>
      </w:r>
    </w:p>
    <w:p w14:paraId="0E8864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第二十三条 </w:t>
      </w:r>
      <w:r>
        <w:rPr>
          <w:rFonts w:hint="eastAsia" w:ascii="仿宋_GB2312" w:hAnsi="仿宋_GB2312" w:eastAsia="仿宋_GB2312" w:cs="仿宋_GB2312"/>
          <w:sz w:val="32"/>
          <w:szCs w:val="32"/>
          <w:lang w:val="en-US" w:eastAsia="zh-CN"/>
        </w:rPr>
        <w:t>管理机构应当加强生物多样性研究，建立湿地公园野生生物物种数据库，会同旗林草和湿地公园所在地苏木镇开展湿地公园及其外围保护地带、周边景观控制区的绿化建设、护林防火和森林病虫害防治工作，保护动物和植物的生长、栖息环境以及野生动物迁徙通道。</w:t>
      </w:r>
    </w:p>
    <w:p w14:paraId="2807CF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第二十四条</w:t>
      </w:r>
      <w:r>
        <w:rPr>
          <w:rFonts w:hint="eastAsia" w:ascii="仿宋_GB2312" w:hAnsi="仿宋_GB2312" w:eastAsia="仿宋_GB2312" w:cs="仿宋_GB2312"/>
          <w:sz w:val="32"/>
          <w:szCs w:val="32"/>
          <w:lang w:val="en-US" w:eastAsia="zh-CN"/>
        </w:rPr>
        <w:t xml:space="preserve"> 湿地公园所在地苏木镇应当制定优惠政策和扶持措施，鼓励、引导湿地公园周边地区调整、优化产业结构和产业布局，采取定向扶持、产业转移、吸引社会资金、社区共建等方式，推动绿色农业、生态农业、循环农业发展，促进经济发展与湿地保护相协调。</w:t>
      </w:r>
    </w:p>
    <w:p w14:paraId="6BA318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第二十五条</w:t>
      </w:r>
      <w:r>
        <w:rPr>
          <w:rFonts w:hint="eastAsia" w:ascii="仿宋_GB2312" w:hAnsi="仿宋_GB2312" w:eastAsia="仿宋_GB2312" w:cs="仿宋_GB2312"/>
          <w:sz w:val="32"/>
          <w:szCs w:val="32"/>
          <w:lang w:val="en-US" w:eastAsia="zh-CN"/>
        </w:rPr>
        <w:t xml:space="preserve"> 管理机构应当正确处理好湿地保护、农业生产和生态旅游的关系。允许建设的旅游设施、确定的旅游线路应当符合湿地公园总体规划要求，减少对湿地生态系统的影响。旗文旅部门和旅游景区运营</w:t>
      </w:r>
      <w:r>
        <w:rPr>
          <w:rFonts w:hint="eastAsia" w:ascii="仿宋_GB2312" w:hAnsi="仿宋_GB2312" w:eastAsia="仿宋_GB2312" w:cs="仿宋_GB2312"/>
          <w:sz w:val="32"/>
          <w:szCs w:val="32"/>
          <w:highlight w:val="none"/>
          <w:lang w:val="en-US" w:eastAsia="zh-CN"/>
        </w:rPr>
        <w:t>单位应当会同管理机构，根</w:t>
      </w:r>
      <w:r>
        <w:rPr>
          <w:rFonts w:hint="eastAsia" w:ascii="仿宋_GB2312" w:hAnsi="仿宋_GB2312" w:eastAsia="仿宋_GB2312" w:cs="仿宋_GB2312"/>
          <w:sz w:val="32"/>
          <w:szCs w:val="32"/>
          <w:lang w:val="en-US" w:eastAsia="zh-CN"/>
        </w:rPr>
        <w:t>据湿地承载能力和对资源的监测评估结果，合理确定游客最大承载量并予以公布。旅游人数超过或者接近最大承载量时，应当及时发布相关信息或者采取必要措施，引导游客错峰旅游，控制游客数量。</w:t>
      </w:r>
    </w:p>
    <w:p w14:paraId="65E539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第二十六条</w:t>
      </w:r>
      <w:r>
        <w:rPr>
          <w:rFonts w:hint="eastAsia" w:ascii="仿宋_GB2312" w:hAnsi="仿宋_GB2312" w:eastAsia="仿宋_GB2312" w:cs="仿宋_GB2312"/>
          <w:sz w:val="32"/>
          <w:szCs w:val="32"/>
          <w:lang w:val="en-US" w:eastAsia="zh-CN"/>
        </w:rPr>
        <w:t xml:space="preserve"> 管理机构应当保护湿地公园内的传统特色植物。修复湿地公园内植被，应当优先选用湿地公园传统特色植物和乡土植物。禁止向湿地引进外来物种，确需引进的应当经过严格论证，依法取得批准，并严格按照有关规定进行隔离试验和检疫。禁止在湿地公园内猎捕野生动物和擅自砍伐、移植、损坏湿地公园内的树木。确需砍伐或移植的，有关行政主管部门在审批时，应当征求管理机构意见。</w:t>
      </w:r>
    </w:p>
    <w:p w14:paraId="7164B8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第二十七条</w:t>
      </w:r>
      <w:r>
        <w:rPr>
          <w:rFonts w:hint="eastAsia" w:ascii="仿宋_GB2312" w:hAnsi="仿宋_GB2312" w:eastAsia="仿宋_GB2312" w:cs="仿宋_GB2312"/>
          <w:sz w:val="32"/>
          <w:szCs w:val="32"/>
          <w:lang w:val="en-US" w:eastAsia="zh-CN"/>
        </w:rPr>
        <w:t xml:space="preserve"> 管理机构应当对湿地公园实施动态监测，定期组织调查湿地公园的水环境、动物、植物等变化情况，评价其生境适宜性，并制定保护措施。</w:t>
      </w:r>
    </w:p>
    <w:p w14:paraId="41736A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第二十八条</w:t>
      </w:r>
      <w:r>
        <w:rPr>
          <w:rFonts w:hint="eastAsia" w:ascii="仿宋_GB2312" w:hAnsi="仿宋_GB2312" w:eastAsia="仿宋_GB2312" w:cs="仿宋_GB2312"/>
          <w:sz w:val="32"/>
          <w:szCs w:val="32"/>
          <w:lang w:val="en-US" w:eastAsia="zh-CN"/>
        </w:rPr>
        <w:t xml:space="preserve"> 管理机构应当会同旗公安、林草、自然资源、水利、环保和湿地公园所在地苏木镇等部门开展常态化联合巡查，</w:t>
      </w:r>
      <w:r>
        <w:rPr>
          <w:rFonts w:hint="eastAsia" w:ascii="仿宋_GB2312" w:hAnsi="仿宋_GB2312" w:eastAsia="仿宋_GB2312" w:cs="仿宋_GB2312"/>
          <w:spacing w:val="-11"/>
          <w:sz w:val="32"/>
          <w:szCs w:val="32"/>
          <w:lang w:val="en-US" w:eastAsia="zh-CN"/>
        </w:rPr>
        <w:t>加强湿地公园现场管理，及时发现、纠正、查处违法违规行为。</w:t>
      </w:r>
    </w:p>
    <w:p w14:paraId="20B5C64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5D8C87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利用与管理</w:t>
      </w:r>
    </w:p>
    <w:p w14:paraId="428145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第二十九条</w:t>
      </w:r>
      <w:r>
        <w:rPr>
          <w:rFonts w:hint="eastAsia" w:ascii="仿宋_GB2312" w:hAnsi="仿宋_GB2312" w:eastAsia="仿宋_GB2312" w:cs="仿宋_GB2312"/>
          <w:sz w:val="32"/>
          <w:szCs w:val="32"/>
          <w:lang w:val="en-US" w:eastAsia="zh-CN"/>
        </w:rPr>
        <w:t xml:space="preserve"> 管理机构应当根据湿地资源保护、环境容量、生态平衡和公共安全的需要，对在湿地公园内捕捉水生动物、采集植物资源、开展教学科研活动和参观游览、经营服务、车辆船舶通行等制定管理规定。在湿地公园内开展科学调查、研究观测、科普教育等教学科研活动的和进入湿地公园的人员，应当服从管理机构的管理，自觉遵守湿地公园的管理规定，爱护公共设施，保护湿地资源。</w:t>
      </w:r>
    </w:p>
    <w:p w14:paraId="2FAC62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第三十条</w:t>
      </w:r>
      <w:r>
        <w:rPr>
          <w:rFonts w:hint="eastAsia" w:ascii="仿宋_GB2312" w:hAnsi="仿宋_GB2312" w:eastAsia="仿宋_GB2312" w:cs="仿宋_GB2312"/>
          <w:sz w:val="32"/>
          <w:szCs w:val="32"/>
          <w:lang w:val="en-US" w:eastAsia="zh-CN"/>
        </w:rPr>
        <w:t xml:space="preserve"> 管理机构应当加强湿地知识科普宣传，合理规划科普研学路线，设置湿地野生动植物铭牌，建立湿地宣传专栏和解说系统，宣传湿地功能和价值，普及湿地知识，传播湿地文化，提高公众湿地保护意识。</w:t>
      </w:r>
    </w:p>
    <w:p w14:paraId="07253A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第三十一条</w:t>
      </w:r>
      <w:r>
        <w:rPr>
          <w:rFonts w:hint="eastAsia" w:ascii="仿宋_GB2312" w:hAnsi="仿宋_GB2312" w:eastAsia="仿宋_GB2312" w:cs="仿宋_GB2312"/>
          <w:sz w:val="32"/>
          <w:szCs w:val="32"/>
          <w:lang w:val="en-US" w:eastAsia="zh-CN"/>
        </w:rPr>
        <w:t xml:space="preserve"> 管理机构应当加强湿地资源保护利用和湿地历史文化研究，建立湿地保护和利用技术体系，开展湿地公园文化的挖掘、整理，组织传统节庆活动，传承非物质文化遗产。利用湿地公园的人文、历史、风貌资源应当以参观游览和科学考察为主，限制将其用作商业活动。</w:t>
      </w:r>
    </w:p>
    <w:p w14:paraId="57DBE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第三十二条 </w:t>
      </w:r>
      <w:r>
        <w:rPr>
          <w:rFonts w:hint="eastAsia" w:ascii="仿宋_GB2312" w:hAnsi="仿宋_GB2312" w:eastAsia="仿宋_GB2312" w:cs="仿宋_GB2312"/>
          <w:sz w:val="32"/>
          <w:szCs w:val="32"/>
          <w:lang w:val="en-US" w:eastAsia="zh-CN"/>
        </w:rPr>
        <w:t>在湿地公园内开展生态旅游、种植养殖、经营服务、教学科研等活动，应当实现湿地资源的可持续利用，避免改变湿地自然状况，不得影响湿地公园生态功能，不得超出湿地资源的再生能力或者对野生生物物种造成损害，不得破坏野生动物的栖息环境。</w:t>
      </w:r>
    </w:p>
    <w:p w14:paraId="172530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第三十三条</w:t>
      </w:r>
      <w:r>
        <w:rPr>
          <w:rFonts w:hint="eastAsia" w:ascii="仿宋_GB2312" w:hAnsi="仿宋_GB2312" w:eastAsia="仿宋_GB2312" w:cs="仿宋_GB2312"/>
          <w:sz w:val="32"/>
          <w:szCs w:val="32"/>
          <w:lang w:val="en-US" w:eastAsia="zh-CN"/>
        </w:rPr>
        <w:t xml:space="preserve"> 旅游景区运营单位应当编制应急预案，设置必要的安全设施。在发生洪涝、火灾、溺水、极端天气等安全事故时，应当根据应急预案及时采取救援措施。</w:t>
      </w:r>
    </w:p>
    <w:p w14:paraId="2BA13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第三十四条</w:t>
      </w:r>
      <w:r>
        <w:rPr>
          <w:rFonts w:hint="eastAsia" w:ascii="仿宋_GB2312" w:hAnsi="仿宋_GB2312" w:eastAsia="仿宋_GB2312" w:cs="仿宋_GB2312"/>
          <w:sz w:val="32"/>
          <w:szCs w:val="32"/>
          <w:lang w:val="en-US" w:eastAsia="zh-CN"/>
        </w:rPr>
        <w:t xml:space="preserve"> 管理机构应当会同旗文旅部门和旅游景区运营单位，根据湿地公园总体规划确定的湿地公园环境容量、游览接待容量，科学规划码头、车站、停车场、游步道等设施，合理确定道路和水上交通、游览线路，限定车辆行驶、船舶航行速度。进入湿地公园的车辆，应当按照规定的路线和区域行驶、停放，不得影响游览安全。</w:t>
      </w:r>
    </w:p>
    <w:p w14:paraId="55378B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第三十五条</w:t>
      </w:r>
      <w:r>
        <w:rPr>
          <w:rFonts w:hint="eastAsia" w:ascii="仿宋_GB2312" w:hAnsi="仿宋_GB2312" w:eastAsia="仿宋_GB2312" w:cs="仿宋_GB2312"/>
          <w:sz w:val="32"/>
          <w:szCs w:val="32"/>
          <w:lang w:val="en-US" w:eastAsia="zh-CN"/>
        </w:rPr>
        <w:t xml:space="preserve"> 严格控制湿地公园内经营服务网点的数量，禁止在湿地公园内设立为特定群体服务的会所会馆等场所。经营服务网点的设置，旅游景区运营单位应该向管理机构提出申请，做好统一规划、合理布局，并与湿地公园景观和环境相协调。</w:t>
      </w:r>
    </w:p>
    <w:p w14:paraId="1132B8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经营者应当在营业执照载明的经营服务场所和经营服务范围内从事经营服务活动。禁止擅自搭棚、设摊、设点、扩大经营面积等行为。</w:t>
      </w:r>
    </w:p>
    <w:p w14:paraId="4808E9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第三十六条 </w:t>
      </w:r>
      <w:r>
        <w:rPr>
          <w:rFonts w:hint="eastAsia" w:ascii="仿宋_GB2312" w:hAnsi="仿宋_GB2312" w:eastAsia="仿宋_GB2312" w:cs="仿宋_GB2312"/>
          <w:sz w:val="32"/>
          <w:szCs w:val="32"/>
          <w:lang w:val="en-US" w:eastAsia="zh-CN"/>
        </w:rPr>
        <w:t>严格控制湿地公园内的船舶总量。船舶进入湿地公园生态保育区应当征得管理机构同意，并符合下列条件：</w:t>
      </w:r>
    </w:p>
    <w:p w14:paraId="2D4D98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（一）船舶外观与湿地公园景观、环境相协调，船舶大小与湿地公园水域相适应；</w:t>
      </w:r>
    </w:p>
    <w:p w14:paraId="3A4FC64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（二）具备停泊码头、泊位；</w:t>
      </w:r>
    </w:p>
    <w:p w14:paraId="27202A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（三）符合国家规定的航行条件、安全技术规范，配备符合国家规定的船员；</w:t>
      </w:r>
    </w:p>
    <w:p w14:paraId="57AFC30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（四）法</w:t>
      </w:r>
      <w:r>
        <w:rPr>
          <w:rFonts w:hint="eastAsia" w:ascii="仿宋_GB2312" w:hAnsi="仿宋_GB2312" w:eastAsia="仿宋_GB2312" w:cs="仿宋_GB2312"/>
          <w:spacing w:val="-11"/>
          <w:sz w:val="32"/>
          <w:szCs w:val="32"/>
          <w:lang w:val="en-US" w:eastAsia="zh-CN"/>
        </w:rPr>
        <w:t>律、行政法规和自治区的地方性法规规定的其他条件。</w:t>
      </w:r>
    </w:p>
    <w:p w14:paraId="1D86FC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湿地公园内用于生态旅游、农耕渔事等的机动船舶应当采用清洁能源为动力源。湿地公园内船舶和船员的管理以及通航水域的水上交通安全监督管理，依照有关法律、法规的规定执行。</w:t>
      </w:r>
    </w:p>
    <w:p w14:paraId="0104FA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第三十七条</w:t>
      </w:r>
      <w:r>
        <w:rPr>
          <w:rFonts w:hint="eastAsia" w:ascii="仿宋_GB2312" w:hAnsi="仿宋_GB2312" w:eastAsia="仿宋_GB2312" w:cs="仿宋_GB2312"/>
          <w:sz w:val="32"/>
          <w:szCs w:val="32"/>
          <w:lang w:val="en-US" w:eastAsia="zh-CN"/>
        </w:rPr>
        <w:t xml:space="preserve"> 在湿地公园内开展赛事、摄影、绘画、徒步游、休闲游等活动，应当征得管理机构同意。活动承办者应当采取保护措施，避免对湿地资源和生态环境造成不利影响。</w:t>
      </w:r>
    </w:p>
    <w:p w14:paraId="5B18DC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在湿地公园内开展前款规定的活动应当符合下列条件：</w:t>
      </w:r>
    </w:p>
    <w:p w14:paraId="1C46C0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（一）承办者是依法成立的法人或者其他组织；</w:t>
      </w:r>
    </w:p>
    <w:p w14:paraId="397B03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（二）活动内容合法、健康、文明，符合湿地公园总体规划和管理规定；</w:t>
      </w:r>
    </w:p>
    <w:p w14:paraId="692912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（三）具有详细的活动方案，明确活动时间、地点、内容、规模、组织方式、安全措施、应急预案等，安全责任明确、措施有效；</w:t>
      </w:r>
    </w:p>
    <w:p w14:paraId="2C24C2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（四）具有符合安全要求的活动场地和设施。</w:t>
      </w:r>
    </w:p>
    <w:p w14:paraId="59AA7D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举办大型群众性活动，应当遵守有关法律、法规的规定。</w:t>
      </w:r>
    </w:p>
    <w:p w14:paraId="52C0F87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第三十八条</w:t>
      </w:r>
      <w:r>
        <w:rPr>
          <w:rFonts w:hint="eastAsia" w:ascii="仿宋_GB2312" w:hAnsi="仿宋_GB2312" w:eastAsia="仿宋_GB2312" w:cs="仿宋_GB2312"/>
          <w:sz w:val="32"/>
          <w:szCs w:val="32"/>
          <w:lang w:val="en-US" w:eastAsia="zh-CN"/>
        </w:rPr>
        <w:t xml:space="preserve"> 管理机构应当加强湿地公园内的环境卫生管理，配置符合要求的环境卫生设施和设备，建立环境卫生责任制。旅游景区经营者应当按照规定履行环境卫生责任，实施垃圾分类，做好经营场所的清扫、保洁，以及垃圾和厕所污水转运倾倒工作。</w:t>
      </w:r>
    </w:p>
    <w:p w14:paraId="098F344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第三十九条</w:t>
      </w:r>
      <w:r>
        <w:rPr>
          <w:rFonts w:hint="eastAsia" w:ascii="仿宋_GB2312" w:hAnsi="仿宋_GB2312" w:eastAsia="仿宋_GB2312" w:cs="仿宋_GB2312"/>
          <w:sz w:val="32"/>
          <w:szCs w:val="32"/>
          <w:lang w:val="en-US" w:eastAsia="zh-CN"/>
        </w:rPr>
        <w:t xml:space="preserve"> 管理机构应当依据湿地公园智慧管理系统，运用大数据、云计算、区块链等现代信息技术，提升湿地公园保护、管理、利用和游览服务的数字化、智慧化水平。</w:t>
      </w:r>
    </w:p>
    <w:p w14:paraId="2438C7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第四十条</w:t>
      </w:r>
      <w:r>
        <w:rPr>
          <w:rFonts w:hint="eastAsia" w:ascii="仿宋_GB2312" w:hAnsi="仿宋_GB2312" w:eastAsia="仿宋_GB2312" w:cs="仿宋_GB2312"/>
          <w:sz w:val="32"/>
          <w:szCs w:val="32"/>
          <w:lang w:val="en-US" w:eastAsia="zh-CN"/>
        </w:rPr>
        <w:t xml:space="preserve"> 湿地公园外围保护地带和周边景观控制区所在地苏木镇应当会同管理机构，统筹湿地公园周边产业布局和旅游服务设施建设，推进湿地公园周边生态环境治理，采取措施保护和传承非物质文化遗产，保障湿地公园生态功能稳定。鼓励湿地公园周边居民参与湿地资源利用、生态保护和传统民俗活动。</w:t>
      </w:r>
    </w:p>
    <w:p w14:paraId="07E2A4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第四十一条</w:t>
      </w:r>
      <w:r>
        <w:rPr>
          <w:rFonts w:hint="eastAsia" w:ascii="仿宋_GB2312" w:hAnsi="仿宋_GB2312" w:eastAsia="仿宋_GB2312" w:cs="仿宋_GB2312"/>
          <w:sz w:val="32"/>
          <w:szCs w:val="32"/>
          <w:lang w:val="en-US" w:eastAsia="zh-CN"/>
        </w:rPr>
        <w:t xml:space="preserve"> 湿地公园外围保护地带和周边景观控制区所在地苏木镇应当与管理机构建立湿地公园周边地区联动管理、信息通报和执法协作机制，维护湿地公园及其周边地区交通、旅游、市场秩序。</w:t>
      </w:r>
    </w:p>
    <w:p w14:paraId="5D54F13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65D3935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法律责任</w:t>
      </w:r>
    </w:p>
    <w:p w14:paraId="148001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第四十二条</w:t>
      </w:r>
      <w:r>
        <w:rPr>
          <w:rFonts w:hint="eastAsia" w:ascii="仿宋_GB2312" w:hAnsi="仿宋_GB2312" w:eastAsia="仿宋_GB2312" w:cs="仿宋_GB2312"/>
          <w:sz w:val="32"/>
          <w:szCs w:val="32"/>
          <w:lang w:val="en-US" w:eastAsia="zh-CN"/>
        </w:rPr>
        <w:t xml:space="preserve"> 国家机关及其工作人员违反有关法律法规的规定，有下列行为之一的，对直接负责的主管人员和其他直接责任人员依法给予处分；构成犯罪的，依法追究刑事责任。</w:t>
      </w:r>
    </w:p>
    <w:p w14:paraId="68B5FF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（一）未依法履行湿地保护修复、监督管理等职责，致使湿地资源受到严重损害的；</w:t>
      </w:r>
    </w:p>
    <w:p w14:paraId="567FCC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（二）发现违法行为或者接到违法行为的举报后不予查处或者不依法查处的；</w:t>
      </w:r>
    </w:p>
    <w:p w14:paraId="155C29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（三）其他玩忽职守、滥用职权、徇私舞弊的行为。</w:t>
      </w:r>
    </w:p>
    <w:p w14:paraId="2611C0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第四十三条</w:t>
      </w:r>
      <w:r>
        <w:rPr>
          <w:rFonts w:hint="eastAsia" w:ascii="仿宋_GB2312" w:hAnsi="仿宋_GB2312" w:eastAsia="仿宋_GB2312" w:cs="仿宋_GB2312"/>
          <w:sz w:val="32"/>
          <w:szCs w:val="32"/>
          <w:lang w:val="en-US" w:eastAsia="zh-CN"/>
        </w:rPr>
        <w:t xml:space="preserve"> 管理机构对发现的违法违规问题，应当及时调查核实、督促整改，并将问题线索移送相关行政执法部门进行处罚。违反本办法规定，造成湿地公园生态环境损害的，管理机构依据《中华人民共和国湿地保护法》《国家级自然公园管理办法（试行）》的有关规定，有权要求违法行为人承担修复责任、赔偿损失和有关费用。</w:t>
      </w:r>
    </w:p>
    <w:p w14:paraId="5A00CB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第四十四条</w:t>
      </w:r>
      <w:r>
        <w:rPr>
          <w:rFonts w:hint="eastAsia" w:ascii="仿宋_GB2312" w:hAnsi="仿宋_GB2312" w:eastAsia="仿宋_GB2312" w:cs="仿宋_GB2312"/>
          <w:sz w:val="32"/>
          <w:szCs w:val="32"/>
          <w:lang w:val="en-US" w:eastAsia="zh-CN"/>
        </w:rPr>
        <w:t xml:space="preserve"> 违反本办法规定，构成违反治安管理行为的，由公安机关依法给予治安管理处罚；构成犯罪的，依法追究刑事责任。</w:t>
      </w:r>
    </w:p>
    <w:p w14:paraId="5DAD106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附 则</w:t>
      </w:r>
    </w:p>
    <w:p w14:paraId="65EAAF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第四十五条</w:t>
      </w:r>
      <w:r>
        <w:rPr>
          <w:rFonts w:hint="eastAsia" w:ascii="仿宋_GB2312" w:hAnsi="仿宋_GB2312" w:eastAsia="仿宋_GB2312" w:cs="仿宋_GB2312"/>
          <w:sz w:val="32"/>
          <w:szCs w:val="32"/>
          <w:lang w:val="en-US" w:eastAsia="zh-CN"/>
        </w:rPr>
        <w:t xml:space="preserve"> 本办法由内蒙古萨拉乌苏国家湿地公园管理局负责解释。</w:t>
      </w:r>
    </w:p>
    <w:p w14:paraId="3C273B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第四十六条</w:t>
      </w:r>
      <w:r>
        <w:rPr>
          <w:rFonts w:hint="eastAsia" w:ascii="仿宋_GB2312" w:hAnsi="仿宋_GB2312" w:eastAsia="仿宋_GB2312" w:cs="仿宋_GB2312"/>
          <w:sz w:val="32"/>
          <w:szCs w:val="32"/>
          <w:lang w:val="en-US" w:eastAsia="zh-CN"/>
        </w:rPr>
        <w:t xml:space="preserve"> 本办法实施期限自2024年12月1日起至2029年11月30日止。</w:t>
      </w:r>
    </w:p>
    <w:p w14:paraId="41CAA695">
      <w:pPr>
        <w:pStyle w:val="4"/>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z w:val="32"/>
          <w:szCs w:val="32"/>
          <w:lang w:val="en-US" w:eastAsia="zh-CN"/>
        </w:rPr>
      </w:pPr>
    </w:p>
    <w:p w14:paraId="089B25C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35AC1178">
      <w:pPr>
        <w:pStyle w:val="4"/>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z w:val="32"/>
          <w:szCs w:val="32"/>
          <w:lang w:val="en-US" w:eastAsia="zh-CN"/>
        </w:rPr>
      </w:pPr>
    </w:p>
    <w:p w14:paraId="3D954BF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7B6EFF89">
      <w:pPr>
        <w:pStyle w:val="4"/>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z w:val="32"/>
          <w:szCs w:val="32"/>
          <w:lang w:val="en-US" w:eastAsia="zh-CN"/>
        </w:rPr>
      </w:pPr>
    </w:p>
    <w:p w14:paraId="2CB3053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14:paraId="7BD878E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黑体" w:eastAsia="仿宋_GB2312"/>
          <w:bCs/>
          <w:snapToGrid/>
          <w:color w:val="000000"/>
          <w:spacing w:val="0"/>
          <w:w w:val="100"/>
          <w:sz w:val="28"/>
          <w:szCs w:val="28"/>
        </w:rPr>
      </w:pPr>
    </w:p>
    <w:p w14:paraId="2E0D747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黑体" w:eastAsia="仿宋_GB2312"/>
          <w:bCs/>
          <w:snapToGrid/>
          <w:color w:val="000000"/>
          <w:spacing w:val="0"/>
          <w:w w:val="100"/>
          <w:sz w:val="28"/>
          <w:szCs w:val="28"/>
        </w:rPr>
      </w:pPr>
    </w:p>
    <w:p w14:paraId="6BF0BED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黑体" w:eastAsia="仿宋_GB2312"/>
          <w:bCs/>
          <w:snapToGrid/>
          <w:color w:val="000000"/>
          <w:spacing w:val="0"/>
          <w:w w:val="100"/>
          <w:sz w:val="28"/>
          <w:szCs w:val="28"/>
        </w:rPr>
      </w:pPr>
    </w:p>
    <w:p w14:paraId="3837C8B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黑体" w:eastAsia="仿宋_GB2312"/>
          <w:bCs/>
          <w:snapToGrid/>
          <w:color w:val="000000"/>
          <w:spacing w:val="0"/>
          <w:w w:val="100"/>
          <w:sz w:val="28"/>
          <w:szCs w:val="28"/>
        </w:rPr>
      </w:pPr>
    </w:p>
    <w:p w14:paraId="4D76ADF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黑体" w:eastAsia="仿宋_GB2312"/>
          <w:bCs/>
          <w:snapToGrid/>
          <w:color w:val="000000"/>
          <w:spacing w:val="0"/>
          <w:w w:val="100"/>
          <w:sz w:val="28"/>
          <w:szCs w:val="28"/>
        </w:rPr>
      </w:pPr>
    </w:p>
    <w:p w14:paraId="038E5BB2">
      <w:pPr>
        <w:pStyle w:val="2"/>
        <w:rPr>
          <w:rFonts w:hint="eastAsia"/>
        </w:rPr>
      </w:pPr>
    </w:p>
    <w:p w14:paraId="20E47F5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黑体" w:eastAsia="仿宋_GB2312"/>
          <w:bCs/>
          <w:snapToGrid/>
          <w:color w:val="000000"/>
          <w:spacing w:val="0"/>
          <w:w w:val="100"/>
          <w:sz w:val="28"/>
          <w:szCs w:val="28"/>
        </w:rPr>
      </w:pPr>
    </w:p>
    <w:p w14:paraId="58A60030">
      <w:pPr>
        <w:pStyle w:val="4"/>
        <w:rPr>
          <w:rFonts w:hint="eastAsia" w:ascii="仿宋_GB2312" w:hAnsi="黑体" w:eastAsia="仿宋_GB2312"/>
          <w:bCs/>
          <w:snapToGrid/>
          <w:color w:val="000000"/>
          <w:spacing w:val="0"/>
          <w:w w:val="100"/>
          <w:sz w:val="28"/>
          <w:szCs w:val="28"/>
        </w:rPr>
      </w:pPr>
    </w:p>
    <w:p w14:paraId="58F7074F">
      <w:pPr>
        <w:pStyle w:val="2"/>
        <w:rPr>
          <w:rFonts w:hint="eastAsia"/>
        </w:rPr>
      </w:pPr>
    </w:p>
    <w:p w14:paraId="73ED7E0F">
      <w:pPr>
        <w:keepNext w:val="0"/>
        <w:keepLines w:val="0"/>
        <w:pageBreakBefore w:val="0"/>
        <w:widowControl w:val="0"/>
        <w:kinsoku/>
        <w:wordWrap/>
        <w:overflowPunct/>
        <w:topLinePunct w:val="0"/>
        <w:autoSpaceDE/>
        <w:autoSpaceDN/>
        <w:bidi w:val="0"/>
        <w:adjustRightInd/>
        <w:snapToGrid/>
        <w:spacing w:line="580" w:lineRule="exact"/>
        <w:ind w:left="0" w:leftChars="0" w:firstLine="210" w:firstLineChars="100"/>
        <w:jc w:val="both"/>
        <w:textAlignment w:val="auto"/>
        <w:rPr>
          <w:rFonts w:hint="default" w:ascii="仿宋_GB2312" w:hAnsi="仿宋_GB2312" w:eastAsia="仿宋_GB2312" w:cs="仿宋_GB2312"/>
          <w:snapToGrid/>
          <w:color w:val="000000"/>
          <w:spacing w:val="0"/>
          <w:w w:val="100"/>
          <w:sz w:val="28"/>
          <w:szCs w:val="28"/>
          <w:lang w:val="en-US" w:eastAsia="zh-CN"/>
        </w:rPr>
      </w:pPr>
      <w:r>
        <w:rPr>
          <w:rFonts w:hint="eastAsia"/>
          <w:snapToGrid/>
          <w:color w:val="000000"/>
          <w:spacing w:val="0"/>
          <w:w w:val="100"/>
        </w:rPr>
        <w:pict>
          <v:line id="直接连接符 2" o:spid="_x0000_s1028" o:spt="20" style="position:absolute;left:0pt;margin-left:0.5pt;margin-top:3.85pt;height:0pt;width:441pt;z-index:251662336;mso-width-relative:page;mso-height-relative:page;" filled="f" stroked="t" coordsize="21600,21600" o:gfxdata="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">
            <v:path arrowok="t"/>
            <v:fill on="f" focussize="0,0"/>
            <v:stroke joinstyle="round"/>
            <v:imagedata o:title=""/>
            <o:lock v:ext="edit" aspectratio="f"/>
          </v:line>
        </w:pict>
      </w:r>
      <w:r>
        <w:rPr>
          <w:rFonts w:hint="eastAsia" w:ascii="仿宋_GB2312" w:hAnsi="仿宋_GB2312" w:eastAsia="仿宋_GB2312" w:cs="仿宋_GB2312"/>
          <w:snapToGrid/>
          <w:color w:val="000000"/>
          <w:spacing w:val="0"/>
          <w:w w:val="100"/>
          <w:sz w:val="28"/>
          <w:szCs w:val="28"/>
        </w:rPr>
        <w:t xml:space="preserve">乌审旗人民政府办公室                </w:t>
      </w:r>
      <w:r>
        <w:rPr>
          <w:rFonts w:hint="eastAsia" w:cs="仿宋_GB2312"/>
          <w:snapToGrid/>
          <w:color w:val="000000"/>
          <w:spacing w:val="0"/>
          <w:w w:val="100"/>
          <w:sz w:val="28"/>
          <w:szCs w:val="28"/>
          <w:lang w:val="en-US" w:eastAsia="zh-CN"/>
        </w:rPr>
        <w:t xml:space="preserve">  </w:t>
      </w:r>
      <w:r>
        <w:rPr>
          <w:rFonts w:hint="eastAsia" w:ascii="仿宋_GB2312" w:hAnsi="仿宋_GB2312" w:eastAsia="仿宋_GB2312" w:cs="仿宋_GB2312"/>
          <w:snapToGrid/>
          <w:color w:val="000000"/>
          <w:spacing w:val="0"/>
          <w:w w:val="100"/>
          <w:sz w:val="28"/>
          <w:szCs w:val="28"/>
        </w:rPr>
        <w:t xml:space="preserve">  </w:t>
      </w:r>
      <w:r>
        <w:rPr>
          <w:rFonts w:hint="eastAsia" w:ascii="仿宋_GB2312" w:hAnsi="仿宋_GB2312" w:cs="仿宋_GB2312"/>
          <w:snapToGrid/>
          <w:color w:val="000000"/>
          <w:spacing w:val="0"/>
          <w:w w:val="100"/>
          <w:sz w:val="28"/>
          <w:szCs w:val="28"/>
          <w:lang w:eastAsia="zh-CN"/>
        </w:rPr>
        <w:t>202</w:t>
      </w:r>
      <w:r>
        <w:rPr>
          <w:rFonts w:hint="eastAsia" w:ascii="仿宋_GB2312" w:hAnsi="仿宋_GB2312" w:cs="仿宋_GB2312"/>
          <w:snapToGrid/>
          <w:color w:val="000000"/>
          <w:spacing w:val="0"/>
          <w:w w:val="100"/>
          <w:sz w:val="28"/>
          <w:szCs w:val="28"/>
          <w:lang w:val="en-US" w:eastAsia="zh-CN"/>
        </w:rPr>
        <w:t>4</w:t>
      </w:r>
      <w:r>
        <w:rPr>
          <w:rFonts w:hint="eastAsia" w:ascii="仿宋_GB2312" w:hAnsi="仿宋_GB2312" w:eastAsia="仿宋_GB2312" w:cs="仿宋_GB2312"/>
          <w:snapToGrid/>
          <w:color w:val="000000"/>
          <w:spacing w:val="0"/>
          <w:w w:val="100"/>
          <w:sz w:val="28"/>
          <w:szCs w:val="28"/>
        </w:rPr>
        <w:t>年</w:t>
      </w:r>
      <w:r>
        <w:rPr>
          <w:rFonts w:hint="eastAsia" w:ascii="仿宋_GB2312" w:hAnsi="仿宋_GB2312" w:cs="仿宋_GB2312"/>
          <w:snapToGrid/>
          <w:color w:val="000000"/>
          <w:spacing w:val="0"/>
          <w:w w:val="100"/>
          <w:sz w:val="28"/>
          <w:szCs w:val="28"/>
          <w:lang w:val="en-US" w:eastAsia="zh-CN"/>
        </w:rPr>
        <w:t>11</w:t>
      </w:r>
      <w:r>
        <w:rPr>
          <w:rFonts w:hint="eastAsia" w:ascii="仿宋_GB2312" w:hAnsi="仿宋_GB2312" w:eastAsia="仿宋_GB2312" w:cs="仿宋_GB2312"/>
          <w:snapToGrid/>
          <w:color w:val="000000"/>
          <w:spacing w:val="0"/>
          <w:w w:val="100"/>
          <w:sz w:val="28"/>
          <w:szCs w:val="28"/>
        </w:rPr>
        <w:t>月</w:t>
      </w:r>
      <w:r>
        <w:rPr>
          <w:rFonts w:hint="eastAsia" w:ascii="仿宋_GB2312" w:hAnsi="仿宋_GB2312" w:cs="仿宋_GB2312"/>
          <w:snapToGrid/>
          <w:color w:val="000000"/>
          <w:spacing w:val="0"/>
          <w:w w:val="100"/>
          <w:sz w:val="28"/>
          <w:szCs w:val="28"/>
          <w:lang w:val="en-US" w:eastAsia="zh-CN"/>
        </w:rPr>
        <w:t>19</w:t>
      </w:r>
      <w:r>
        <w:rPr>
          <w:rFonts w:hint="eastAsia" w:ascii="仿宋_GB2312" w:hAnsi="仿宋_GB2312" w:eastAsia="仿宋_GB2312" w:cs="仿宋_GB2312"/>
          <w:snapToGrid/>
          <w:color w:val="000000"/>
          <w:spacing w:val="0"/>
          <w:w w:val="100"/>
          <w:sz w:val="28"/>
          <w:szCs w:val="28"/>
        </w:rPr>
        <w:t>日印发</w:t>
      </w:r>
      <w:r>
        <w:rPr>
          <w:rFonts w:hint="eastAsia" w:ascii="仿宋_GB2312" w:hAnsi="仿宋_GB2312" w:eastAsia="仿宋_GB2312" w:cs="仿宋_GB2312"/>
          <w:snapToGrid/>
          <w:color w:val="000000"/>
          <w:spacing w:val="0"/>
          <w:w w:val="100"/>
          <w:sz w:val="28"/>
          <w:szCs w:val="28"/>
          <w:lang w:val="en-US" w:eastAsia="zh-CN"/>
        </w:rPr>
        <w:t xml:space="preserve"> </w:t>
      </w:r>
      <w:r>
        <w:rPr>
          <w:rFonts w:hint="eastAsia" w:cs="仿宋_GB2312"/>
          <w:snapToGrid/>
          <w:color w:val="000000"/>
          <w:spacing w:val="0"/>
          <w:w w:val="100"/>
          <w:sz w:val="28"/>
          <w:szCs w:val="28"/>
          <w:lang w:val="en-US" w:eastAsia="zh-CN"/>
        </w:rPr>
        <w:t xml:space="preserve"> </w:t>
      </w:r>
    </w:p>
    <w:p w14:paraId="0D842EC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lang w:val="en-US" w:eastAsia="zh-CN"/>
        </w:rPr>
      </w:pPr>
      <w:r>
        <w:rPr>
          <w:rFonts w:hint="eastAsia"/>
          <w:snapToGrid/>
          <w:color w:val="000000"/>
          <w:spacing w:val="0"/>
          <w:w w:val="100"/>
        </w:rPr>
        <w:pict>
          <v:line id="直接连接符 1" o:spid="_x0000_s1029" o:spt="20" style="position:absolute;left:0pt;margin-left:1.8pt;margin-top:3.45pt;height:0pt;width:441pt;z-index:251661312;mso-width-relative:page;mso-height-relative:page;" filled="f" stroked="t" coordsize="21600,21600" o:gfxdata="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">
            <v:path arrowok="t"/>
            <v:fill on="f" focussize="0,0"/>
            <v:stroke joinstyle="round"/>
            <v:imagedata o:title=""/>
            <o:lock v:ext="edit" aspectratio="f"/>
          </v:line>
        </w:pict>
      </w:r>
    </w:p>
    <w:bookmarkEnd w:id="1"/>
    <w:p w14:paraId="6D9DCD17">
      <w:pPr>
        <w:rPr>
          <w:rFonts w:hint="eastAsia" w:ascii="仿宋_GB2312" w:eastAsia="仿宋_GB2312"/>
          <w:sz w:val="32"/>
          <w:lang w:val="en-US" w:eastAsia="zh-CN"/>
        </w:rPr>
      </w:pPr>
    </w:p>
    <w:p w14:paraId="30EEDC44">
      <w:pPr>
        <w:rPr>
          <w:rFonts w:hint="eastAsia"/>
          <w:sz w:val="24"/>
        </w:rPr>
      </w:pPr>
    </w:p>
    <w:p w14:paraId="2C93D7C9">
      <w:pPr>
        <w:rPr>
          <w:rFonts w:hint="eastAsia"/>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361" w:left="1587" w:header="851" w:footer="992" w:gutter="0"/>
      <w:pgNumType w:fmt="numberInDash"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方正宋黑简体">
    <w:altName w:val="宋体"/>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BE6D2">
    <w:pPr>
      <w:pStyle w:val="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18FB8">
                          <w:pPr>
                            <w:pStyle w:val="8"/>
                            <w:rPr>
                              <w:rFonts w:hint="default"/>
                            </w:rP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A118FB8">
                    <w:pPr>
                      <w:pStyle w:val="8"/>
                      <w:rPr>
                        <w:rFonts w:hint="default"/>
                      </w:rP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F18C2">
    <w:pPr>
      <w:pStyle w:val="8"/>
      <w:framePr w:wrap="around" w:vAnchor="text" w:hAnchor="page" w:x="10049" w:y="-562"/>
      <w:rPr>
        <w:rStyle w:val="14"/>
      </w:rPr>
    </w:pPr>
  </w:p>
  <w:p w14:paraId="26A94388">
    <w:pPr>
      <w:pStyle w:val="8"/>
      <w:ind w:right="360" w:firstLine="240" w:firstLineChars="100"/>
      <w:rPr>
        <w:rFonts w:hint="eastAsia" w:ascii="仿宋_GB2312" w:eastAsia="仿宋_GB2312"/>
        <w:sz w:val="24"/>
        <w:szCs w:val="24"/>
      </w:rPr>
    </w:pPr>
    <w:r>
      <w:rPr>
        <w:rStyle w:val="14"/>
        <w:rFonts w:hint="eastAsia" w:ascii="仿宋_GB2312" w:eastAsia="仿宋_GB2312"/>
        <w:sz w:val="24"/>
        <w:szCs w:val="24"/>
      </w:rPr>
      <w:fldChar w:fldCharType="begin"/>
    </w:r>
    <w:r>
      <w:rPr>
        <w:rStyle w:val="14"/>
        <w:rFonts w:hint="eastAsia" w:ascii="仿宋_GB2312" w:eastAsia="仿宋_GB2312"/>
        <w:sz w:val="24"/>
        <w:szCs w:val="24"/>
      </w:rPr>
      <w:instrText xml:space="preserve"> PAGE </w:instrText>
    </w:r>
    <w:r>
      <w:rPr>
        <w:rStyle w:val="14"/>
        <w:rFonts w:hint="eastAsia" w:ascii="仿宋_GB2312" w:eastAsia="仿宋_GB2312"/>
        <w:sz w:val="24"/>
        <w:szCs w:val="24"/>
      </w:rPr>
      <w:fldChar w:fldCharType="separate"/>
    </w:r>
    <w:r>
      <w:rPr>
        <w:rStyle w:val="14"/>
        <w:rFonts w:ascii="仿宋_GB2312" w:eastAsia="仿宋_GB2312"/>
        <w:sz w:val="24"/>
        <w:szCs w:val="24"/>
      </w:rPr>
      <w:t>- 2 -</w:t>
    </w:r>
    <w:r>
      <w:rPr>
        <w:rStyle w:val="14"/>
        <w:rFonts w:hint="eastAsia" w:ascii="仿宋_GB2312" w:eastAsia="仿宋_GB2312"/>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DE68C">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1798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BE8E">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48AC">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ZjUyMzQ1ZDEwN2FiYzE2OTQzYzcwODIxYzMwY2IifQ=="/>
  </w:docVars>
  <w:rsids>
    <w:rsidRoot w:val="60183AA0"/>
    <w:rsid w:val="00002E7E"/>
    <w:rsid w:val="00025BDE"/>
    <w:rsid w:val="00080A5D"/>
    <w:rsid w:val="000F0775"/>
    <w:rsid w:val="000F704F"/>
    <w:rsid w:val="00100886"/>
    <w:rsid w:val="00163BE8"/>
    <w:rsid w:val="00181BA6"/>
    <w:rsid w:val="00195A88"/>
    <w:rsid w:val="00243323"/>
    <w:rsid w:val="00254676"/>
    <w:rsid w:val="002B64DE"/>
    <w:rsid w:val="00311532"/>
    <w:rsid w:val="00362302"/>
    <w:rsid w:val="003C64DF"/>
    <w:rsid w:val="004271B2"/>
    <w:rsid w:val="00447246"/>
    <w:rsid w:val="00502F11"/>
    <w:rsid w:val="00526919"/>
    <w:rsid w:val="00551ACB"/>
    <w:rsid w:val="0058136E"/>
    <w:rsid w:val="005B06DF"/>
    <w:rsid w:val="006309CB"/>
    <w:rsid w:val="006364BA"/>
    <w:rsid w:val="006517DE"/>
    <w:rsid w:val="00662505"/>
    <w:rsid w:val="00687665"/>
    <w:rsid w:val="007B040D"/>
    <w:rsid w:val="007B1D51"/>
    <w:rsid w:val="007C2CD6"/>
    <w:rsid w:val="00864643"/>
    <w:rsid w:val="00894D47"/>
    <w:rsid w:val="008B1CF2"/>
    <w:rsid w:val="00927035"/>
    <w:rsid w:val="00935FC6"/>
    <w:rsid w:val="00943AE8"/>
    <w:rsid w:val="00944654"/>
    <w:rsid w:val="00954537"/>
    <w:rsid w:val="0095487C"/>
    <w:rsid w:val="00975831"/>
    <w:rsid w:val="00997A53"/>
    <w:rsid w:val="009E6EEE"/>
    <w:rsid w:val="00A00062"/>
    <w:rsid w:val="00A45520"/>
    <w:rsid w:val="00A716A5"/>
    <w:rsid w:val="00A84557"/>
    <w:rsid w:val="00AC7175"/>
    <w:rsid w:val="00B3067D"/>
    <w:rsid w:val="00B44B1D"/>
    <w:rsid w:val="00B52690"/>
    <w:rsid w:val="00B657AD"/>
    <w:rsid w:val="00B75A46"/>
    <w:rsid w:val="00BB718B"/>
    <w:rsid w:val="00BE6C44"/>
    <w:rsid w:val="00BF706B"/>
    <w:rsid w:val="00C06AD4"/>
    <w:rsid w:val="00C20032"/>
    <w:rsid w:val="00C317D5"/>
    <w:rsid w:val="00C32176"/>
    <w:rsid w:val="00C36B5B"/>
    <w:rsid w:val="00C63A89"/>
    <w:rsid w:val="00CA5D1C"/>
    <w:rsid w:val="00CB1EB4"/>
    <w:rsid w:val="00D37210"/>
    <w:rsid w:val="00D65E7D"/>
    <w:rsid w:val="00D80579"/>
    <w:rsid w:val="00D86F79"/>
    <w:rsid w:val="00DB76BF"/>
    <w:rsid w:val="00DD48EE"/>
    <w:rsid w:val="00DF1288"/>
    <w:rsid w:val="00E54D8B"/>
    <w:rsid w:val="00ED72FD"/>
    <w:rsid w:val="00EF4CD8"/>
    <w:rsid w:val="00EF4FF5"/>
    <w:rsid w:val="00EF54D9"/>
    <w:rsid w:val="00F21141"/>
    <w:rsid w:val="00F652BB"/>
    <w:rsid w:val="00FC1F4E"/>
    <w:rsid w:val="00FD6C3E"/>
    <w:rsid w:val="015A5CF5"/>
    <w:rsid w:val="016C71F3"/>
    <w:rsid w:val="019D2525"/>
    <w:rsid w:val="022F1C2D"/>
    <w:rsid w:val="025A704C"/>
    <w:rsid w:val="02A227A1"/>
    <w:rsid w:val="02A429BD"/>
    <w:rsid w:val="02AD361F"/>
    <w:rsid w:val="02B56978"/>
    <w:rsid w:val="02BE6064"/>
    <w:rsid w:val="02C72207"/>
    <w:rsid w:val="02DA4630"/>
    <w:rsid w:val="02DE0C76"/>
    <w:rsid w:val="02E1151B"/>
    <w:rsid w:val="02EE3C38"/>
    <w:rsid w:val="030A6CC4"/>
    <w:rsid w:val="031C2553"/>
    <w:rsid w:val="034741D8"/>
    <w:rsid w:val="037F286E"/>
    <w:rsid w:val="03822CFE"/>
    <w:rsid w:val="03912F41"/>
    <w:rsid w:val="03CC21CB"/>
    <w:rsid w:val="03E2554B"/>
    <w:rsid w:val="03E47515"/>
    <w:rsid w:val="03EC63C9"/>
    <w:rsid w:val="04191EF2"/>
    <w:rsid w:val="043E642D"/>
    <w:rsid w:val="045126D0"/>
    <w:rsid w:val="04706663"/>
    <w:rsid w:val="04757341"/>
    <w:rsid w:val="04787C5D"/>
    <w:rsid w:val="04877EA0"/>
    <w:rsid w:val="04984A79"/>
    <w:rsid w:val="04A232F3"/>
    <w:rsid w:val="04B74C29"/>
    <w:rsid w:val="04BF3ADE"/>
    <w:rsid w:val="04CB5FDF"/>
    <w:rsid w:val="0523406D"/>
    <w:rsid w:val="05235E1B"/>
    <w:rsid w:val="052D0A47"/>
    <w:rsid w:val="05341DD6"/>
    <w:rsid w:val="0539563E"/>
    <w:rsid w:val="05687CD1"/>
    <w:rsid w:val="05EC0902"/>
    <w:rsid w:val="06021CF7"/>
    <w:rsid w:val="060E0879"/>
    <w:rsid w:val="06287461"/>
    <w:rsid w:val="063D7D54"/>
    <w:rsid w:val="064222D0"/>
    <w:rsid w:val="064A5629"/>
    <w:rsid w:val="06D443CF"/>
    <w:rsid w:val="070B300A"/>
    <w:rsid w:val="076F5347"/>
    <w:rsid w:val="078F59E9"/>
    <w:rsid w:val="07A31495"/>
    <w:rsid w:val="07CA5C90"/>
    <w:rsid w:val="07CB4714"/>
    <w:rsid w:val="07D94EB6"/>
    <w:rsid w:val="07E04497"/>
    <w:rsid w:val="08191D11"/>
    <w:rsid w:val="08514A4D"/>
    <w:rsid w:val="08517452"/>
    <w:rsid w:val="08AE00F1"/>
    <w:rsid w:val="08B84ACC"/>
    <w:rsid w:val="08BD6586"/>
    <w:rsid w:val="08C234FC"/>
    <w:rsid w:val="08EB30F3"/>
    <w:rsid w:val="091361A6"/>
    <w:rsid w:val="092959CA"/>
    <w:rsid w:val="09420839"/>
    <w:rsid w:val="094C16A6"/>
    <w:rsid w:val="09524F20"/>
    <w:rsid w:val="097855D8"/>
    <w:rsid w:val="09815806"/>
    <w:rsid w:val="099879E4"/>
    <w:rsid w:val="09AA4D5C"/>
    <w:rsid w:val="0A285C81"/>
    <w:rsid w:val="0A29542A"/>
    <w:rsid w:val="0A2A19F9"/>
    <w:rsid w:val="0A5151D8"/>
    <w:rsid w:val="0AA74DF8"/>
    <w:rsid w:val="0AAF1EFF"/>
    <w:rsid w:val="0AC736EC"/>
    <w:rsid w:val="0AD5584D"/>
    <w:rsid w:val="0B0E2885"/>
    <w:rsid w:val="0B161F7E"/>
    <w:rsid w:val="0B534F80"/>
    <w:rsid w:val="0B77037C"/>
    <w:rsid w:val="0BE627C0"/>
    <w:rsid w:val="0C321039"/>
    <w:rsid w:val="0C3721AC"/>
    <w:rsid w:val="0C564D28"/>
    <w:rsid w:val="0C662A91"/>
    <w:rsid w:val="0CE95B9C"/>
    <w:rsid w:val="0D041000"/>
    <w:rsid w:val="0D0522AA"/>
    <w:rsid w:val="0D077A2F"/>
    <w:rsid w:val="0D110C4F"/>
    <w:rsid w:val="0D530999"/>
    <w:rsid w:val="0D8633EB"/>
    <w:rsid w:val="0DB43078"/>
    <w:rsid w:val="0DE40111"/>
    <w:rsid w:val="0DE95727"/>
    <w:rsid w:val="0DF20A80"/>
    <w:rsid w:val="0DF955EE"/>
    <w:rsid w:val="0E08104B"/>
    <w:rsid w:val="0E0C14ED"/>
    <w:rsid w:val="0E4F5ED2"/>
    <w:rsid w:val="0E7F15EF"/>
    <w:rsid w:val="0EAD1932"/>
    <w:rsid w:val="0EB6385C"/>
    <w:rsid w:val="0EDB32C2"/>
    <w:rsid w:val="0EDD528C"/>
    <w:rsid w:val="0F3F7E9C"/>
    <w:rsid w:val="0F4B669A"/>
    <w:rsid w:val="0F5D63CD"/>
    <w:rsid w:val="0F6C03BE"/>
    <w:rsid w:val="0FB12275"/>
    <w:rsid w:val="0FB51D65"/>
    <w:rsid w:val="0FBC319C"/>
    <w:rsid w:val="10156CA8"/>
    <w:rsid w:val="103709CC"/>
    <w:rsid w:val="10613A0A"/>
    <w:rsid w:val="1082046D"/>
    <w:rsid w:val="10991687"/>
    <w:rsid w:val="10AA5642"/>
    <w:rsid w:val="10CB0BFC"/>
    <w:rsid w:val="10E64F5F"/>
    <w:rsid w:val="10F92E76"/>
    <w:rsid w:val="10F945B7"/>
    <w:rsid w:val="110C3C07"/>
    <w:rsid w:val="11254CC9"/>
    <w:rsid w:val="113373E5"/>
    <w:rsid w:val="11692E07"/>
    <w:rsid w:val="118D62CF"/>
    <w:rsid w:val="11A9487A"/>
    <w:rsid w:val="11B524F0"/>
    <w:rsid w:val="11D010D8"/>
    <w:rsid w:val="11DB45E7"/>
    <w:rsid w:val="11F254F3"/>
    <w:rsid w:val="11F748B7"/>
    <w:rsid w:val="11FB0994"/>
    <w:rsid w:val="12105979"/>
    <w:rsid w:val="127001C5"/>
    <w:rsid w:val="128B14A3"/>
    <w:rsid w:val="12D44BF8"/>
    <w:rsid w:val="131D034D"/>
    <w:rsid w:val="136648FC"/>
    <w:rsid w:val="13963C5C"/>
    <w:rsid w:val="13C92283"/>
    <w:rsid w:val="141B0041"/>
    <w:rsid w:val="146975C2"/>
    <w:rsid w:val="148F7029"/>
    <w:rsid w:val="14CB1B54"/>
    <w:rsid w:val="14DF1632"/>
    <w:rsid w:val="14FB5D56"/>
    <w:rsid w:val="15080B89"/>
    <w:rsid w:val="155B515D"/>
    <w:rsid w:val="159B4841"/>
    <w:rsid w:val="15AE1224"/>
    <w:rsid w:val="15B27D47"/>
    <w:rsid w:val="15BD1974"/>
    <w:rsid w:val="15DC09AD"/>
    <w:rsid w:val="15FB142D"/>
    <w:rsid w:val="160D49CB"/>
    <w:rsid w:val="16157A01"/>
    <w:rsid w:val="162D4D4B"/>
    <w:rsid w:val="16677AE2"/>
    <w:rsid w:val="169C5A2D"/>
    <w:rsid w:val="16B20DAC"/>
    <w:rsid w:val="16E13F3E"/>
    <w:rsid w:val="16FB3E5A"/>
    <w:rsid w:val="17233A58"/>
    <w:rsid w:val="17297264"/>
    <w:rsid w:val="174560C4"/>
    <w:rsid w:val="17740F90"/>
    <w:rsid w:val="178A758F"/>
    <w:rsid w:val="178D5376"/>
    <w:rsid w:val="17B44FF8"/>
    <w:rsid w:val="17E256C1"/>
    <w:rsid w:val="180715CC"/>
    <w:rsid w:val="181244B0"/>
    <w:rsid w:val="181F6EEC"/>
    <w:rsid w:val="182E0907"/>
    <w:rsid w:val="183E662F"/>
    <w:rsid w:val="184C095E"/>
    <w:rsid w:val="18950986"/>
    <w:rsid w:val="18A60DE5"/>
    <w:rsid w:val="18C41447"/>
    <w:rsid w:val="18D07C10"/>
    <w:rsid w:val="18DB1618"/>
    <w:rsid w:val="18E13BCB"/>
    <w:rsid w:val="18ED4079"/>
    <w:rsid w:val="19204C62"/>
    <w:rsid w:val="194303E2"/>
    <w:rsid w:val="194F6D87"/>
    <w:rsid w:val="19671730"/>
    <w:rsid w:val="19A215AC"/>
    <w:rsid w:val="19AD1CFF"/>
    <w:rsid w:val="19BE215E"/>
    <w:rsid w:val="19BF4733"/>
    <w:rsid w:val="19C257AA"/>
    <w:rsid w:val="19DA4689"/>
    <w:rsid w:val="19EC0A79"/>
    <w:rsid w:val="1A0C144A"/>
    <w:rsid w:val="1A2669A9"/>
    <w:rsid w:val="1A4C59BC"/>
    <w:rsid w:val="1A6C1935"/>
    <w:rsid w:val="1A807414"/>
    <w:rsid w:val="1A8769F4"/>
    <w:rsid w:val="1AA43102"/>
    <w:rsid w:val="1B157B5C"/>
    <w:rsid w:val="1B3A5814"/>
    <w:rsid w:val="1B5E59A7"/>
    <w:rsid w:val="1B630AFB"/>
    <w:rsid w:val="1B6D1746"/>
    <w:rsid w:val="1B9273FE"/>
    <w:rsid w:val="1B9E2247"/>
    <w:rsid w:val="1BA15893"/>
    <w:rsid w:val="1BB13D28"/>
    <w:rsid w:val="1BF37EA0"/>
    <w:rsid w:val="1BF73705"/>
    <w:rsid w:val="1C413713"/>
    <w:rsid w:val="1C76327D"/>
    <w:rsid w:val="1C8404AC"/>
    <w:rsid w:val="1C9B221C"/>
    <w:rsid w:val="1CAD0994"/>
    <w:rsid w:val="1CD31A7D"/>
    <w:rsid w:val="1CF540E9"/>
    <w:rsid w:val="1CFD2F9D"/>
    <w:rsid w:val="1D04432C"/>
    <w:rsid w:val="1D306ECF"/>
    <w:rsid w:val="1D3E783E"/>
    <w:rsid w:val="1D554B87"/>
    <w:rsid w:val="1D584F70"/>
    <w:rsid w:val="1D9268C9"/>
    <w:rsid w:val="1D9E208B"/>
    <w:rsid w:val="1D9F78A1"/>
    <w:rsid w:val="1DC835AB"/>
    <w:rsid w:val="1DDE2DCF"/>
    <w:rsid w:val="1DE864D3"/>
    <w:rsid w:val="1DF47EFC"/>
    <w:rsid w:val="1E081BFA"/>
    <w:rsid w:val="1E1C7453"/>
    <w:rsid w:val="1E71154D"/>
    <w:rsid w:val="1E786A94"/>
    <w:rsid w:val="1E831280"/>
    <w:rsid w:val="1E9D67E6"/>
    <w:rsid w:val="1ECE4BF1"/>
    <w:rsid w:val="1EFA1543"/>
    <w:rsid w:val="1F372797"/>
    <w:rsid w:val="1F4E0726"/>
    <w:rsid w:val="1F7A08D5"/>
    <w:rsid w:val="202F7118"/>
    <w:rsid w:val="203767C6"/>
    <w:rsid w:val="208C2B95"/>
    <w:rsid w:val="208E7737"/>
    <w:rsid w:val="20992FDD"/>
    <w:rsid w:val="20A025BE"/>
    <w:rsid w:val="20A664BA"/>
    <w:rsid w:val="20D759FE"/>
    <w:rsid w:val="20F30026"/>
    <w:rsid w:val="21026DD4"/>
    <w:rsid w:val="210B3A03"/>
    <w:rsid w:val="215A09BE"/>
    <w:rsid w:val="215D225D"/>
    <w:rsid w:val="21A07435"/>
    <w:rsid w:val="21AB2FC8"/>
    <w:rsid w:val="21C67E02"/>
    <w:rsid w:val="21C85928"/>
    <w:rsid w:val="21DD66E8"/>
    <w:rsid w:val="21E36C06"/>
    <w:rsid w:val="21E62243"/>
    <w:rsid w:val="227D2B29"/>
    <w:rsid w:val="22E449E3"/>
    <w:rsid w:val="22F011E2"/>
    <w:rsid w:val="232F768C"/>
    <w:rsid w:val="233D40F4"/>
    <w:rsid w:val="23474F72"/>
    <w:rsid w:val="234C2589"/>
    <w:rsid w:val="234F5BD5"/>
    <w:rsid w:val="2351194D"/>
    <w:rsid w:val="23865A9B"/>
    <w:rsid w:val="23931F66"/>
    <w:rsid w:val="239A5498"/>
    <w:rsid w:val="23D762F6"/>
    <w:rsid w:val="23DC1B5F"/>
    <w:rsid w:val="23E10F23"/>
    <w:rsid w:val="23E80503"/>
    <w:rsid w:val="241035B6"/>
    <w:rsid w:val="241F37F9"/>
    <w:rsid w:val="2435126F"/>
    <w:rsid w:val="243716B6"/>
    <w:rsid w:val="246456B0"/>
    <w:rsid w:val="248766D7"/>
    <w:rsid w:val="248D10AB"/>
    <w:rsid w:val="24B6379A"/>
    <w:rsid w:val="24E0742D"/>
    <w:rsid w:val="24F44C86"/>
    <w:rsid w:val="250D7AF6"/>
    <w:rsid w:val="25115838"/>
    <w:rsid w:val="25207829"/>
    <w:rsid w:val="2527505B"/>
    <w:rsid w:val="25700B25"/>
    <w:rsid w:val="2584600A"/>
    <w:rsid w:val="25B00611"/>
    <w:rsid w:val="261B6962"/>
    <w:rsid w:val="261E6871"/>
    <w:rsid w:val="26235E51"/>
    <w:rsid w:val="26431A21"/>
    <w:rsid w:val="26543C2E"/>
    <w:rsid w:val="267F67D1"/>
    <w:rsid w:val="268838D8"/>
    <w:rsid w:val="26890797"/>
    <w:rsid w:val="26AA5E3D"/>
    <w:rsid w:val="26B20955"/>
    <w:rsid w:val="26BC17D3"/>
    <w:rsid w:val="26F176CF"/>
    <w:rsid w:val="26FC6074"/>
    <w:rsid w:val="27257379"/>
    <w:rsid w:val="27277595"/>
    <w:rsid w:val="272A6FE5"/>
    <w:rsid w:val="27341B83"/>
    <w:rsid w:val="27800A53"/>
    <w:rsid w:val="27914A0E"/>
    <w:rsid w:val="27A241B6"/>
    <w:rsid w:val="27C44DE4"/>
    <w:rsid w:val="27FE6547"/>
    <w:rsid w:val="28377363"/>
    <w:rsid w:val="28642123"/>
    <w:rsid w:val="287E1436"/>
    <w:rsid w:val="28AB7D51"/>
    <w:rsid w:val="28D63020"/>
    <w:rsid w:val="2916341D"/>
    <w:rsid w:val="294361DC"/>
    <w:rsid w:val="29534671"/>
    <w:rsid w:val="29820AB2"/>
    <w:rsid w:val="299921BF"/>
    <w:rsid w:val="29A0362E"/>
    <w:rsid w:val="29E51041"/>
    <w:rsid w:val="29F067FC"/>
    <w:rsid w:val="2A0120C5"/>
    <w:rsid w:val="2A0C4820"/>
    <w:rsid w:val="2A273408"/>
    <w:rsid w:val="2A6B1546"/>
    <w:rsid w:val="2AA809EC"/>
    <w:rsid w:val="2AA902C1"/>
    <w:rsid w:val="2ABC7EFA"/>
    <w:rsid w:val="2AD96DF8"/>
    <w:rsid w:val="2AE80DE9"/>
    <w:rsid w:val="2AED63FF"/>
    <w:rsid w:val="2B08148B"/>
    <w:rsid w:val="2B0D0850"/>
    <w:rsid w:val="2B397896"/>
    <w:rsid w:val="2BB84C5F"/>
    <w:rsid w:val="2C0521ED"/>
    <w:rsid w:val="2C183950"/>
    <w:rsid w:val="2C332DE9"/>
    <w:rsid w:val="2C6A73B2"/>
    <w:rsid w:val="2C7A29C5"/>
    <w:rsid w:val="2CCE400E"/>
    <w:rsid w:val="2CF41CC7"/>
    <w:rsid w:val="2D1265F1"/>
    <w:rsid w:val="2D4F6EFD"/>
    <w:rsid w:val="2D595FCE"/>
    <w:rsid w:val="2D7352E2"/>
    <w:rsid w:val="2D7A219F"/>
    <w:rsid w:val="2DA96EBC"/>
    <w:rsid w:val="2DD934D4"/>
    <w:rsid w:val="2E205BAC"/>
    <w:rsid w:val="2E2B796A"/>
    <w:rsid w:val="2E2C1754"/>
    <w:rsid w:val="2E352597"/>
    <w:rsid w:val="2E7F3812"/>
    <w:rsid w:val="2EB51CD8"/>
    <w:rsid w:val="2ED718A0"/>
    <w:rsid w:val="2EE23DA1"/>
    <w:rsid w:val="2EED10C4"/>
    <w:rsid w:val="2F406B37"/>
    <w:rsid w:val="2F462582"/>
    <w:rsid w:val="2F875074"/>
    <w:rsid w:val="2F884949"/>
    <w:rsid w:val="2FA21EAE"/>
    <w:rsid w:val="2FB83480"/>
    <w:rsid w:val="300A1801"/>
    <w:rsid w:val="300C327B"/>
    <w:rsid w:val="301937F3"/>
    <w:rsid w:val="303625F7"/>
    <w:rsid w:val="305C6DAE"/>
    <w:rsid w:val="3095731D"/>
    <w:rsid w:val="30A5696A"/>
    <w:rsid w:val="30F71D86"/>
    <w:rsid w:val="30FA1876"/>
    <w:rsid w:val="31104BF6"/>
    <w:rsid w:val="317F6289"/>
    <w:rsid w:val="320329AC"/>
    <w:rsid w:val="324234D5"/>
    <w:rsid w:val="3260395B"/>
    <w:rsid w:val="326A6587"/>
    <w:rsid w:val="32BF0681"/>
    <w:rsid w:val="33030EB6"/>
    <w:rsid w:val="330D5D81"/>
    <w:rsid w:val="331D184C"/>
    <w:rsid w:val="33354DE7"/>
    <w:rsid w:val="333746BC"/>
    <w:rsid w:val="33615BDC"/>
    <w:rsid w:val="336E20A7"/>
    <w:rsid w:val="337E2A5B"/>
    <w:rsid w:val="3392223A"/>
    <w:rsid w:val="33D4015C"/>
    <w:rsid w:val="33DC5263"/>
    <w:rsid w:val="33E97180"/>
    <w:rsid w:val="34190265"/>
    <w:rsid w:val="34225F9C"/>
    <w:rsid w:val="342D3D10"/>
    <w:rsid w:val="34515C51"/>
    <w:rsid w:val="348778C5"/>
    <w:rsid w:val="34B1049E"/>
    <w:rsid w:val="34BF6532"/>
    <w:rsid w:val="34D4087A"/>
    <w:rsid w:val="34FF56AD"/>
    <w:rsid w:val="350A60B2"/>
    <w:rsid w:val="35335C58"/>
    <w:rsid w:val="356814A4"/>
    <w:rsid w:val="35773495"/>
    <w:rsid w:val="357A4D33"/>
    <w:rsid w:val="357C594F"/>
    <w:rsid w:val="357F270B"/>
    <w:rsid w:val="35977BFB"/>
    <w:rsid w:val="35B30245"/>
    <w:rsid w:val="35D14CDB"/>
    <w:rsid w:val="36657792"/>
    <w:rsid w:val="367603F2"/>
    <w:rsid w:val="36B44275"/>
    <w:rsid w:val="36E44B5A"/>
    <w:rsid w:val="370E7653"/>
    <w:rsid w:val="37441A9D"/>
    <w:rsid w:val="376D2DA2"/>
    <w:rsid w:val="37E3685D"/>
    <w:rsid w:val="388859B9"/>
    <w:rsid w:val="394C71FF"/>
    <w:rsid w:val="396C4E48"/>
    <w:rsid w:val="396D157A"/>
    <w:rsid w:val="39902D77"/>
    <w:rsid w:val="39B27F88"/>
    <w:rsid w:val="39D20A98"/>
    <w:rsid w:val="39DF5AAD"/>
    <w:rsid w:val="39E3559D"/>
    <w:rsid w:val="39FA6443"/>
    <w:rsid w:val="3A2A4F7A"/>
    <w:rsid w:val="3A501F38"/>
    <w:rsid w:val="3A6D2F04"/>
    <w:rsid w:val="3A712BA9"/>
    <w:rsid w:val="3AB64A60"/>
    <w:rsid w:val="3ACF5B21"/>
    <w:rsid w:val="3AE25A4F"/>
    <w:rsid w:val="3AEC222F"/>
    <w:rsid w:val="3AF410E4"/>
    <w:rsid w:val="3AF70BD4"/>
    <w:rsid w:val="3B021A53"/>
    <w:rsid w:val="3B0A6B5A"/>
    <w:rsid w:val="3B1F2605"/>
    <w:rsid w:val="3B455867"/>
    <w:rsid w:val="3B53405D"/>
    <w:rsid w:val="3BEB698B"/>
    <w:rsid w:val="3C430575"/>
    <w:rsid w:val="3CB21257"/>
    <w:rsid w:val="3CC35212"/>
    <w:rsid w:val="3CD01390"/>
    <w:rsid w:val="3CF63839"/>
    <w:rsid w:val="3D0221DE"/>
    <w:rsid w:val="3D0F2205"/>
    <w:rsid w:val="3D6469F5"/>
    <w:rsid w:val="3D65451B"/>
    <w:rsid w:val="3D6E1D27"/>
    <w:rsid w:val="3D8250CD"/>
    <w:rsid w:val="3D94095C"/>
    <w:rsid w:val="3DB17760"/>
    <w:rsid w:val="3DB35286"/>
    <w:rsid w:val="3DBF1DBF"/>
    <w:rsid w:val="3DC41242"/>
    <w:rsid w:val="3DD84CED"/>
    <w:rsid w:val="3DEC0798"/>
    <w:rsid w:val="3DFD649E"/>
    <w:rsid w:val="3E0029FB"/>
    <w:rsid w:val="3E043D34"/>
    <w:rsid w:val="3E210442"/>
    <w:rsid w:val="3E2A7486"/>
    <w:rsid w:val="3E2D5039"/>
    <w:rsid w:val="3E772758"/>
    <w:rsid w:val="3E810EE1"/>
    <w:rsid w:val="3E990920"/>
    <w:rsid w:val="3EE6168C"/>
    <w:rsid w:val="3EF41528"/>
    <w:rsid w:val="3EF67B21"/>
    <w:rsid w:val="3F3C5ECF"/>
    <w:rsid w:val="3FAA4467"/>
    <w:rsid w:val="3FC27A03"/>
    <w:rsid w:val="3FEE25A6"/>
    <w:rsid w:val="4013025E"/>
    <w:rsid w:val="40477F08"/>
    <w:rsid w:val="405E75A9"/>
    <w:rsid w:val="40721429"/>
    <w:rsid w:val="408F1FDB"/>
    <w:rsid w:val="409C64A6"/>
    <w:rsid w:val="40A1586A"/>
    <w:rsid w:val="40BF3F42"/>
    <w:rsid w:val="40C652D1"/>
    <w:rsid w:val="40E65224"/>
    <w:rsid w:val="410B53D9"/>
    <w:rsid w:val="41397348"/>
    <w:rsid w:val="41517A02"/>
    <w:rsid w:val="41601281"/>
    <w:rsid w:val="416F7716"/>
    <w:rsid w:val="41AA074E"/>
    <w:rsid w:val="41B96BE3"/>
    <w:rsid w:val="41CF676B"/>
    <w:rsid w:val="41EC6FB9"/>
    <w:rsid w:val="42274495"/>
    <w:rsid w:val="42381602"/>
    <w:rsid w:val="42530DE6"/>
    <w:rsid w:val="427352F3"/>
    <w:rsid w:val="42E303BC"/>
    <w:rsid w:val="434626F9"/>
    <w:rsid w:val="436125E9"/>
    <w:rsid w:val="436609AF"/>
    <w:rsid w:val="43AA59E3"/>
    <w:rsid w:val="43B81849"/>
    <w:rsid w:val="43CC0E50"/>
    <w:rsid w:val="43CF26EE"/>
    <w:rsid w:val="43F27E60"/>
    <w:rsid w:val="441546F6"/>
    <w:rsid w:val="444529B0"/>
    <w:rsid w:val="44580BC7"/>
    <w:rsid w:val="445C6678"/>
    <w:rsid w:val="44663053"/>
    <w:rsid w:val="446869B4"/>
    <w:rsid w:val="447E2E5D"/>
    <w:rsid w:val="447F681A"/>
    <w:rsid w:val="4484797D"/>
    <w:rsid w:val="44A27E03"/>
    <w:rsid w:val="44AD5314"/>
    <w:rsid w:val="44BC7116"/>
    <w:rsid w:val="45126D36"/>
    <w:rsid w:val="45127CB9"/>
    <w:rsid w:val="451516AF"/>
    <w:rsid w:val="452E1696"/>
    <w:rsid w:val="45344EFF"/>
    <w:rsid w:val="45436664"/>
    <w:rsid w:val="456A0921"/>
    <w:rsid w:val="45706D26"/>
    <w:rsid w:val="45D40490"/>
    <w:rsid w:val="45D466E2"/>
    <w:rsid w:val="45D65FB6"/>
    <w:rsid w:val="46105756"/>
    <w:rsid w:val="462F3918"/>
    <w:rsid w:val="46364CA7"/>
    <w:rsid w:val="465D0485"/>
    <w:rsid w:val="46B75DE7"/>
    <w:rsid w:val="46E2753A"/>
    <w:rsid w:val="472965B9"/>
    <w:rsid w:val="473531B0"/>
    <w:rsid w:val="47636B22"/>
    <w:rsid w:val="47C3256A"/>
    <w:rsid w:val="47CD5197"/>
    <w:rsid w:val="47D97FDF"/>
    <w:rsid w:val="47EA5D49"/>
    <w:rsid w:val="47F24BFD"/>
    <w:rsid w:val="47F6293F"/>
    <w:rsid w:val="48090201"/>
    <w:rsid w:val="4812704D"/>
    <w:rsid w:val="481952AE"/>
    <w:rsid w:val="482D3841"/>
    <w:rsid w:val="48643D4D"/>
    <w:rsid w:val="48645AFB"/>
    <w:rsid w:val="486575C6"/>
    <w:rsid w:val="486A0C38"/>
    <w:rsid w:val="48D367DD"/>
    <w:rsid w:val="4910358D"/>
    <w:rsid w:val="492D0807"/>
    <w:rsid w:val="496A3101"/>
    <w:rsid w:val="49793828"/>
    <w:rsid w:val="49AF0FF8"/>
    <w:rsid w:val="49B90028"/>
    <w:rsid w:val="49BE2293"/>
    <w:rsid w:val="49BE7E39"/>
    <w:rsid w:val="49F11610"/>
    <w:rsid w:val="4A1B043B"/>
    <w:rsid w:val="4A273284"/>
    <w:rsid w:val="4A3B288C"/>
    <w:rsid w:val="4A432036"/>
    <w:rsid w:val="4A6F69D9"/>
    <w:rsid w:val="4A783AE0"/>
    <w:rsid w:val="4ABE526B"/>
    <w:rsid w:val="4ACE3700"/>
    <w:rsid w:val="4ACF7478"/>
    <w:rsid w:val="4AE178D7"/>
    <w:rsid w:val="4AE20F59"/>
    <w:rsid w:val="4B056991"/>
    <w:rsid w:val="4B117A90"/>
    <w:rsid w:val="4B1F03FF"/>
    <w:rsid w:val="4B893ACB"/>
    <w:rsid w:val="4BBD5522"/>
    <w:rsid w:val="4BD148BC"/>
    <w:rsid w:val="4BF47196"/>
    <w:rsid w:val="4C1C11EA"/>
    <w:rsid w:val="4C210131"/>
    <w:rsid w:val="4C215AB1"/>
    <w:rsid w:val="4C22541C"/>
    <w:rsid w:val="4C2F00F4"/>
    <w:rsid w:val="4C35316B"/>
    <w:rsid w:val="4C423708"/>
    <w:rsid w:val="4C7B78B7"/>
    <w:rsid w:val="4CC50B32"/>
    <w:rsid w:val="4CCC0113"/>
    <w:rsid w:val="4CCC1EC1"/>
    <w:rsid w:val="4CDF1BF4"/>
    <w:rsid w:val="4CEA4854"/>
    <w:rsid w:val="4D374611"/>
    <w:rsid w:val="4D3F08E5"/>
    <w:rsid w:val="4DAB41CC"/>
    <w:rsid w:val="4DAE15C6"/>
    <w:rsid w:val="4DC67CB4"/>
    <w:rsid w:val="4DDC4386"/>
    <w:rsid w:val="4DEF40B9"/>
    <w:rsid w:val="4E017776"/>
    <w:rsid w:val="4E465CA3"/>
    <w:rsid w:val="4E4837C9"/>
    <w:rsid w:val="4E571C5E"/>
    <w:rsid w:val="4E78396F"/>
    <w:rsid w:val="4E7B3B9E"/>
    <w:rsid w:val="4EB15812"/>
    <w:rsid w:val="4EEE4762"/>
    <w:rsid w:val="4EF31987"/>
    <w:rsid w:val="4F813436"/>
    <w:rsid w:val="4F8E7901"/>
    <w:rsid w:val="4FC155E1"/>
    <w:rsid w:val="4FE319FB"/>
    <w:rsid w:val="4FFA0AF3"/>
    <w:rsid w:val="5003209D"/>
    <w:rsid w:val="500B71A4"/>
    <w:rsid w:val="50242014"/>
    <w:rsid w:val="503E1327"/>
    <w:rsid w:val="50882014"/>
    <w:rsid w:val="50BC224C"/>
    <w:rsid w:val="50EC2B32"/>
    <w:rsid w:val="50ED3F31"/>
    <w:rsid w:val="51330760"/>
    <w:rsid w:val="515E50B1"/>
    <w:rsid w:val="516A2C18"/>
    <w:rsid w:val="51711289"/>
    <w:rsid w:val="51A90A23"/>
    <w:rsid w:val="51D07D5D"/>
    <w:rsid w:val="51F779E0"/>
    <w:rsid w:val="521560B8"/>
    <w:rsid w:val="522956BF"/>
    <w:rsid w:val="524F15CA"/>
    <w:rsid w:val="526F3A1A"/>
    <w:rsid w:val="527F1783"/>
    <w:rsid w:val="527F3531"/>
    <w:rsid w:val="528A2602"/>
    <w:rsid w:val="52BB6C5F"/>
    <w:rsid w:val="52CF406F"/>
    <w:rsid w:val="53371E3B"/>
    <w:rsid w:val="53B27BFE"/>
    <w:rsid w:val="53D12681"/>
    <w:rsid w:val="53DC58C5"/>
    <w:rsid w:val="53E34A51"/>
    <w:rsid w:val="53FB308C"/>
    <w:rsid w:val="5455279C"/>
    <w:rsid w:val="546724CF"/>
    <w:rsid w:val="546D255B"/>
    <w:rsid w:val="54921C42"/>
    <w:rsid w:val="54994D7E"/>
    <w:rsid w:val="54E0475B"/>
    <w:rsid w:val="55085A60"/>
    <w:rsid w:val="555E38D2"/>
    <w:rsid w:val="557D1DAB"/>
    <w:rsid w:val="55894DF3"/>
    <w:rsid w:val="55C0633B"/>
    <w:rsid w:val="55C37BD9"/>
    <w:rsid w:val="55CE6CAA"/>
    <w:rsid w:val="55FA184D"/>
    <w:rsid w:val="56312D95"/>
    <w:rsid w:val="56866145"/>
    <w:rsid w:val="5688184B"/>
    <w:rsid w:val="568D48D7"/>
    <w:rsid w:val="56D7393C"/>
    <w:rsid w:val="56F20776"/>
    <w:rsid w:val="570A5ABF"/>
    <w:rsid w:val="57266671"/>
    <w:rsid w:val="5728063B"/>
    <w:rsid w:val="57620C73"/>
    <w:rsid w:val="576A47B0"/>
    <w:rsid w:val="57A71560"/>
    <w:rsid w:val="57C06AC6"/>
    <w:rsid w:val="57E6AE00"/>
    <w:rsid w:val="57F56770"/>
    <w:rsid w:val="57FDEC96"/>
    <w:rsid w:val="58160494"/>
    <w:rsid w:val="5822508B"/>
    <w:rsid w:val="58262DCD"/>
    <w:rsid w:val="584E1C4A"/>
    <w:rsid w:val="58737694"/>
    <w:rsid w:val="58B15684"/>
    <w:rsid w:val="58C148A4"/>
    <w:rsid w:val="58D04AE7"/>
    <w:rsid w:val="58D2085F"/>
    <w:rsid w:val="59187A5A"/>
    <w:rsid w:val="593037D7"/>
    <w:rsid w:val="599C7DE4"/>
    <w:rsid w:val="59B47F65"/>
    <w:rsid w:val="59CA3C2C"/>
    <w:rsid w:val="59DA5D72"/>
    <w:rsid w:val="5A132EDD"/>
    <w:rsid w:val="5A6574B1"/>
    <w:rsid w:val="5A9A6DDE"/>
    <w:rsid w:val="5AD52888"/>
    <w:rsid w:val="5AF70A51"/>
    <w:rsid w:val="5AFF16B3"/>
    <w:rsid w:val="5B070B67"/>
    <w:rsid w:val="5B4517BC"/>
    <w:rsid w:val="5B4B48F9"/>
    <w:rsid w:val="5B503CBD"/>
    <w:rsid w:val="5B962018"/>
    <w:rsid w:val="5BAC183B"/>
    <w:rsid w:val="5BB66216"/>
    <w:rsid w:val="5BD75AB2"/>
    <w:rsid w:val="5BD7618C"/>
    <w:rsid w:val="5BDA565C"/>
    <w:rsid w:val="5BEA4111"/>
    <w:rsid w:val="5C013209"/>
    <w:rsid w:val="5C074CC3"/>
    <w:rsid w:val="5C0A6562"/>
    <w:rsid w:val="5C6043D4"/>
    <w:rsid w:val="5C69772C"/>
    <w:rsid w:val="5C9B540C"/>
    <w:rsid w:val="5CC1596D"/>
    <w:rsid w:val="5CE9261B"/>
    <w:rsid w:val="5CF000D6"/>
    <w:rsid w:val="5D0B35E4"/>
    <w:rsid w:val="5D276C9F"/>
    <w:rsid w:val="5D5201C0"/>
    <w:rsid w:val="5D84144D"/>
    <w:rsid w:val="5E421FE3"/>
    <w:rsid w:val="5E4C2E61"/>
    <w:rsid w:val="5E911ED3"/>
    <w:rsid w:val="5EC21376"/>
    <w:rsid w:val="5EE27322"/>
    <w:rsid w:val="5EF534F9"/>
    <w:rsid w:val="5F1871E8"/>
    <w:rsid w:val="5F2913F5"/>
    <w:rsid w:val="5F322057"/>
    <w:rsid w:val="5F93061C"/>
    <w:rsid w:val="5FBE7D8F"/>
    <w:rsid w:val="5FFB68ED"/>
    <w:rsid w:val="600773E4"/>
    <w:rsid w:val="60183AA0"/>
    <w:rsid w:val="602D0A71"/>
    <w:rsid w:val="6031230F"/>
    <w:rsid w:val="603242D9"/>
    <w:rsid w:val="604A1623"/>
    <w:rsid w:val="608845A2"/>
    <w:rsid w:val="608F34D9"/>
    <w:rsid w:val="6094372F"/>
    <w:rsid w:val="60D4713E"/>
    <w:rsid w:val="611973CB"/>
    <w:rsid w:val="612702A0"/>
    <w:rsid w:val="61412A26"/>
    <w:rsid w:val="616E7593"/>
    <w:rsid w:val="619D39D4"/>
    <w:rsid w:val="61B77AEA"/>
    <w:rsid w:val="61CB22EF"/>
    <w:rsid w:val="62257C51"/>
    <w:rsid w:val="624A3B5C"/>
    <w:rsid w:val="624F2F20"/>
    <w:rsid w:val="62C92CD3"/>
    <w:rsid w:val="62EA0E9B"/>
    <w:rsid w:val="63220635"/>
    <w:rsid w:val="637A5D7B"/>
    <w:rsid w:val="63860BC4"/>
    <w:rsid w:val="63B868A3"/>
    <w:rsid w:val="643028DD"/>
    <w:rsid w:val="645C36D2"/>
    <w:rsid w:val="646D1D84"/>
    <w:rsid w:val="64A208DD"/>
    <w:rsid w:val="65566374"/>
    <w:rsid w:val="66371BDE"/>
    <w:rsid w:val="66540B05"/>
    <w:rsid w:val="665947B7"/>
    <w:rsid w:val="665C746E"/>
    <w:rsid w:val="666D1BC7"/>
    <w:rsid w:val="666F6B5A"/>
    <w:rsid w:val="668313EA"/>
    <w:rsid w:val="66A43FE8"/>
    <w:rsid w:val="66B75538"/>
    <w:rsid w:val="66B80481"/>
    <w:rsid w:val="66C537B1"/>
    <w:rsid w:val="66CC2D91"/>
    <w:rsid w:val="66CD25B8"/>
    <w:rsid w:val="66CD2666"/>
    <w:rsid w:val="66E15165"/>
    <w:rsid w:val="66F658F2"/>
    <w:rsid w:val="67112E9A"/>
    <w:rsid w:val="6712451C"/>
    <w:rsid w:val="672A5D0A"/>
    <w:rsid w:val="67397CFB"/>
    <w:rsid w:val="67C47F0C"/>
    <w:rsid w:val="67D363A2"/>
    <w:rsid w:val="68182006"/>
    <w:rsid w:val="68327ABB"/>
    <w:rsid w:val="68476448"/>
    <w:rsid w:val="68525518"/>
    <w:rsid w:val="68A904E9"/>
    <w:rsid w:val="68BE08B3"/>
    <w:rsid w:val="68DC3034"/>
    <w:rsid w:val="69443884"/>
    <w:rsid w:val="696E0130"/>
    <w:rsid w:val="69A55B1C"/>
    <w:rsid w:val="69B144C0"/>
    <w:rsid w:val="69D63F27"/>
    <w:rsid w:val="69F151CA"/>
    <w:rsid w:val="69F34AD9"/>
    <w:rsid w:val="69FD14B4"/>
    <w:rsid w:val="6A070584"/>
    <w:rsid w:val="6A301889"/>
    <w:rsid w:val="6A3D3FA6"/>
    <w:rsid w:val="6A425544"/>
    <w:rsid w:val="6A4B221F"/>
    <w:rsid w:val="6A4E1D0F"/>
    <w:rsid w:val="6A5A06B4"/>
    <w:rsid w:val="6A981687"/>
    <w:rsid w:val="6AB57FE0"/>
    <w:rsid w:val="6ADA2627"/>
    <w:rsid w:val="6B2A277C"/>
    <w:rsid w:val="6B2D401B"/>
    <w:rsid w:val="6B403D4E"/>
    <w:rsid w:val="6B79100E"/>
    <w:rsid w:val="6BB43DF4"/>
    <w:rsid w:val="6BB6020E"/>
    <w:rsid w:val="6BE50E06"/>
    <w:rsid w:val="6BF80185"/>
    <w:rsid w:val="6C133511"/>
    <w:rsid w:val="6C136D6D"/>
    <w:rsid w:val="6C28350B"/>
    <w:rsid w:val="6C353187"/>
    <w:rsid w:val="6C787517"/>
    <w:rsid w:val="6C9003BD"/>
    <w:rsid w:val="6CAB51F7"/>
    <w:rsid w:val="6CCB7647"/>
    <w:rsid w:val="6CCF58F3"/>
    <w:rsid w:val="6D042B59"/>
    <w:rsid w:val="6D192AA9"/>
    <w:rsid w:val="6D1FD430"/>
    <w:rsid w:val="6D295EA7"/>
    <w:rsid w:val="6D2C27DC"/>
    <w:rsid w:val="6D401DE3"/>
    <w:rsid w:val="6D5E495F"/>
    <w:rsid w:val="6D767E1F"/>
    <w:rsid w:val="6E641B01"/>
    <w:rsid w:val="6E8E4DD0"/>
    <w:rsid w:val="6EB011EB"/>
    <w:rsid w:val="6EF235B1"/>
    <w:rsid w:val="6F140651"/>
    <w:rsid w:val="6F6B6EC0"/>
    <w:rsid w:val="6F7F884B"/>
    <w:rsid w:val="6FB645DF"/>
    <w:rsid w:val="6FBD596D"/>
    <w:rsid w:val="7012558D"/>
    <w:rsid w:val="702E23C7"/>
    <w:rsid w:val="70730722"/>
    <w:rsid w:val="70AA3EA1"/>
    <w:rsid w:val="70B07280"/>
    <w:rsid w:val="70C04FE9"/>
    <w:rsid w:val="711A0B9D"/>
    <w:rsid w:val="712D14C2"/>
    <w:rsid w:val="719646C8"/>
    <w:rsid w:val="71B44B4E"/>
    <w:rsid w:val="71E03B95"/>
    <w:rsid w:val="721C7680"/>
    <w:rsid w:val="72343EE1"/>
    <w:rsid w:val="724A2C09"/>
    <w:rsid w:val="726A6CE1"/>
    <w:rsid w:val="72710C91"/>
    <w:rsid w:val="727662A7"/>
    <w:rsid w:val="72933FAE"/>
    <w:rsid w:val="731F249B"/>
    <w:rsid w:val="73357F10"/>
    <w:rsid w:val="73611EEA"/>
    <w:rsid w:val="73CA68AB"/>
    <w:rsid w:val="73CD639B"/>
    <w:rsid w:val="73E3171A"/>
    <w:rsid w:val="740718AD"/>
    <w:rsid w:val="744B51B4"/>
    <w:rsid w:val="748D1686"/>
    <w:rsid w:val="74C0380A"/>
    <w:rsid w:val="750A05A8"/>
    <w:rsid w:val="7516167C"/>
    <w:rsid w:val="754E6641"/>
    <w:rsid w:val="75501031"/>
    <w:rsid w:val="75703482"/>
    <w:rsid w:val="757E794D"/>
    <w:rsid w:val="75CA2B92"/>
    <w:rsid w:val="75D05CCE"/>
    <w:rsid w:val="75F2581A"/>
    <w:rsid w:val="760360A4"/>
    <w:rsid w:val="760717AC"/>
    <w:rsid w:val="766528BB"/>
    <w:rsid w:val="76A5715B"/>
    <w:rsid w:val="76AB6F51"/>
    <w:rsid w:val="76AF3B36"/>
    <w:rsid w:val="76C61F38"/>
    <w:rsid w:val="76C65263"/>
    <w:rsid w:val="76E542FF"/>
    <w:rsid w:val="76F51E90"/>
    <w:rsid w:val="771F6F0D"/>
    <w:rsid w:val="77476464"/>
    <w:rsid w:val="77521CC0"/>
    <w:rsid w:val="77530965"/>
    <w:rsid w:val="775C1F10"/>
    <w:rsid w:val="77AB3C65"/>
    <w:rsid w:val="77CE088D"/>
    <w:rsid w:val="78047EB1"/>
    <w:rsid w:val="783469E8"/>
    <w:rsid w:val="787B0EF3"/>
    <w:rsid w:val="789B25C4"/>
    <w:rsid w:val="78DD0E2E"/>
    <w:rsid w:val="78EF290F"/>
    <w:rsid w:val="78FD502C"/>
    <w:rsid w:val="7924080B"/>
    <w:rsid w:val="793F48BF"/>
    <w:rsid w:val="79754594"/>
    <w:rsid w:val="7988058F"/>
    <w:rsid w:val="79A11E5C"/>
    <w:rsid w:val="79EE14AC"/>
    <w:rsid w:val="7A2A00A3"/>
    <w:rsid w:val="7A5E09DE"/>
    <w:rsid w:val="7A7C6425"/>
    <w:rsid w:val="7AAD2C7D"/>
    <w:rsid w:val="7ABB6F4D"/>
    <w:rsid w:val="7AE55D78"/>
    <w:rsid w:val="7AEF4E49"/>
    <w:rsid w:val="7B036659"/>
    <w:rsid w:val="7B0452DC"/>
    <w:rsid w:val="7B14665D"/>
    <w:rsid w:val="7B48702D"/>
    <w:rsid w:val="7BB90978"/>
    <w:rsid w:val="7BFB7A69"/>
    <w:rsid w:val="7C122B9D"/>
    <w:rsid w:val="7C3A2656"/>
    <w:rsid w:val="7C8D2B6B"/>
    <w:rsid w:val="7C923DE6"/>
    <w:rsid w:val="7CE81319"/>
    <w:rsid w:val="7D060228"/>
    <w:rsid w:val="7D474AC8"/>
    <w:rsid w:val="7D515947"/>
    <w:rsid w:val="7D5176F5"/>
    <w:rsid w:val="7DD915B4"/>
    <w:rsid w:val="7DDB16B4"/>
    <w:rsid w:val="7E611BB9"/>
    <w:rsid w:val="7E7711D2"/>
    <w:rsid w:val="7E9E696A"/>
    <w:rsid w:val="7EF72556"/>
    <w:rsid w:val="7F1D01D6"/>
    <w:rsid w:val="7F41134D"/>
    <w:rsid w:val="7F4E65E2"/>
    <w:rsid w:val="7F571EE1"/>
    <w:rsid w:val="7F6B03DF"/>
    <w:rsid w:val="7F7D63EF"/>
    <w:rsid w:val="7F8E4C30"/>
    <w:rsid w:val="7F932247"/>
    <w:rsid w:val="7FB77A38"/>
    <w:rsid w:val="7FDFB74A"/>
    <w:rsid w:val="7FFF087A"/>
    <w:rsid w:val="C6BFD7F5"/>
    <w:rsid w:val="CDBEC648"/>
    <w:rsid w:val="E764E812"/>
    <w:rsid w:val="FFF62EF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rPr>
      <w:rFonts w:ascii="Calibri" w:hAnsi="Calibri"/>
    </w:rPr>
  </w:style>
  <w:style w:type="paragraph" w:styleId="4">
    <w:name w:val="Normal Indent"/>
    <w:basedOn w:val="1"/>
    <w:next w:val="1"/>
    <w:unhideWhenUsed/>
    <w:qFormat/>
    <w:uiPriority w:val="99"/>
    <w:pPr>
      <w:ind w:firstLine="567"/>
    </w:pPr>
    <w:rPr>
      <w:rFonts w:ascii="Calibri" w:hAnsi="Calibri"/>
    </w:rPr>
  </w:style>
  <w:style w:type="paragraph" w:styleId="5">
    <w:name w:val="Body Text Indent"/>
    <w:basedOn w:val="1"/>
    <w:qFormat/>
    <w:uiPriority w:val="0"/>
    <w:pPr>
      <w:ind w:firstLine="648"/>
    </w:pPr>
    <w:rPr>
      <w:rFonts w:ascii="仿宋_GB2312" w:eastAsia="仿宋_GB2312"/>
      <w:sz w:val="32"/>
      <w:szCs w:val="20"/>
    </w:rPr>
  </w:style>
  <w:style w:type="paragraph" w:styleId="6">
    <w:name w:val="Date"/>
    <w:basedOn w:val="1"/>
    <w:next w:val="1"/>
    <w:uiPriority w:val="0"/>
    <w:rPr>
      <w:rFonts w:ascii="楷体" w:eastAsia="楷体"/>
      <w:sz w:val="32"/>
      <w:szCs w:val="20"/>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3">
    <w:name w:val="Strong"/>
    <w:basedOn w:val="12"/>
    <w:qFormat/>
    <w:uiPriority w:val="0"/>
    <w:rPr>
      <w:rFonts w:ascii="Times New Roman" w:hAnsi="Times New Roman" w:eastAsia="宋体" w:cs="Times New Roman"/>
      <w:b/>
    </w:rPr>
  </w:style>
  <w:style w:type="character" w:styleId="14">
    <w:name w:val="page number"/>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www.ftpdown.com</Company>
  <Pages>15</Pages>
  <Words>6643</Words>
  <Characters>6709</Characters>
  <Lines>1</Lines>
  <Paragraphs>1</Paragraphs>
  <TotalTime>7</TotalTime>
  <ScaleCrop>false</ScaleCrop>
  <LinksUpToDate>false</LinksUpToDate>
  <CharactersWithSpaces>6845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2013-04-30T06:43:00Z</dcterms:created>
  <dc:creator>宋  红</dc:creator>
  <cp:lastModifiedBy>绿茶咖啡</cp:lastModifiedBy>
  <cp:lastPrinted>2013-04-30T06:44:00Z</cp:lastPrinted>
  <dcterms:modified xsi:type="dcterms:W3CDTF">2024-12-06T03:11:37Z</dcterms:modified>
  <dc:title>鄂尔多斯市发展和改革委员会文件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83AABDD38BB422B0A6465267765C1E32</vt:lpwstr>
  </property>
</Properties>
</file>