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F3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2025年乌审旗经济发展韧性持续增强，综合实力不断提升</w:t>
      </w:r>
    </w:p>
    <w:p w14:paraId="2B1BA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3586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地区生产总值</w:t>
      </w:r>
    </w:p>
    <w:p w14:paraId="5EBC5005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根据旗区生产总值统一核算结果，2025年乌审旗地区生产总值660.2亿元，按不变价格计算，同比增长12.7%。</w:t>
      </w:r>
      <w:r>
        <w:rPr>
          <w:rStyle w:val="6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分产业看：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第一产业增加值29.0亿元，同比增长5.3%；第二产业增加值533.2亿元，同比增长15.9%；第三产业增加值97.9亿元，同比增长2.6%。</w:t>
      </w:r>
    </w:p>
    <w:p w14:paraId="3E54EB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二、农林牧渔全面增长</w:t>
      </w:r>
    </w:p>
    <w:p w14:paraId="5C0A0A41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2025年，全旗农林牧渔业总产值486390.7万元，可比速度5.4%，其中：农业产值229720.9万元，可比速度5.1%；林业产值24457.4万元，可比速度14.1%；畜牧业产值215099.6万元，可比速度4.9%；渔业产值3521.9万元，可比速度6.4%；服务业产值13590.9万元，可比速度7.0%。</w:t>
      </w:r>
    </w:p>
    <w:p w14:paraId="21ABA5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三、工业经济高增领跑</w:t>
      </w:r>
    </w:p>
    <w:p w14:paraId="62481C8D">
      <w:pPr>
        <w:pStyle w:val="3"/>
        <w:keepNext w:val="0"/>
        <w:keepLines w:val="0"/>
        <w:widowControl/>
        <w:suppressLineNumbers w:val="0"/>
        <w:spacing w:line="30" w:lineRule="atLeast"/>
        <w:ind w:left="0" w:firstLine="459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23"/>
          <w:sz w:val="32"/>
          <w:szCs w:val="32"/>
        </w:rPr>
        <w:t>2025年，全旗规模以上工业增加值增速17.0%，连续9个月排名全市第一。</w:t>
      </w:r>
    </w:p>
    <w:p w14:paraId="0D746C28">
      <w:pPr>
        <w:pStyle w:val="3"/>
        <w:keepNext w:val="0"/>
        <w:keepLines w:val="0"/>
        <w:widowControl/>
        <w:suppressLineNumbers w:val="0"/>
        <w:spacing w:line="30" w:lineRule="atLeast"/>
        <w:ind w:left="0" w:firstLine="45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color w:val="333333"/>
          <w:spacing w:val="23"/>
          <w:sz w:val="32"/>
          <w:szCs w:val="32"/>
        </w:rPr>
        <w:t>从工业产品看：</w:t>
      </w:r>
      <w:r>
        <w:rPr>
          <w:rFonts w:hint="eastAsia" w:ascii="仿宋" w:hAnsi="仿宋" w:eastAsia="仿宋" w:cs="仿宋"/>
          <w:color w:val="333333"/>
          <w:spacing w:val="23"/>
          <w:sz w:val="32"/>
          <w:szCs w:val="32"/>
        </w:rPr>
        <w:t>原煤5163.45万吨，同比增长6.87％；精甲醇1438.39万吨，同比增长141.39％；液化天然气126.34万吨，同比增长28.57％；化肥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(折含氮100%)</w:t>
      </w:r>
      <w:r>
        <w:rPr>
          <w:rFonts w:hint="eastAsia" w:ascii="仿宋" w:hAnsi="仿宋" w:eastAsia="仿宋" w:cs="仿宋"/>
          <w:color w:val="333333"/>
          <w:spacing w:val="23"/>
          <w:sz w:val="32"/>
          <w:szCs w:val="32"/>
        </w:rPr>
        <w:t>151.30万吨，同比增长12.09％；聚乙烯252.67万吨，同比增长145.89％；聚丙烯239.22万吨，同比增长128.01％；发电量30.69亿千瓦时，同比增长9.15％。</w:t>
      </w:r>
    </w:p>
    <w:p w14:paraId="60C263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四、服务业发展良好</w:t>
      </w:r>
    </w:p>
    <w:p w14:paraId="0FF562EB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2025年，全旗31家规模以上服务业单位实现营业收入13.20亿元，同比增长8.78%。</w:t>
      </w:r>
      <w:r>
        <w:rPr>
          <w:rStyle w:val="6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从行业门类看：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交通运输、仓储和邮政业实现营业收入5.97亿元,同比下降10.67%；租赁和商务服务业实现营业收入2.61亿元，同比下降2.65%;水利、环境和公共设施管理业实现营业收入4.22亿元，同比增长81.70%；居民服务修理业、科学研究和技术服务业、房地产业分别实现营业收入0.08亿元、0.05亿元、0.27亿元。</w:t>
      </w:r>
    </w:p>
    <w:p w14:paraId="7DE00A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五、投资攻坚承压奋进</w:t>
      </w:r>
    </w:p>
    <w:p w14:paraId="4E97E9DD">
      <w:pPr>
        <w:pStyle w:val="3"/>
        <w:keepNext w:val="0"/>
        <w:keepLines w:val="0"/>
        <w:widowControl/>
        <w:suppressLineNumbers w:val="0"/>
        <w:spacing w:line="30" w:lineRule="atLeast"/>
        <w:ind w:left="0" w:firstLine="45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23"/>
          <w:sz w:val="32"/>
          <w:szCs w:val="32"/>
        </w:rPr>
        <w:t>2025年，全旗固定资产投资同比增长2.0%。</w:t>
      </w:r>
      <w:r>
        <w:rPr>
          <w:rStyle w:val="6"/>
          <w:rFonts w:hint="eastAsia" w:ascii="仿宋" w:hAnsi="仿宋" w:eastAsia="仿宋" w:cs="仿宋"/>
          <w:color w:val="333333"/>
          <w:spacing w:val="23"/>
          <w:sz w:val="32"/>
          <w:szCs w:val="32"/>
        </w:rPr>
        <w:t>从产业投资看：</w:t>
      </w:r>
      <w:r>
        <w:rPr>
          <w:rFonts w:hint="eastAsia" w:ascii="仿宋" w:hAnsi="仿宋" w:eastAsia="仿宋" w:cs="仿宋"/>
          <w:color w:val="333333"/>
          <w:spacing w:val="23"/>
          <w:sz w:val="32"/>
          <w:szCs w:val="32"/>
        </w:rPr>
        <w:t>第一产业完成投资同比增长93.2%，第二产业完成投资同比增长1.2%，第三产业完成投资同比下降8.4%。</w:t>
      </w:r>
      <w:r>
        <w:rPr>
          <w:rStyle w:val="6"/>
          <w:rFonts w:hint="eastAsia" w:ascii="仿宋" w:hAnsi="仿宋" w:eastAsia="仿宋" w:cs="仿宋"/>
          <w:color w:val="333333"/>
          <w:spacing w:val="23"/>
          <w:sz w:val="32"/>
          <w:szCs w:val="32"/>
        </w:rPr>
        <w:t>从投资领域看：</w:t>
      </w:r>
      <w:r>
        <w:rPr>
          <w:rFonts w:hint="eastAsia" w:ascii="仿宋" w:hAnsi="仿宋" w:eastAsia="仿宋" w:cs="仿宋"/>
          <w:color w:val="333333"/>
          <w:spacing w:val="23"/>
          <w:sz w:val="32"/>
          <w:szCs w:val="32"/>
        </w:rPr>
        <w:t>基础设施投资同比增长23.1%，制造业投资同比下降49.0%，房地产开发投资同比增长85.7%。</w:t>
      </w:r>
    </w:p>
    <w:p w14:paraId="100BE4BC">
      <w:pPr>
        <w:pStyle w:val="3"/>
        <w:keepNext w:val="0"/>
        <w:keepLines w:val="0"/>
        <w:widowControl/>
        <w:suppressLineNumbers w:val="0"/>
        <w:spacing w:line="30" w:lineRule="atLeast"/>
        <w:ind w:left="0" w:firstLine="45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23"/>
          <w:sz w:val="32"/>
          <w:szCs w:val="32"/>
        </w:rPr>
        <w:t>2025年，全旗房地产开发项目35项，商品房销售面积127022平方米，同比下降24.9%；商品房销售额48819万元，同比下降20.4%。</w:t>
      </w:r>
    </w:p>
    <w:p w14:paraId="19E647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六、消费潜力不断释放</w:t>
      </w:r>
    </w:p>
    <w:p w14:paraId="44DC7F37">
      <w:pPr>
        <w:pStyle w:val="3"/>
        <w:keepNext w:val="0"/>
        <w:keepLines w:val="0"/>
        <w:widowControl/>
        <w:suppressLineNumbers w:val="0"/>
        <w:spacing w:line="30" w:lineRule="atLeast"/>
        <w:ind w:left="0" w:firstLine="45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23"/>
          <w:sz w:val="32"/>
          <w:szCs w:val="32"/>
        </w:rPr>
        <w:t>2025年，全旗社会消费品零售总额完成39.5亿元，同比增长2.3%。</w:t>
      </w:r>
      <w:r>
        <w:rPr>
          <w:rStyle w:val="6"/>
          <w:rFonts w:hint="eastAsia" w:ascii="仿宋" w:hAnsi="仿宋" w:eastAsia="仿宋" w:cs="仿宋"/>
          <w:color w:val="333333"/>
          <w:spacing w:val="23"/>
          <w:sz w:val="32"/>
          <w:szCs w:val="32"/>
        </w:rPr>
        <w:t>按销售单位所在地分：</w:t>
      </w:r>
      <w:r>
        <w:rPr>
          <w:rFonts w:hint="eastAsia" w:ascii="仿宋" w:hAnsi="仿宋" w:eastAsia="仿宋" w:cs="仿宋"/>
          <w:color w:val="333333"/>
          <w:spacing w:val="23"/>
          <w:sz w:val="32"/>
          <w:szCs w:val="32"/>
        </w:rPr>
        <w:t>城镇社会消费品零售额完成29.8亿元，同比增长2.1%；乡村社会消费品零售额完成9.7亿元，同比增长2.8%。</w:t>
      </w:r>
      <w:r>
        <w:rPr>
          <w:rStyle w:val="6"/>
          <w:rFonts w:hint="eastAsia" w:ascii="仿宋" w:hAnsi="仿宋" w:eastAsia="仿宋" w:cs="仿宋"/>
          <w:color w:val="333333"/>
          <w:spacing w:val="23"/>
          <w:sz w:val="32"/>
          <w:szCs w:val="32"/>
        </w:rPr>
        <w:t>按消费形态分：</w:t>
      </w:r>
      <w:r>
        <w:rPr>
          <w:rFonts w:hint="eastAsia" w:ascii="仿宋" w:hAnsi="仿宋" w:eastAsia="仿宋" w:cs="仿宋"/>
          <w:color w:val="333333"/>
          <w:spacing w:val="23"/>
          <w:sz w:val="32"/>
          <w:szCs w:val="32"/>
        </w:rPr>
        <w:t>餐饮收入完成5.6亿元，同比增长1.6%；商品零售完成33.9亿元，同比增长2.4%。</w:t>
      </w:r>
    </w:p>
    <w:p w14:paraId="23F97A44">
      <w:pPr>
        <w:pStyle w:val="3"/>
        <w:keepNext w:val="0"/>
        <w:keepLines w:val="0"/>
        <w:widowControl/>
        <w:suppressLineNumbers w:val="0"/>
        <w:spacing w:line="30" w:lineRule="atLeast"/>
        <w:ind w:left="0" w:firstLine="459"/>
        <w:rPr>
          <w:rFonts w:hint="eastAsia" w:ascii="仿宋" w:hAnsi="仿宋" w:eastAsia="仿宋" w:cs="仿宋"/>
          <w:sz w:val="32"/>
          <w:szCs w:val="32"/>
        </w:rPr>
      </w:pPr>
      <w:r>
        <w:rPr>
          <w:rStyle w:val="6"/>
          <w:rFonts w:hint="eastAsia" w:ascii="仿宋" w:hAnsi="仿宋" w:eastAsia="仿宋" w:cs="仿宋"/>
          <w:color w:val="333333"/>
          <w:spacing w:val="23"/>
          <w:sz w:val="32"/>
          <w:szCs w:val="32"/>
        </w:rPr>
        <w:t>从限上看：</w:t>
      </w:r>
      <w:r>
        <w:rPr>
          <w:rFonts w:hint="eastAsia" w:ascii="仿宋" w:hAnsi="仿宋" w:eastAsia="仿宋" w:cs="仿宋"/>
          <w:color w:val="333333"/>
          <w:spacing w:val="23"/>
          <w:sz w:val="32"/>
          <w:szCs w:val="32"/>
        </w:rPr>
        <w:t>限上消费品零售总额完成6.3亿元，同比下降3.5%。汽车消费保持增长，汽车类零售额28409.1万元，同比增长2.2%，占限上商品零售比重为54.3%，新能源汽车零售额11654.8万元，同比增长8.7%。</w:t>
      </w:r>
    </w:p>
    <w:p w14:paraId="48BE2F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七、居民收支双稳向好</w:t>
      </w:r>
    </w:p>
    <w:p w14:paraId="7EF32BE0">
      <w:pPr>
        <w:pStyle w:val="3"/>
        <w:keepNext w:val="0"/>
        <w:keepLines w:val="0"/>
        <w:widowControl/>
        <w:suppressLineNumbers w:val="0"/>
        <w:spacing w:line="30" w:lineRule="atLeast"/>
        <w:ind w:left="0" w:firstLine="45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23"/>
          <w:sz w:val="32"/>
          <w:szCs w:val="32"/>
        </w:rPr>
        <w:t>2025年，全体居民人均可支配收入完成48341元，同比增长4.6%。</w:t>
      </w:r>
      <w:r>
        <w:rPr>
          <w:rFonts w:hint="eastAsia" w:ascii="仿宋" w:hAnsi="仿宋" w:eastAsia="仿宋" w:cs="仿宋"/>
          <w:b/>
          <w:bCs/>
          <w:color w:val="333333"/>
          <w:spacing w:val="23"/>
          <w:sz w:val="32"/>
          <w:szCs w:val="32"/>
        </w:rPr>
        <w:t>按常住地分：</w:t>
      </w:r>
      <w:r>
        <w:rPr>
          <w:rFonts w:hint="eastAsia" w:ascii="仿宋" w:hAnsi="仿宋" w:eastAsia="仿宋" w:cs="仿宋"/>
          <w:color w:val="333333"/>
          <w:spacing w:val="23"/>
          <w:sz w:val="32"/>
          <w:szCs w:val="32"/>
        </w:rPr>
        <w:t>城镇常住居民人均可支配收入60974元，同比增长3.9%；农村牧区常住居民人均可支配收入31137元，同比增长6.6%。</w:t>
      </w:r>
    </w:p>
    <w:p w14:paraId="37B02BC0">
      <w:pPr>
        <w:pStyle w:val="3"/>
        <w:keepNext w:val="0"/>
        <w:keepLines w:val="0"/>
        <w:widowControl/>
        <w:suppressLineNumbers w:val="0"/>
        <w:spacing w:line="30" w:lineRule="atLeast"/>
        <w:ind w:left="0" w:firstLine="45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23"/>
          <w:sz w:val="32"/>
          <w:szCs w:val="32"/>
        </w:rPr>
        <w:t>2025年，全体居民人均消费性支出完成31545元，同比增长3.7%。</w:t>
      </w:r>
      <w:r>
        <w:rPr>
          <w:rFonts w:hint="eastAsia" w:ascii="仿宋" w:hAnsi="仿宋" w:eastAsia="仿宋" w:cs="仿宋"/>
          <w:b/>
          <w:bCs/>
          <w:color w:val="333333"/>
          <w:spacing w:val="23"/>
          <w:sz w:val="32"/>
          <w:szCs w:val="32"/>
        </w:rPr>
        <w:t>按常住地分：</w:t>
      </w:r>
      <w:r>
        <w:rPr>
          <w:rFonts w:hint="eastAsia" w:ascii="仿宋" w:hAnsi="仿宋" w:eastAsia="仿宋" w:cs="仿宋"/>
          <w:color w:val="333333"/>
          <w:spacing w:val="23"/>
          <w:sz w:val="32"/>
          <w:szCs w:val="32"/>
        </w:rPr>
        <w:t>城镇居民人均消费性支出完成34174元，同比增长3.0%；农村牧区居民人均消费性支出完成27846元，同比增长7.6%。</w:t>
      </w:r>
    </w:p>
    <w:p w14:paraId="6663C1B8"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注：按照旗区生产总值统一核算和数据发布制度规定，旗区生产总值核算包括初步核算和最终核实两个步骤。经最终核实，2024年，乌审旗地区生产总值现价总量为602.5亿元，按不变价格计算，比上年增长4.3％。</w:t>
      </w:r>
    </w:p>
    <w:p w14:paraId="6A634F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4B766E-0736-4775-BD94-5A478CD1A1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BE461F9-9F72-463A-ABAE-5359CE795BA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4F641DB3-BF34-451E-9F72-849B0F035394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73C4559-643B-449E-B91F-5B32AC8A3087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DA4E7A"/>
    <w:rsid w:val="00885B23"/>
    <w:rsid w:val="00EC5C36"/>
    <w:rsid w:val="065B5A88"/>
    <w:rsid w:val="071D689A"/>
    <w:rsid w:val="07DA4E7A"/>
    <w:rsid w:val="07F968F9"/>
    <w:rsid w:val="0AC51722"/>
    <w:rsid w:val="0ED10695"/>
    <w:rsid w:val="0EE65A24"/>
    <w:rsid w:val="12C53777"/>
    <w:rsid w:val="16741B01"/>
    <w:rsid w:val="18AE37F5"/>
    <w:rsid w:val="1AF52E7F"/>
    <w:rsid w:val="1C8702FF"/>
    <w:rsid w:val="1DE5251E"/>
    <w:rsid w:val="22DB168B"/>
    <w:rsid w:val="23273354"/>
    <w:rsid w:val="2607029E"/>
    <w:rsid w:val="26A56238"/>
    <w:rsid w:val="27F136FF"/>
    <w:rsid w:val="2984482A"/>
    <w:rsid w:val="2BBC6B1B"/>
    <w:rsid w:val="2BD001FB"/>
    <w:rsid w:val="2CD16FAA"/>
    <w:rsid w:val="2ED7364E"/>
    <w:rsid w:val="33E13BC3"/>
    <w:rsid w:val="340C0F9D"/>
    <w:rsid w:val="350D0D1D"/>
    <w:rsid w:val="35775243"/>
    <w:rsid w:val="3CB75A2A"/>
    <w:rsid w:val="40D32247"/>
    <w:rsid w:val="42FE6FA4"/>
    <w:rsid w:val="47F170D7"/>
    <w:rsid w:val="49090450"/>
    <w:rsid w:val="4AF93D40"/>
    <w:rsid w:val="4E094A4F"/>
    <w:rsid w:val="5463310B"/>
    <w:rsid w:val="563C36E1"/>
    <w:rsid w:val="581754FA"/>
    <w:rsid w:val="59685F8C"/>
    <w:rsid w:val="5A820063"/>
    <w:rsid w:val="5F1D035A"/>
    <w:rsid w:val="5FBE05A1"/>
    <w:rsid w:val="64416899"/>
    <w:rsid w:val="65F115A8"/>
    <w:rsid w:val="66564E84"/>
    <w:rsid w:val="66976C44"/>
    <w:rsid w:val="67704A67"/>
    <w:rsid w:val="6A935974"/>
    <w:rsid w:val="6A9E67F3"/>
    <w:rsid w:val="6B170353"/>
    <w:rsid w:val="6B8F3B28"/>
    <w:rsid w:val="6E275A3E"/>
    <w:rsid w:val="73AE7220"/>
    <w:rsid w:val="77CD4BBB"/>
    <w:rsid w:val="79D0629D"/>
    <w:rsid w:val="7BB21E6C"/>
    <w:rsid w:val="7CC83BA3"/>
    <w:rsid w:val="7EA8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1188</Words>
  <Characters>1563</Characters>
  <Lines>0</Lines>
  <Paragraphs>0</Paragraphs>
  <TotalTime>307</TotalTime>
  <ScaleCrop>false</ScaleCrop>
  <LinksUpToDate>false</LinksUpToDate>
  <CharactersWithSpaces>1563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2025-10-30T07:44:00Z</dcterms:created>
  <dc:creator>Yun yang</dc:creator>
  <cp:lastModifiedBy>Jel雯</cp:lastModifiedBy>
  <dcterms:modified xsi:type="dcterms:W3CDTF">2026-01-30T08:33:43Z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36EE85061FFC4137A0CE3CE3A10B5C18_13</vt:lpwstr>
  </property>
  <property fmtid="{D5CDD505-2E9C-101B-9397-08002B2CF9AE}" pid="4" name="KSOTemplateDocerSaveRecord">
    <vt:lpwstr>eyJoZGlkIjoiNzE5ODY0OTQ3MWM2MWM0YmM4ZWNiOTI2YmU2NzQyZWUiLCJ1c2VySWQiOiI2MTAzMjUzNjIifQ==</vt:lpwstr>
  </property>
</Properties>
</file>