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E19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上半年乌审旗经济运行情况稳中有进，进中提质</w:t>
      </w:r>
    </w:p>
    <w:p w14:paraId="79B346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2AF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今年以来，乌审旗坚持以习近平新时代中国特色社会主义思想为指导，全面贯彻党的二十大和二十届二中、三中全会精神，深入落实习近平总书记对内蒙古重要指示精神，紧扣铸牢中华民族共同体意识工作主线，全力办好两件大事，接续实施“六个工程”，扎实开展“六个行动”，以“建设核心区、冲刺百强县”为目标，推动经济社会高质量发展，经济发展稳中有进。</w:t>
      </w:r>
    </w:p>
    <w:p w14:paraId="0E464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旗区生产总值统一核算结果，2025年上半年，乌审旗地区生产总值285.6亿元，按不变价格计算，同比增长13.8%。分产业看，第一产业增加值2.6亿元，同比增长5.0%；第二产业增加值236亿元，同比增长16.5%；第三产业增加值47亿元，同比增长4.2%。</w:t>
      </w:r>
    </w:p>
    <w:p w14:paraId="4BD358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农林牧渔业</w:t>
      </w:r>
    </w:p>
    <w:p w14:paraId="412FF10F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半年，农林牧渔业总产值52239.2万元，可比速度5.1%，其中：农业产值8396.7万元，可比速度5.9%；林业产值4956.5万元，可比速度14.7%；畜牧业产值32907.7万元，可比速度4.2%；渔业产值1403.4万元，可比速度1.0%；服务业产值4575.0万元，可比速度5.5%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19041EE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二、规模以上工业</w:t>
      </w:r>
    </w:p>
    <w:p w14:paraId="49BE57F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上半年，全旗规模以上工业增加值增速19.5%。</w:t>
      </w:r>
    </w:p>
    <w:p w14:paraId="41C52377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从主要工业产品产量看：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原煤2524.13万吨，同比增长7.66％；精甲醇663.90万吨，同比增长122.48％；液化天然气60.04万吨，同比增长37.16％；尿素159.82万吨，同比增长3.06％；聚乙烯116.50万吨，同比增长127.83％；聚丙烯110.03万吨，同比增长112.48％；发电量14.92亿千瓦时，同比增长5.27％。</w:t>
      </w:r>
    </w:p>
    <w:p w14:paraId="2E17FF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固定资产投资</w:t>
      </w:r>
    </w:p>
    <w:p w14:paraId="18B78C02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上半年，全旗固定资产投资同比下降10.4%。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从重点领域看：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基础设施投资成为突出亮点，全旗基础设施投资同比增长42.7%，占固定资产投资比重14.4%，拉动全旗投资增长3.8个百分点。</w:t>
      </w:r>
    </w:p>
    <w:p w14:paraId="43FA7D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社会消费品零售总额</w:t>
      </w:r>
    </w:p>
    <w:p w14:paraId="0A7D42C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上半年，全旗社会消费品零售总额完成17.8亿元，同比增长9.3%。</w:t>
      </w:r>
    </w:p>
    <w:p w14:paraId="36A6409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按销售单位所在地分：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城镇社会消费品零售额完成13.4亿元，同比增长9.2%；乡村社会消费品零售额完成4.4亿元，同比增长9.7%。按消费形态分：餐饮收入完成2.5亿元，同比增长5.7%；商品零售完成15.3亿元，同比增长9.9%。</w:t>
      </w:r>
    </w:p>
    <w:p w14:paraId="329C2A7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从限上消费品零售额类型看：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大宗商品消费表现亮眼，汽车类同比增长131.0%，占限上商品零售比重为62.0%；家具类同比增长6.6%，占限上商品零售比重为1.0%；石油及制品类同比增长55.6%，占限上商品零售比重为2.1%。</w:t>
      </w:r>
    </w:p>
    <w:p w14:paraId="0D9A81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服务业</w:t>
      </w:r>
    </w:p>
    <w:p w14:paraId="639092B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1-5月，全旗31家规模以上服务业单位实现营业收入4.47亿元，同比下降2.46%；利润总额为0.72亿元，同比增长29.23%；应付职工薪酬0.52亿元，同比增长22.55%；应交增值税0.2亿元，同比增长66.48%。</w:t>
      </w:r>
    </w:p>
    <w:p w14:paraId="2C54F42B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从行业门类看：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交通运输、仓储和邮政业实现营业收入1.98亿元，同比下降17.54%；租赁和商务服务业实现营业收入1.08亿元，同比增长3.39%；水利、环境和公共设施管理业实现营业收入1.30亿元，同比增长30.41%；居民服务修理业、科学研究和技术服务业、房地产业分别实现营业收入0.01亿元、0.01亿元、0.09亿元。</w:t>
      </w:r>
    </w:p>
    <w:p w14:paraId="0A88862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eastAsia="zh-CN"/>
        </w:rPr>
        <w:t>六、城乡居民收入与支出</w:t>
      </w:r>
    </w:p>
    <w:bookmarkEnd w:id="0"/>
    <w:p w14:paraId="4209AC8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上半年，全体居民人均可支配收入完成23254元，同比增长5.4%。按常住地分：城镇常住居民人均可支配收入30799元，同比增长4.8%；农村牧区常住居民人均可支配收入12708元，同比增长6.3%。</w:t>
      </w:r>
    </w:p>
    <w:p w14:paraId="45758285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上半年，全体居民人均消费性支出完成16485元，同比增长5.1%。按常住地分：城镇居民人均消费性支出完成18856元，同比增长4.5%；农村牧区居民人均消费性支出完成13074元，同比增长6.2%。</w:t>
      </w:r>
    </w:p>
    <w:p w14:paraId="6B9530CA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总的来看，上半年，全旗上下面对严峻复杂的内外部发展环境，紧盯目标，担当尽责，迎难而上，推动总体经济实现稳中向好。但同时也要看到，部分重点领域发展依然承压，总体经济持续回升向好的基础仍不牢固。下半年，要全力稳就业、稳企业、稳市场、稳预期，更好地应对外部冲击，在转变发展方式、优化产业结构上下更大功夫，全力推动经济持续向好、量质齐升，确保高质量完成全年目标任务、实现“十四五”圆满收官。</w:t>
      </w:r>
    </w:p>
    <w:p w14:paraId="42633513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8BCE2DE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F66899"/>
    <w:rsid w:val="34F66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2025-07-28T01:42:00Z</dcterms:created>
  <dc:creator>今天也很甜</dc:creator>
  <cp:lastModifiedBy>今天也很甜</cp:lastModifiedBy>
  <dcterms:modified xsi:type="dcterms:W3CDTF">2025-07-28T01:54:49Z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84585274F1994813B64DA336CB47610C_11</vt:lpwstr>
  </property>
  <property fmtid="{D5CDD505-2E9C-101B-9397-08002B2CF9AE}" pid="4" name="KSOTemplateDocerSaveRecord">
    <vt:lpwstr>eyJoZGlkIjoiZDM3ODI1YTViN2M1MzczNmJiZWFlZmE2OWQxZDkwNmMiLCJ1c2VySWQiOiI2NjY2MTY1NTEifQ==</vt:lpwstr>
  </property>
</Properties>
</file>