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乌审旗2023年经济运行情况</w:t>
      </w:r>
    </w:p>
    <w:p>
      <w:pPr>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2023年是全面贯彻落实党的二十大精神的开局之年，也是我旗实施“十四五”规划、冲刺全国百强县的发力之年，全旗上下坚持以习近平新时代中国特色社会主义思想为指导，认真学习贯彻党的二十大精神，接续奋斗、砥砺前行，主要经济指标总量再上新台阶，发展质效跃升，坚持“稳中求进”，完成投资倍增等目标任务，谱写绿色乌审高质量发展新篇章。</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 w:hAnsi="仿宋" w:eastAsia="仿宋" w:cs="仿宋"/>
          <w:sz w:val="28"/>
          <w:szCs w:val="28"/>
          <w:lang w:val="en-US" w:eastAsia="zh-CN"/>
        </w:rPr>
      </w:pPr>
      <w:r>
        <w:rPr>
          <w:rFonts w:hint="default" w:ascii="仿宋" w:hAnsi="仿宋" w:eastAsia="仿宋" w:cs="仿宋"/>
          <w:sz w:val="28"/>
          <w:szCs w:val="28"/>
          <w:lang w:val="en-US" w:eastAsia="zh-CN"/>
        </w:rPr>
        <w:t>根据地区生产总值统一核算结果，2023年全旗实现地区生产总值501.49亿元，按不变价格计算，同比增长3.7%。分产业看，第一产业实现增加值25.58亿元，同比增长5.0%；第二产业实现增加值379.60亿元，同比增长1.7%；第三产业实现增加值96.31亿元，同比增长9.1%。三次产业比重为5.1:75.7:19.2。</w:t>
      </w:r>
    </w:p>
    <w:p>
      <w:pPr>
        <w:numPr>
          <w:ilvl w:val="0"/>
          <w:numId w:val="1"/>
        </w:numPr>
        <w:tabs>
          <w:tab w:val="left" w:pos="3316"/>
        </w:tabs>
        <w:bidi w:val="0"/>
        <w:jc w:val="both"/>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固定投资高位增长</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2023年，全旗固定资产投资133.18亿元，同比增长64.5%，增速排名全市第一，高于全国61.5个百分点，高于全区44.7个百分点，高于全市37.1个百分点。分产业看，一产投资增长88.2％；二产投资增长127.1%；三产投资下降50%。分领域看，基础设施投资下降50.5%；制造业投资增长2149.9%；房地产开发投资下降25.9%。分其他指标看，民间投资增长624.5%；社会领域投资下降44.2%，工业投资增长127.1%，其中工业技改下降89.8%。</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截止12月底，全旗在库投资项目138项（包含今年新入库54项）。其中：5000万以上投资项目49项，500万-5000万投资项目54项，房地产开发投资项目35项。亿元以上施工项目19个，数量同比下降32.1%，完成投资同比增长99.8%，占全部投资的90.4%。10亿元以上施工项目4个，数量同比增速33.3%，完成投资同比增长198.3%，占全部投资的87.42%。市级调度的29个重点项目中已入库21项，完成投资120亿元（含天然气26.17亿元）。</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1-12月份全旗商品房销售面积137763平方米，增长16.1%；商品房销售额49775万元，增长4.8%。</w:t>
      </w:r>
    </w:p>
    <w:p>
      <w:pPr>
        <w:numPr>
          <w:ilvl w:val="0"/>
          <w:numId w:val="1"/>
        </w:numPr>
        <w:tabs>
          <w:tab w:val="left" w:pos="3316"/>
        </w:tabs>
        <w:bidi w:val="0"/>
        <w:ind w:left="0" w:leftChars="0" w:firstLine="0" w:firstLineChars="0"/>
        <w:jc w:val="both"/>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工业生产承压向稳</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-12月份，全旗规上工业增加值同比增长0.4%，全旗规上工业总产值同比下降12.86%。全旗规上工业企业（不含天然气）按行业类别分：煤炭开采和洗选业产值同比下降21.4%；石油、煤炭及其他燃料加工业产值同比下降2.2%；化学原料和化学制品制造业产值同比下降3.2%；电力、热力生产和供应业产值同比下降26.5%；燃气生产和供应业产值同比下降34.0%。按轻重工业分：轻工业产值同比下降18.59%；重工业产值同比下降11.09%。按注册类型分：国有控股企业产值同比下降7.92%；非公有企业产值同比下降32.62%；股份制企业产值同比下降11.46%；外商及港澳台商投资企业产值同比下降2.27%。</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_GB2312" w:hAnsi="仿宋_GB2312" w:eastAsia="仿宋_GB2312" w:cs="仿宋_GB2312"/>
          <w:sz w:val="32"/>
          <w:szCs w:val="32"/>
          <w:lang w:val="en-US" w:eastAsia="zh-CN"/>
        </w:rPr>
      </w:pPr>
      <w:r>
        <w:rPr>
          <w:rFonts w:hint="eastAsia" w:ascii="仿宋" w:hAnsi="仿宋" w:eastAsia="仿宋" w:cs="仿宋"/>
          <w:sz w:val="28"/>
          <w:szCs w:val="28"/>
          <w:lang w:val="en-US" w:eastAsia="zh-CN"/>
        </w:rPr>
        <w:t>1-12月份主要工业品产量：原煤3889.28万吨，同比下降7.47％；精甲醇631.92万吨，同比下降10.03％；液化天然气87.66万吨，同比下降1.53％；尿素312.41万吨，同比增长9.24％；聚乙烯104.49万吨，同比下降1.25％；聚丙烯106.97万吨，同比下降4.38％；发电量26.91亿千瓦时，同比下降7.46％。</w:t>
      </w:r>
    </w:p>
    <w:p>
      <w:pPr>
        <w:numPr>
          <w:ilvl w:val="0"/>
          <w:numId w:val="1"/>
        </w:numPr>
        <w:tabs>
          <w:tab w:val="left" w:pos="3316"/>
        </w:tabs>
        <w:bidi w:val="0"/>
        <w:ind w:left="0" w:leftChars="0" w:firstLine="0" w:firstLineChars="0"/>
        <w:jc w:val="both"/>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服务发展持续恢复</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-11月，全旗规模以上服务业实现营业收入6.54亿元，同比下降11.38%。分行业门类看，在库4个行业门类呈“一升三降”，“一升”是：水利、环境和公共设施管理业实业营业收入0.48亿元，同比增长108.7%。“三降”是：交通运输、仓储和邮政业实现营业收入2.59亿元,同比下降22.92%；租赁和商务服务业实现营业收入3.39亿元，同比下降7.38%;居民服务、修理和其他服务业实现营业收入0.08亿元，同比下降38.46%。</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1-11月份，规模以上服务业民营企业达13户，占规模以上服务业企业总户数的72.22%，实现营业收入3.36亿元，同比下降9.92%，占规模以上服务业营业收入的比重为51.38%。</w:t>
      </w:r>
    </w:p>
    <w:p>
      <w:pPr>
        <w:widowControl w:val="0"/>
        <w:numPr>
          <w:ilvl w:val="0"/>
          <w:numId w:val="1"/>
        </w:numPr>
        <w:tabs>
          <w:tab w:val="left" w:pos="3316"/>
        </w:tabs>
        <w:bidi w:val="0"/>
        <w:ind w:left="0" w:leftChars="0" w:firstLine="0" w:firstLineChars="0"/>
        <w:jc w:val="both"/>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消费需求不断释放</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2023年，全旗社会消费品零售总额完成38.3亿元，总量排名全市第6位，同比增长8.2%，增速排名全市第9位，高于全国1个百分点，高于自治区0.1个百分点，低于全市0.9个百分点。</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按销售单位所在地分，城镇消费品零售额完成27.7亿元，增长7.8%；乡村消费品零售额完成10.6亿元，增长9.4%。按消费形态分，商品零售32.7亿元，增长6.5%；餐饮收入5.6亿元，增长19.2%。</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从限上消费品零售额按商品类型看，粮油食品类增长96.8%，占比34.2%；家用电器和音像器材类增长30.4%，占比8.7%；中西药品类增长3.0%，占比5.6%；通讯器材类增长12.2%，占比1.8%；石油及制品类增长27.3%，占比2.2%；汽车类下降增长2.8%，占比44.8%；其他类下降18.3%，占比2.7%。</w:t>
      </w:r>
    </w:p>
    <w:p>
      <w:pPr>
        <w:widowControl w:val="0"/>
        <w:numPr>
          <w:ilvl w:val="0"/>
          <w:numId w:val="1"/>
        </w:numPr>
        <w:tabs>
          <w:tab w:val="left" w:pos="3316"/>
        </w:tabs>
        <w:bidi w:val="0"/>
        <w:ind w:left="0" w:leftChars="0" w:firstLine="0" w:firstLineChars="0"/>
        <w:jc w:val="both"/>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财政运行整体平稳</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2023年，全旗完成一般公共预算收入50.9亿元，同比增长18.4%。其中，税收收入完成34.2亿元，占一般公共预算收入的67.2%。</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2023年，全旗一般公共预算支出77.9亿元，同比增长22.5%。涉及民生利益的社会保障和就业支出5.9亿元，同比增长10.9%；卫生健康支出4.5亿元，同比增长61.5%；农林水事务支出15.6亿元，同比增长50.5%。</w:t>
      </w:r>
    </w:p>
    <w:p>
      <w:pPr>
        <w:widowControl w:val="0"/>
        <w:numPr>
          <w:ilvl w:val="0"/>
          <w:numId w:val="1"/>
        </w:numPr>
        <w:tabs>
          <w:tab w:val="left" w:pos="3316"/>
        </w:tabs>
        <w:bidi w:val="0"/>
        <w:ind w:left="0" w:leftChars="0" w:firstLine="0" w:firstLineChars="0"/>
        <w:jc w:val="both"/>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城乡居民收支稳定</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2023年，全旗全体居民人均可支配收入达43794元，同比增加2205元，增长5.3%。其中：城镇常住居民人均可支配收入达55917元，同比增加2612元，增长4.9%；农村牧区常住居民人均可支配收入达27419元，同比增加1818元，增长7.1%。</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全旗全体居民人均消费性支出达28971元，同比增加5664元，增长24.3%。其中：城镇常住居民人均消费性支出达32026元，同比增加5624元，增长21.3%；农村牧区常住居民人均消费性支出达24065元，同比增加4844元，增长25.2%。</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lang w:val="en-US" w:eastAsia="zh-CN"/>
        </w:rPr>
      </w:pPr>
    </w:p>
    <w:p>
      <w:pPr>
        <w:widowControl w:val="0"/>
        <w:numPr>
          <w:ilvl w:val="0"/>
          <w:numId w:val="0"/>
        </w:numPr>
        <w:tabs>
          <w:tab w:val="left" w:pos="3316"/>
        </w:tabs>
        <w:bidi w:val="0"/>
        <w:ind w:leftChars="0"/>
        <w:jc w:val="both"/>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总的来看，全旗经济潜力大、活力足，回升向好态势不断巩固，但仍有部分产业怠速行驶，下一步要坚持以习近平新时代中国特色社会主义思想为指导，深入落实习近平总书记对内蒙古的重要指示精神，紧紧围绕自治区、市部署要求和旗委十六届十次全会暨全旗经济工作会议确定的目标任务，坚持稳中求进工作总基调，锚定战略性新兴产业奋力攻坚，持续开辟未来产业新赛道，加快传统产业转型升级，不断书写中国式现代化绿色乌审高质量发展新篇章！</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仿宋" w:hAnsi="仿宋" w:eastAsia="仿宋" w:cs="仿宋"/>
          <w:sz w:val="28"/>
          <w:szCs w:val="28"/>
          <w:lang w:val="en-US" w:eastAsia="zh-CN"/>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5EC000"/>
    <w:multiLevelType w:val="singleLevel"/>
    <w:tmpl w:val="9A5EC00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M3ODI1YTViN2M1MzczNmJiZWFlZmE2OWQxZDkwNmMifQ=="/>
  </w:docVars>
  <w:rsids>
    <w:rsidRoot w:val="0B615522"/>
    <w:rsid w:val="06C226A4"/>
    <w:rsid w:val="09A05381"/>
    <w:rsid w:val="0B615522"/>
    <w:rsid w:val="126F08F1"/>
    <w:rsid w:val="1DF65E6A"/>
    <w:rsid w:val="299A44DD"/>
    <w:rsid w:val="2CD77367"/>
    <w:rsid w:val="4DBE5CAD"/>
    <w:rsid w:val="50371D47"/>
    <w:rsid w:val="5E624B63"/>
    <w:rsid w:val="60BD3BA3"/>
    <w:rsid w:val="76CF5F86"/>
    <w:rsid w:val="7D4A2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autoRedefine/>
    <w:semiHidden/>
    <w:qFormat/>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2024-01-23T08:17:00Z</dcterms:created>
  <dc:creator>今天也很甜</dc:creator>
  <cp:lastModifiedBy>今天也很甜</cp:lastModifiedBy>
  <dcterms:modified xsi:type="dcterms:W3CDTF">2024-01-25T01:47:40Z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502296A2DEB146A1BB20001DA2F43340_11</vt:lpwstr>
  </property>
</Properties>
</file>