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乌审旗202</w:t>
      </w:r>
      <w:r>
        <w:rPr>
          <w:rFonts w:hint="eastAsia" w:ascii="方正小标宋简体" w:hAnsi="方正小标宋简体" w:eastAsia="方正小标宋简体" w:cs="方正小标宋简体"/>
          <w:sz w:val="44"/>
          <w:szCs w:val="44"/>
          <w:lang w:val="en-US" w:eastAsia="zh-CN"/>
        </w:rPr>
        <w:t>3</w:t>
      </w:r>
      <w:r>
        <w:rPr>
          <w:rFonts w:hint="eastAsia" w:ascii="方正小标宋简体" w:hAnsi="方正小标宋简体" w:eastAsia="方正小标宋简体" w:cs="方正小标宋简体"/>
          <w:sz w:val="44"/>
          <w:szCs w:val="44"/>
        </w:rPr>
        <w:t>年</w:t>
      </w:r>
      <w:r>
        <w:rPr>
          <w:rFonts w:hint="eastAsia" w:ascii="方正小标宋简体" w:hAnsi="方正小标宋简体" w:eastAsia="方正小标宋简体" w:cs="方正小标宋简体"/>
          <w:sz w:val="44"/>
          <w:szCs w:val="44"/>
          <w:lang w:val="en-US" w:eastAsia="zh-CN"/>
        </w:rPr>
        <w:t>上半年</w:t>
      </w:r>
      <w:r>
        <w:rPr>
          <w:rFonts w:hint="eastAsia" w:ascii="方正小标宋简体" w:hAnsi="方正小标宋简体" w:eastAsia="方正小标宋简体" w:cs="方正小标宋简体"/>
          <w:sz w:val="44"/>
          <w:szCs w:val="44"/>
        </w:rPr>
        <w:t>经济运行情况</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今年上半年，全旗上下坚持以习近平新时代中国特色社会主义思想为指导，认真贯彻落实党的二十大精神和习近平总书记考察内蒙古时的重要指示和重要讲话精神，紧扣完成两件大事，聚焦全年发展目标，出实招、重实效、强实干，主要指标高于同期，奋力促成全旗经济巩固回升的良好态势</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eastAsia="zh-CN"/>
        </w:rPr>
      </w:pPr>
      <w:r>
        <w:rPr>
          <w:rFonts w:hint="eastAsia" w:ascii="仿宋_GB2312" w:hAnsi="仿宋_GB2312" w:eastAsia="仿宋_GB2312" w:cs="仿宋_GB2312"/>
          <w:sz w:val="32"/>
          <w:szCs w:val="32"/>
          <w:lang w:eastAsia="zh-CN"/>
        </w:rPr>
        <w:t>根据</w:t>
      </w:r>
      <w:r>
        <w:rPr>
          <w:rFonts w:hint="eastAsia" w:ascii="仿宋_GB2312" w:hAnsi="仿宋_GB2312" w:eastAsia="仿宋_GB2312" w:cs="仿宋_GB2312"/>
          <w:sz w:val="32"/>
          <w:szCs w:val="32"/>
          <w:lang w:val="en-US" w:eastAsia="zh-CN"/>
        </w:rPr>
        <w:t>GDP统一核算结果</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上半年，全旗实现地区生产总值207.5亿元，</w:t>
      </w:r>
      <w:r>
        <w:rPr>
          <w:rFonts w:hint="eastAsia" w:ascii="仿宋_GB2312" w:hAnsi="仿宋_GB2312" w:eastAsia="仿宋_GB2312" w:cs="仿宋_GB2312"/>
          <w:sz w:val="32"/>
          <w:szCs w:val="32"/>
        </w:rPr>
        <w:t>按</w:t>
      </w:r>
      <w:r>
        <w:rPr>
          <w:rFonts w:hint="eastAsia" w:ascii="仿宋_GB2312" w:hAnsi="仿宋_GB2312" w:eastAsia="仿宋_GB2312" w:cs="仿宋_GB2312"/>
          <w:sz w:val="32"/>
          <w:szCs w:val="32"/>
          <w:lang w:eastAsia="zh-CN"/>
        </w:rPr>
        <w:t>不变</w:t>
      </w:r>
      <w:r>
        <w:rPr>
          <w:rFonts w:hint="eastAsia" w:ascii="仿宋_GB2312" w:hAnsi="仿宋_GB2312" w:eastAsia="仿宋_GB2312" w:cs="仿宋_GB2312"/>
          <w:sz w:val="32"/>
          <w:szCs w:val="32"/>
        </w:rPr>
        <w:t>价格计算，</w:t>
      </w:r>
      <w:r>
        <w:rPr>
          <w:rFonts w:hint="eastAsia" w:ascii="仿宋_GB2312" w:hAnsi="仿宋_GB2312" w:eastAsia="仿宋_GB2312" w:cs="仿宋_GB2312"/>
          <w:sz w:val="32"/>
          <w:szCs w:val="32"/>
          <w:lang w:val="en-US" w:eastAsia="zh-CN"/>
        </w:rPr>
        <w:t>同比增长3.4%。</w:t>
      </w:r>
      <w:r>
        <w:rPr>
          <w:rFonts w:hint="eastAsia" w:ascii="仿宋_GB2312" w:hAnsi="仿宋_GB2312" w:eastAsia="仿宋_GB2312" w:cs="仿宋_GB2312"/>
          <w:sz w:val="32"/>
          <w:szCs w:val="32"/>
        </w:rPr>
        <w:t>分产业看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第一产业增加值2.37亿元，同比增长9.4%；第二产业增加值154.11亿元，同比增长1.1%；第三产业增加值51.02亿元，同比增长8.2%。三次产业比为1.1：74.3：24.6。</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一、</w:t>
      </w:r>
      <w:r>
        <w:rPr>
          <w:rFonts w:hint="eastAsia" w:ascii="黑体" w:hAnsi="黑体" w:eastAsia="黑体" w:cs="黑体"/>
          <w:sz w:val="32"/>
          <w:szCs w:val="32"/>
          <w:lang w:val="en-US" w:eastAsia="zh-CN"/>
        </w:rPr>
        <w:t>农林牧渔业增势良</w:t>
      </w:r>
      <w:bookmarkStart w:id="0" w:name="_GoBack"/>
      <w:bookmarkEnd w:id="0"/>
      <w:r>
        <w:rPr>
          <w:rFonts w:hint="eastAsia" w:ascii="黑体" w:hAnsi="黑体" w:eastAsia="黑体" w:cs="黑体"/>
          <w:sz w:val="32"/>
          <w:szCs w:val="32"/>
          <w:lang w:val="en-US" w:eastAsia="zh-CN"/>
        </w:rPr>
        <w:t>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上半年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全旗农林牧渔业总产值达到4.68亿元，总量排名全市第3，同比增长9.26%。其中：农业总产值1.05亿元，同比增长9.71%；牧业总产值2.76亿元，同比增长8.08%；林业总产值0.32亿元，同比增长11.2%；渔业总产值0.13亿元，同比增长9.5%。牧业产值占农林牧渔业产值的比重达59%。</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eastAsia="zh-CN"/>
        </w:rPr>
        <w:t>二</w:t>
      </w:r>
      <w:r>
        <w:rPr>
          <w:rFonts w:hint="eastAsia" w:ascii="黑体" w:hAnsi="黑体" w:eastAsia="黑体" w:cs="黑体"/>
          <w:sz w:val="32"/>
          <w:szCs w:val="32"/>
        </w:rPr>
        <w:t>、</w:t>
      </w:r>
      <w:r>
        <w:rPr>
          <w:rFonts w:hint="eastAsia" w:ascii="黑体" w:hAnsi="黑体" w:eastAsia="黑体" w:cs="黑体"/>
          <w:sz w:val="32"/>
          <w:szCs w:val="32"/>
          <w:lang w:eastAsia="zh-CN"/>
        </w:rPr>
        <w:t>规上</w:t>
      </w:r>
      <w:r>
        <w:rPr>
          <w:rFonts w:hint="eastAsia" w:ascii="黑体" w:hAnsi="黑体" w:eastAsia="黑体" w:cs="黑体"/>
          <w:sz w:val="32"/>
          <w:szCs w:val="32"/>
        </w:rPr>
        <w:t>工业</w:t>
      </w:r>
      <w:r>
        <w:rPr>
          <w:rFonts w:hint="eastAsia" w:ascii="黑体" w:hAnsi="黑体" w:eastAsia="黑体" w:cs="黑体"/>
          <w:sz w:val="32"/>
          <w:szCs w:val="32"/>
          <w:lang w:eastAsia="zh-CN"/>
        </w:rPr>
        <w:t>承压</w:t>
      </w:r>
      <w:r>
        <w:rPr>
          <w:rFonts w:hint="eastAsia" w:ascii="黑体" w:hAnsi="黑体" w:eastAsia="黑体" w:cs="黑体"/>
          <w:sz w:val="32"/>
          <w:szCs w:val="32"/>
          <w:lang w:val="en-US" w:eastAsia="zh-CN"/>
        </w:rPr>
        <w:t>回升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上半年，全旗规上工业增加值同比增长0.3%；6月份规上工业增加值同比增长7.8%。全旗规上工业总产值同比下降11.98%，其中：采矿业产值同比下降7.28%；制造业产值同比下降14.71%；电力、热力、燃气及水生产和供应业产值同比下降27.48%。全旗规上工业累计产销率99.7%，同比增长0.4%；6月份当月产销量102%，同比增长4%。全旗规上工业企业（不含天然气）利润总额同比下降43.2%。</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eastAsia="zh-CN"/>
        </w:rPr>
      </w:pPr>
      <w:r>
        <w:rPr>
          <w:rFonts w:hint="eastAsia" w:ascii="仿宋_GB2312" w:hAnsi="仿宋_GB2312" w:eastAsia="仿宋_GB2312" w:cs="仿宋_GB2312"/>
          <w:sz w:val="32"/>
          <w:szCs w:val="32"/>
          <w:lang w:val="en-US" w:eastAsia="zh-CN"/>
        </w:rPr>
        <w:t>上半年，全旗主要工业品产量：天然气81.97亿立方米，同比增长7.69%；原煤2023.46万吨，同比下降6.17%；精甲醇329.51万吨，同比下降6.25%；液化天然气45.74万吨，同比下降3.58%；聚乙烯52.95万吨，同比增长0.26%；聚丙烯54.73万吨，同比下降3.24%；尿素153.1万吨，同比下降2.17%。</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eastAsia="zh-CN"/>
        </w:rPr>
        <w:t>三</w:t>
      </w:r>
      <w:r>
        <w:rPr>
          <w:rFonts w:hint="eastAsia" w:ascii="黑体" w:hAnsi="黑体" w:eastAsia="黑体" w:cs="黑体"/>
          <w:sz w:val="32"/>
          <w:szCs w:val="32"/>
        </w:rPr>
        <w:t>、</w:t>
      </w:r>
      <w:r>
        <w:rPr>
          <w:rFonts w:hint="eastAsia" w:ascii="黑体" w:hAnsi="黑体" w:eastAsia="黑体" w:cs="黑体"/>
          <w:sz w:val="32"/>
          <w:szCs w:val="32"/>
          <w:lang w:eastAsia="zh-CN"/>
        </w:rPr>
        <w:t>固定资产投资</w:t>
      </w:r>
      <w:r>
        <w:rPr>
          <w:rFonts w:hint="eastAsia" w:ascii="黑体" w:hAnsi="黑体" w:eastAsia="黑体" w:cs="黑体"/>
          <w:sz w:val="32"/>
          <w:szCs w:val="32"/>
          <w:lang w:val="en-US" w:eastAsia="zh-CN"/>
        </w:rPr>
        <w:t>持续</w:t>
      </w:r>
      <w:r>
        <w:rPr>
          <w:rFonts w:hint="eastAsia" w:ascii="黑体" w:hAnsi="黑体" w:eastAsia="黑体" w:cs="黑体"/>
          <w:sz w:val="32"/>
          <w:szCs w:val="32"/>
          <w:lang w:eastAsia="zh-CN"/>
        </w:rPr>
        <w:t>扩张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上半年，全旗固定资产投资同比增长130.4%。分产业看：第一产业投资同比增长460.6%，第二产业投资同比增长192.6%，第三产业投资同比减少18.5%。分领域看：基础设施投资同比减少14.2%；制造业投资同比增长4720.4%；房地产开发投资同比减少29.8%；民间投资同比增长513.1%；新开工项目投资同比增长1541.3%。全旗商品房销售面积54928平方米，增长1.1%；商品房销售额20644万元，增长6.8%。</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截至</w:t>
      </w:r>
      <w:r>
        <w:rPr>
          <w:rFonts w:hint="eastAsia" w:ascii="仿宋_GB2312" w:hAnsi="仿宋_GB2312" w:eastAsia="仿宋_GB2312" w:cs="仿宋_GB2312"/>
          <w:sz w:val="32"/>
          <w:szCs w:val="32"/>
          <w:lang w:val="en-US" w:eastAsia="zh-CN"/>
        </w:rPr>
        <w:t>6月末</w:t>
      </w:r>
      <w:r>
        <w:rPr>
          <w:rFonts w:hint="eastAsia" w:ascii="仿宋_GB2312" w:hAnsi="仿宋_GB2312" w:eastAsia="仿宋_GB2312" w:cs="仿宋_GB2312"/>
          <w:sz w:val="32"/>
          <w:szCs w:val="32"/>
          <w:lang w:eastAsia="zh-CN"/>
        </w:rPr>
        <w:t>，全旗在库投资项目</w:t>
      </w:r>
      <w:r>
        <w:rPr>
          <w:rFonts w:hint="eastAsia" w:ascii="仿宋_GB2312" w:hAnsi="仿宋_GB2312" w:eastAsia="仿宋_GB2312" w:cs="仿宋_GB2312"/>
          <w:sz w:val="32"/>
          <w:szCs w:val="32"/>
          <w:lang w:val="en-US" w:eastAsia="zh-CN"/>
        </w:rPr>
        <w:t>106</w:t>
      </w:r>
      <w:r>
        <w:rPr>
          <w:rFonts w:hint="eastAsia" w:ascii="仿宋_GB2312" w:hAnsi="仿宋_GB2312" w:eastAsia="仿宋_GB2312" w:cs="仿宋_GB2312"/>
          <w:sz w:val="32"/>
          <w:szCs w:val="32"/>
          <w:lang w:eastAsia="zh-CN"/>
        </w:rPr>
        <w:t>项。其中：5000万以上投资项目</w:t>
      </w:r>
      <w:r>
        <w:rPr>
          <w:rFonts w:hint="eastAsia" w:ascii="仿宋_GB2312" w:hAnsi="仿宋_GB2312" w:eastAsia="仿宋_GB2312" w:cs="仿宋_GB2312"/>
          <w:sz w:val="32"/>
          <w:szCs w:val="32"/>
          <w:lang w:val="en-US" w:eastAsia="zh-CN"/>
        </w:rPr>
        <w:t>39</w:t>
      </w:r>
      <w:r>
        <w:rPr>
          <w:rFonts w:hint="eastAsia" w:ascii="仿宋_GB2312" w:hAnsi="仿宋_GB2312" w:eastAsia="仿宋_GB2312" w:cs="仿宋_GB2312"/>
          <w:sz w:val="32"/>
          <w:szCs w:val="32"/>
          <w:lang w:eastAsia="zh-CN"/>
        </w:rPr>
        <w:t>项，500万-5000万投资项目</w:t>
      </w:r>
      <w:r>
        <w:rPr>
          <w:rFonts w:hint="eastAsia" w:ascii="仿宋_GB2312" w:hAnsi="仿宋_GB2312" w:eastAsia="仿宋_GB2312" w:cs="仿宋_GB2312"/>
          <w:sz w:val="32"/>
          <w:szCs w:val="32"/>
          <w:lang w:val="en-US" w:eastAsia="zh-CN"/>
        </w:rPr>
        <w:t>35</w:t>
      </w:r>
      <w:r>
        <w:rPr>
          <w:rFonts w:hint="eastAsia" w:ascii="仿宋_GB2312" w:hAnsi="仿宋_GB2312" w:eastAsia="仿宋_GB2312" w:cs="仿宋_GB2312"/>
          <w:sz w:val="32"/>
          <w:szCs w:val="32"/>
          <w:lang w:eastAsia="zh-CN"/>
        </w:rPr>
        <w:t>项，房地产开发投资项目</w:t>
      </w:r>
      <w:r>
        <w:rPr>
          <w:rFonts w:hint="eastAsia" w:ascii="仿宋_GB2312" w:hAnsi="仿宋_GB2312" w:eastAsia="仿宋_GB2312" w:cs="仿宋_GB2312"/>
          <w:sz w:val="32"/>
          <w:szCs w:val="32"/>
          <w:lang w:val="en-US" w:eastAsia="zh-CN"/>
        </w:rPr>
        <w:t>32</w:t>
      </w:r>
      <w:r>
        <w:rPr>
          <w:rFonts w:hint="eastAsia" w:ascii="仿宋_GB2312" w:hAnsi="仿宋_GB2312" w:eastAsia="仿宋_GB2312" w:cs="仿宋_GB2312"/>
          <w:sz w:val="32"/>
          <w:szCs w:val="32"/>
          <w:lang w:eastAsia="zh-CN"/>
        </w:rPr>
        <w:t>项。</w:t>
      </w:r>
      <w:r>
        <w:rPr>
          <w:rFonts w:hint="eastAsia" w:ascii="仿宋_GB2312" w:hAnsi="仿宋_GB2312" w:eastAsia="仿宋_GB2312" w:cs="仿宋_GB2312"/>
          <w:sz w:val="32"/>
          <w:szCs w:val="32"/>
          <w:lang w:val="en-US" w:eastAsia="zh-CN"/>
        </w:rPr>
        <w:t>亿元以上施工项目26个，数量同比增加8.3%，完成投资同比增长172.8%，占全部投资的93.98%；10亿元以上施工项目7个，数量同比增加40%，完成投资同比增长293.2%，占全部投资的86.76%。</w:t>
      </w:r>
      <w:r>
        <w:rPr>
          <w:rFonts w:hint="eastAsia" w:ascii="仿宋_GB2312" w:hAnsi="仿宋_GB2312" w:eastAsia="仿宋_GB2312" w:cs="仿宋_GB2312"/>
          <w:sz w:val="32"/>
          <w:szCs w:val="32"/>
          <w:lang w:eastAsia="zh-CN"/>
        </w:rPr>
        <w:t>市级调度的</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lang w:eastAsia="zh-CN"/>
        </w:rPr>
        <w:t>个重点项目中已入库</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项，完成投资</w:t>
      </w:r>
      <w:r>
        <w:rPr>
          <w:rFonts w:hint="eastAsia" w:ascii="仿宋_GB2312" w:hAnsi="仿宋_GB2312" w:eastAsia="仿宋_GB2312" w:cs="仿宋_GB2312"/>
          <w:sz w:val="32"/>
          <w:szCs w:val="32"/>
          <w:lang w:val="en-US" w:eastAsia="zh-CN"/>
        </w:rPr>
        <w:t>55.79亿元。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w:t>
      </w:r>
      <w:r>
        <w:rPr>
          <w:rFonts w:hint="eastAsia" w:ascii="黑体" w:hAnsi="黑体" w:eastAsia="黑体" w:cs="黑体"/>
          <w:sz w:val="32"/>
          <w:szCs w:val="32"/>
          <w:lang w:eastAsia="zh-CN"/>
        </w:rPr>
        <w:t>市场销售</w:t>
      </w:r>
      <w:r>
        <w:rPr>
          <w:rFonts w:hint="eastAsia" w:ascii="黑体" w:hAnsi="黑体" w:eastAsia="黑体" w:cs="黑体"/>
          <w:sz w:val="32"/>
          <w:szCs w:val="32"/>
          <w:lang w:val="en-US" w:eastAsia="zh-CN"/>
        </w:rPr>
        <w:t>破局</w:t>
      </w:r>
      <w:r>
        <w:rPr>
          <w:rFonts w:hint="eastAsia" w:ascii="黑体" w:hAnsi="黑体" w:eastAsia="黑体" w:cs="黑体"/>
          <w:sz w:val="32"/>
          <w:szCs w:val="32"/>
          <w:lang w:eastAsia="zh-CN"/>
        </w:rPr>
        <w:t>恢复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上半年，全旗社会消费品零售总额16.5亿元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同比增长5.6%。按经营单位所在地分：城镇社会消费品零售额同比增长5.3%；乡村社会消费品零售额同比增长6.6%。按消费类型分：商品零售额同比增长4.7%；餐饮收入同比增长15.3%。</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上半年，限上消费品零售额按商品类型看，粮油食品类增长21.3%，占比36.7%；家用电器和音像器材类增长23.9%，占比8.7%；中西药品类增长7.8%，占比5.9%；通讯器材类增长17.8%，占比2%；石油及制品类增长11%，占比1.9%；汽车类下降8.1%，占比41.6%；其他类增长27.3%，占比3.2%。</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lang w:eastAsia="zh-CN"/>
        </w:rPr>
        <w:t>五</w:t>
      </w:r>
      <w:r>
        <w:rPr>
          <w:rFonts w:hint="eastAsia" w:ascii="黑体" w:hAnsi="黑体" w:eastAsia="黑体" w:cs="黑体"/>
          <w:sz w:val="32"/>
          <w:szCs w:val="32"/>
        </w:rPr>
        <w:t>、居民</w:t>
      </w:r>
      <w:r>
        <w:rPr>
          <w:rFonts w:hint="eastAsia" w:ascii="黑体" w:hAnsi="黑体" w:eastAsia="黑体" w:cs="黑体"/>
          <w:sz w:val="32"/>
          <w:szCs w:val="32"/>
          <w:lang w:eastAsia="zh-CN"/>
        </w:rPr>
        <w:t>收入平稳增长</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上半年</w:t>
      </w:r>
      <w:r>
        <w:rPr>
          <w:rFonts w:hint="eastAsia" w:ascii="仿宋_GB2312" w:hAnsi="仿宋_GB2312" w:eastAsia="仿宋_GB2312" w:cs="仿宋_GB2312"/>
          <w:sz w:val="32"/>
          <w:szCs w:val="32"/>
        </w:rPr>
        <w:t>，全旗居民人均可支配收入</w:t>
      </w:r>
      <w:r>
        <w:rPr>
          <w:rFonts w:hint="eastAsia" w:ascii="仿宋_GB2312" w:hAnsi="仿宋_GB2312" w:eastAsia="仿宋_GB2312" w:cs="仿宋_GB2312"/>
          <w:sz w:val="32"/>
          <w:szCs w:val="32"/>
          <w:lang w:val="en-US" w:eastAsia="zh-CN"/>
        </w:rPr>
        <w:t>21024</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同比</w:t>
      </w:r>
      <w:r>
        <w:rPr>
          <w:rFonts w:hint="eastAsia" w:ascii="仿宋_GB2312" w:hAnsi="仿宋_GB2312" w:eastAsia="仿宋_GB2312" w:cs="仿宋_GB2312"/>
          <w:sz w:val="32"/>
          <w:szCs w:val="32"/>
          <w:lang w:eastAsia="zh-CN"/>
        </w:rPr>
        <w:t>增长</w:t>
      </w:r>
      <w:r>
        <w:rPr>
          <w:rFonts w:hint="eastAsia" w:ascii="仿宋_GB2312" w:hAnsi="仿宋_GB2312" w:eastAsia="仿宋_GB2312" w:cs="仿宋_GB2312"/>
          <w:sz w:val="32"/>
          <w:szCs w:val="32"/>
          <w:lang w:val="en-US" w:eastAsia="zh-CN"/>
        </w:rPr>
        <w:t>4.9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按常住地分，</w:t>
      </w:r>
      <w:r>
        <w:rPr>
          <w:rFonts w:hint="eastAsia" w:ascii="仿宋_GB2312" w:hAnsi="仿宋_GB2312" w:eastAsia="仿宋_GB2312" w:cs="仿宋_GB2312"/>
          <w:sz w:val="32"/>
          <w:szCs w:val="32"/>
        </w:rPr>
        <w:t>城镇常住居民人均可支配收入</w:t>
      </w:r>
      <w:r>
        <w:rPr>
          <w:rFonts w:hint="eastAsia" w:ascii="仿宋_GB2312" w:hAnsi="仿宋_GB2312" w:eastAsia="仿宋_GB2312" w:cs="仿宋_GB2312"/>
          <w:sz w:val="32"/>
          <w:szCs w:val="32"/>
          <w:lang w:val="en-US" w:eastAsia="zh-CN"/>
        </w:rPr>
        <w:t>28096</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同比增长</w:t>
      </w:r>
      <w:r>
        <w:rPr>
          <w:rFonts w:hint="eastAsia" w:ascii="仿宋_GB2312" w:hAnsi="仿宋_GB2312" w:eastAsia="仿宋_GB2312" w:cs="仿宋_GB2312"/>
          <w:sz w:val="32"/>
          <w:szCs w:val="32"/>
          <w:lang w:val="en-US" w:eastAsia="zh-CN"/>
        </w:rPr>
        <w:t>4.7</w:t>
      </w:r>
      <w:r>
        <w:rPr>
          <w:rFonts w:hint="eastAsia" w:ascii="仿宋_GB2312" w:hAnsi="仿宋_GB2312" w:eastAsia="仿宋_GB2312" w:cs="仿宋_GB2312"/>
          <w:sz w:val="32"/>
          <w:szCs w:val="32"/>
        </w:rPr>
        <w:t>%；农村牧区常住居民人均可支配收入</w:t>
      </w:r>
      <w:r>
        <w:rPr>
          <w:rFonts w:hint="eastAsia" w:ascii="仿宋_GB2312" w:hAnsi="仿宋_GB2312" w:eastAsia="仿宋_GB2312" w:cs="仿宋_GB2312"/>
          <w:sz w:val="32"/>
          <w:szCs w:val="32"/>
          <w:lang w:val="en-US" w:eastAsia="zh-CN"/>
        </w:rPr>
        <w:t>11142</w:t>
      </w:r>
      <w:r>
        <w:rPr>
          <w:rFonts w:hint="eastAsia" w:ascii="仿宋_GB2312" w:hAnsi="仿宋_GB2312" w:eastAsia="仿宋_GB2312" w:cs="仿宋_GB2312"/>
          <w:sz w:val="32"/>
          <w:szCs w:val="32"/>
        </w:rPr>
        <w:t>元，同比增长</w:t>
      </w:r>
      <w:r>
        <w:rPr>
          <w:rFonts w:hint="eastAsia" w:ascii="仿宋_GB2312" w:hAnsi="仿宋_GB2312" w:eastAsia="仿宋_GB2312" w:cs="仿宋_GB2312"/>
          <w:sz w:val="32"/>
          <w:szCs w:val="32"/>
          <w:lang w:val="en-US" w:eastAsia="zh-CN"/>
        </w:rPr>
        <w:t>6.8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城乡居民收入比为</w:t>
      </w:r>
      <w:r>
        <w:rPr>
          <w:rFonts w:hint="eastAsia" w:ascii="仿宋_GB2312" w:hAnsi="仿宋_GB2312" w:eastAsia="仿宋_GB2312" w:cs="仿宋_GB2312"/>
          <w:sz w:val="32"/>
          <w:szCs w:val="32"/>
          <w:lang w:val="en-US" w:eastAsia="zh-CN"/>
        </w:rPr>
        <w:t>2.52，比去年同期缩小0.5</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从收入来源看，城镇常住居民工资性收入、经营净收入、财产净收入、转移净收入分别增长</w:t>
      </w:r>
      <w:r>
        <w:rPr>
          <w:rFonts w:hint="eastAsia" w:ascii="仿宋_GB2312" w:hAnsi="仿宋_GB2312" w:eastAsia="仿宋_GB2312" w:cs="仿宋_GB2312"/>
          <w:sz w:val="32"/>
          <w:szCs w:val="32"/>
          <w:lang w:val="en-US" w:eastAsia="zh-CN"/>
        </w:rPr>
        <w:t>5.6%、5.4%、2.5%、1.8%</w:t>
      </w:r>
      <w:r>
        <w:rPr>
          <w:rFonts w:hint="eastAsia" w:ascii="仿宋_GB2312" w:hAnsi="仿宋_GB2312" w:eastAsia="仿宋_GB2312" w:cs="仿宋_GB2312"/>
          <w:sz w:val="32"/>
          <w:szCs w:val="32"/>
          <w:lang w:eastAsia="zh-CN"/>
        </w:rPr>
        <w:t>；农村牧区常住居民工资性收入、经营净收入、财产净收入、转移净收入分别增长</w:t>
      </w:r>
      <w:r>
        <w:rPr>
          <w:rFonts w:hint="eastAsia" w:ascii="仿宋_GB2312" w:hAnsi="仿宋_GB2312" w:eastAsia="仿宋_GB2312" w:cs="仿宋_GB2312"/>
          <w:sz w:val="32"/>
          <w:szCs w:val="32"/>
          <w:lang w:val="en-US" w:eastAsia="zh-CN"/>
        </w:rPr>
        <w:t>5.4%、7.8%、4.6%、3.8%。</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总体来看，上半年全旗经济企稳向好，既定政策显效发力，积极因素不断累积，进一步夯实高质量发展基础。但宏观经济环境和基数影响存在波动，持续增长的基础尚不牢固，在稳工业、促消费、转方式、调结构、增动能、优服务过程中仍需下更大功夫。下阶段，要认真落实自治区党委十一届六次全会、市委五届六次全会和旗委十六届九次全会精神，围绕“闯新路、走在前，建设核心区、冲刺百强县”奋斗目标，铆劲补短板、发力添优势，扎实推动经济实现质的有效提升和量的合理增长，努力促进全旗经济运行整体迈上新台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wOGRhMGNkNTRlNzhmNGNkMmQ4NDZmMWNhOTU5Y2MifQ=="/>
  </w:docVars>
  <w:rsids>
    <w:rsidRoot w:val="6B693752"/>
    <w:rsid w:val="00182408"/>
    <w:rsid w:val="004C2995"/>
    <w:rsid w:val="004E36C9"/>
    <w:rsid w:val="00940130"/>
    <w:rsid w:val="013E1205"/>
    <w:rsid w:val="01922F90"/>
    <w:rsid w:val="01EB2A78"/>
    <w:rsid w:val="02386B71"/>
    <w:rsid w:val="02AA0D69"/>
    <w:rsid w:val="032A1043"/>
    <w:rsid w:val="035A6DA7"/>
    <w:rsid w:val="04314C10"/>
    <w:rsid w:val="05112631"/>
    <w:rsid w:val="059F3725"/>
    <w:rsid w:val="05F06754"/>
    <w:rsid w:val="06993B4F"/>
    <w:rsid w:val="06F057A9"/>
    <w:rsid w:val="075A67B0"/>
    <w:rsid w:val="0769153C"/>
    <w:rsid w:val="07B44433"/>
    <w:rsid w:val="07BE4341"/>
    <w:rsid w:val="089503E9"/>
    <w:rsid w:val="09B63701"/>
    <w:rsid w:val="0A166152"/>
    <w:rsid w:val="0AA77B5F"/>
    <w:rsid w:val="0AAC5968"/>
    <w:rsid w:val="0AB512EB"/>
    <w:rsid w:val="0AD44745"/>
    <w:rsid w:val="0BC757D8"/>
    <w:rsid w:val="0C2F7BAB"/>
    <w:rsid w:val="0C42384E"/>
    <w:rsid w:val="0C790607"/>
    <w:rsid w:val="0C8F1A86"/>
    <w:rsid w:val="0CF54541"/>
    <w:rsid w:val="0D4F580F"/>
    <w:rsid w:val="0EAD49A7"/>
    <w:rsid w:val="0EB14CF1"/>
    <w:rsid w:val="0F027B90"/>
    <w:rsid w:val="0F9242C9"/>
    <w:rsid w:val="11B275D2"/>
    <w:rsid w:val="11EF3B46"/>
    <w:rsid w:val="11F861B1"/>
    <w:rsid w:val="12160215"/>
    <w:rsid w:val="1279527F"/>
    <w:rsid w:val="127F08FD"/>
    <w:rsid w:val="13643C41"/>
    <w:rsid w:val="13B73ED4"/>
    <w:rsid w:val="13C829C2"/>
    <w:rsid w:val="13D84ACC"/>
    <w:rsid w:val="148B7132"/>
    <w:rsid w:val="15414E96"/>
    <w:rsid w:val="1556235A"/>
    <w:rsid w:val="15F5735F"/>
    <w:rsid w:val="160446B0"/>
    <w:rsid w:val="169272F8"/>
    <w:rsid w:val="16D052C7"/>
    <w:rsid w:val="17505438"/>
    <w:rsid w:val="17922CC8"/>
    <w:rsid w:val="186F34EE"/>
    <w:rsid w:val="19762565"/>
    <w:rsid w:val="1A700747"/>
    <w:rsid w:val="1A99383F"/>
    <w:rsid w:val="1B9B6C3D"/>
    <w:rsid w:val="1CDF1D67"/>
    <w:rsid w:val="1CE27425"/>
    <w:rsid w:val="1DAA4421"/>
    <w:rsid w:val="1DDB7EF2"/>
    <w:rsid w:val="1E390005"/>
    <w:rsid w:val="1E7C2B60"/>
    <w:rsid w:val="1F916A48"/>
    <w:rsid w:val="1FED72F9"/>
    <w:rsid w:val="229639BB"/>
    <w:rsid w:val="23104D97"/>
    <w:rsid w:val="232324BD"/>
    <w:rsid w:val="23B67043"/>
    <w:rsid w:val="23C05E87"/>
    <w:rsid w:val="2419374B"/>
    <w:rsid w:val="24670301"/>
    <w:rsid w:val="24CC25E3"/>
    <w:rsid w:val="24D25EE9"/>
    <w:rsid w:val="250A4A85"/>
    <w:rsid w:val="25113A6D"/>
    <w:rsid w:val="256E541F"/>
    <w:rsid w:val="25F126C2"/>
    <w:rsid w:val="284A1218"/>
    <w:rsid w:val="28621092"/>
    <w:rsid w:val="28A75628"/>
    <w:rsid w:val="29230750"/>
    <w:rsid w:val="295B5CC4"/>
    <w:rsid w:val="295D54F0"/>
    <w:rsid w:val="296021C7"/>
    <w:rsid w:val="29D52EFD"/>
    <w:rsid w:val="2A3A6F77"/>
    <w:rsid w:val="2ABF2E67"/>
    <w:rsid w:val="2B4E4584"/>
    <w:rsid w:val="2C360E1F"/>
    <w:rsid w:val="2C497850"/>
    <w:rsid w:val="2C867145"/>
    <w:rsid w:val="2CB467D4"/>
    <w:rsid w:val="2D0D6DF9"/>
    <w:rsid w:val="2DAD4F6A"/>
    <w:rsid w:val="2DAE5624"/>
    <w:rsid w:val="2EA6182F"/>
    <w:rsid w:val="2F046ACE"/>
    <w:rsid w:val="2F163602"/>
    <w:rsid w:val="2F230D17"/>
    <w:rsid w:val="2FFC10AE"/>
    <w:rsid w:val="301B29A0"/>
    <w:rsid w:val="304738C1"/>
    <w:rsid w:val="30922E6E"/>
    <w:rsid w:val="30B645B9"/>
    <w:rsid w:val="30F96EB1"/>
    <w:rsid w:val="34841BCB"/>
    <w:rsid w:val="3494130E"/>
    <w:rsid w:val="34CD25C7"/>
    <w:rsid w:val="34F622C1"/>
    <w:rsid w:val="3618745C"/>
    <w:rsid w:val="366024B5"/>
    <w:rsid w:val="37643A0E"/>
    <w:rsid w:val="37BC58E6"/>
    <w:rsid w:val="388A0845"/>
    <w:rsid w:val="38992D8A"/>
    <w:rsid w:val="3994352C"/>
    <w:rsid w:val="3AC24199"/>
    <w:rsid w:val="3AEC2E53"/>
    <w:rsid w:val="3AFF1268"/>
    <w:rsid w:val="3B78378E"/>
    <w:rsid w:val="3BF87280"/>
    <w:rsid w:val="3D736C38"/>
    <w:rsid w:val="3D851F59"/>
    <w:rsid w:val="3DC94AA2"/>
    <w:rsid w:val="3DE94B54"/>
    <w:rsid w:val="3E5B0213"/>
    <w:rsid w:val="3E8A3B6C"/>
    <w:rsid w:val="3EDF3E59"/>
    <w:rsid w:val="3EE13BE0"/>
    <w:rsid w:val="3F0D219F"/>
    <w:rsid w:val="3FEB117D"/>
    <w:rsid w:val="3FF84DEE"/>
    <w:rsid w:val="4013025E"/>
    <w:rsid w:val="40C900A5"/>
    <w:rsid w:val="410014DD"/>
    <w:rsid w:val="412F7023"/>
    <w:rsid w:val="4155302C"/>
    <w:rsid w:val="4214632B"/>
    <w:rsid w:val="423C2548"/>
    <w:rsid w:val="42B9678D"/>
    <w:rsid w:val="42DC1CC4"/>
    <w:rsid w:val="43440E14"/>
    <w:rsid w:val="43F92648"/>
    <w:rsid w:val="45012D7B"/>
    <w:rsid w:val="45130BEA"/>
    <w:rsid w:val="45900801"/>
    <w:rsid w:val="467E224C"/>
    <w:rsid w:val="47557137"/>
    <w:rsid w:val="479755E5"/>
    <w:rsid w:val="47C02742"/>
    <w:rsid w:val="485853A8"/>
    <w:rsid w:val="48EC789E"/>
    <w:rsid w:val="48F141C8"/>
    <w:rsid w:val="49C31518"/>
    <w:rsid w:val="4BCD6092"/>
    <w:rsid w:val="4C672C31"/>
    <w:rsid w:val="4C880430"/>
    <w:rsid w:val="4CB115E2"/>
    <w:rsid w:val="4CFA2D64"/>
    <w:rsid w:val="4DDC4F4B"/>
    <w:rsid w:val="4E2C51A7"/>
    <w:rsid w:val="4F1A0A66"/>
    <w:rsid w:val="4FFE763F"/>
    <w:rsid w:val="50593A6B"/>
    <w:rsid w:val="50A90B01"/>
    <w:rsid w:val="511F08AE"/>
    <w:rsid w:val="51A35B7E"/>
    <w:rsid w:val="51A6505C"/>
    <w:rsid w:val="522F3F11"/>
    <w:rsid w:val="52716E5B"/>
    <w:rsid w:val="52B1638C"/>
    <w:rsid w:val="52FC4B82"/>
    <w:rsid w:val="53134998"/>
    <w:rsid w:val="535F1038"/>
    <w:rsid w:val="5470323B"/>
    <w:rsid w:val="54774436"/>
    <w:rsid w:val="54C71A86"/>
    <w:rsid w:val="557811D1"/>
    <w:rsid w:val="55A54254"/>
    <w:rsid w:val="55D27D70"/>
    <w:rsid w:val="55FA6617"/>
    <w:rsid w:val="56CB5EEA"/>
    <w:rsid w:val="57AD0B6B"/>
    <w:rsid w:val="58692CBA"/>
    <w:rsid w:val="586A0EC5"/>
    <w:rsid w:val="5A8F4588"/>
    <w:rsid w:val="5AF66E2A"/>
    <w:rsid w:val="5B053118"/>
    <w:rsid w:val="5B524770"/>
    <w:rsid w:val="5B6B0AF7"/>
    <w:rsid w:val="5D995F07"/>
    <w:rsid w:val="5DD72F10"/>
    <w:rsid w:val="5DFE0DCC"/>
    <w:rsid w:val="5E00780A"/>
    <w:rsid w:val="5E566A95"/>
    <w:rsid w:val="5EE71D45"/>
    <w:rsid w:val="5F1F11CC"/>
    <w:rsid w:val="5F6B1470"/>
    <w:rsid w:val="5F9C0E7E"/>
    <w:rsid w:val="60514A1D"/>
    <w:rsid w:val="60EB1499"/>
    <w:rsid w:val="61240105"/>
    <w:rsid w:val="612D5CF1"/>
    <w:rsid w:val="613B04D0"/>
    <w:rsid w:val="61EC5A3C"/>
    <w:rsid w:val="63427E4C"/>
    <w:rsid w:val="63C81489"/>
    <w:rsid w:val="64010631"/>
    <w:rsid w:val="64591E34"/>
    <w:rsid w:val="64E5533B"/>
    <w:rsid w:val="672801C0"/>
    <w:rsid w:val="67354616"/>
    <w:rsid w:val="67724F75"/>
    <w:rsid w:val="67936B3E"/>
    <w:rsid w:val="68550B65"/>
    <w:rsid w:val="686C30CD"/>
    <w:rsid w:val="698E0A7B"/>
    <w:rsid w:val="6AC83F19"/>
    <w:rsid w:val="6B693752"/>
    <w:rsid w:val="6BC545B9"/>
    <w:rsid w:val="6BD5670F"/>
    <w:rsid w:val="6CB53E38"/>
    <w:rsid w:val="6CC37104"/>
    <w:rsid w:val="6D064F17"/>
    <w:rsid w:val="6D2D20B0"/>
    <w:rsid w:val="6D43101E"/>
    <w:rsid w:val="6D5D505E"/>
    <w:rsid w:val="6DC03A04"/>
    <w:rsid w:val="6DD70A69"/>
    <w:rsid w:val="6E7E209B"/>
    <w:rsid w:val="6F16504C"/>
    <w:rsid w:val="6F810989"/>
    <w:rsid w:val="6FF2313D"/>
    <w:rsid w:val="70095D9A"/>
    <w:rsid w:val="70223A22"/>
    <w:rsid w:val="70E1792A"/>
    <w:rsid w:val="71A22905"/>
    <w:rsid w:val="71BF3E0C"/>
    <w:rsid w:val="72DB30A8"/>
    <w:rsid w:val="73010A74"/>
    <w:rsid w:val="73C76ADC"/>
    <w:rsid w:val="741A2522"/>
    <w:rsid w:val="741B0EB4"/>
    <w:rsid w:val="75541B5D"/>
    <w:rsid w:val="768F0D80"/>
    <w:rsid w:val="77106CCA"/>
    <w:rsid w:val="77F71C38"/>
    <w:rsid w:val="78471391"/>
    <w:rsid w:val="787B5781"/>
    <w:rsid w:val="79542C27"/>
    <w:rsid w:val="79C503BE"/>
    <w:rsid w:val="7A191114"/>
    <w:rsid w:val="7A1E35BA"/>
    <w:rsid w:val="7A315620"/>
    <w:rsid w:val="7A7466C1"/>
    <w:rsid w:val="7AAC6370"/>
    <w:rsid w:val="7BCB7E9E"/>
    <w:rsid w:val="7C3A0345"/>
    <w:rsid w:val="7CCB71F0"/>
    <w:rsid w:val="7DFE7752"/>
    <w:rsid w:val="7E4412CF"/>
    <w:rsid w:val="7E6803F9"/>
    <w:rsid w:val="7EEF57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1626</Words>
  <Characters>2021</Characters>
  <Lines>0</Lines>
  <Paragraphs>0</Paragraphs>
  <TotalTime>38</TotalTime>
  <ScaleCrop>false</ScaleCrop>
  <LinksUpToDate>false</LinksUpToDate>
  <CharactersWithSpaces>2021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2021-10-18T08:31:00Z</dcterms:created>
  <dc:creator>0</dc:creator>
  <cp:lastModifiedBy>ly</cp:lastModifiedBy>
  <cp:lastPrinted>2022-10-18T08:50:00Z</cp:lastPrinted>
  <dcterms:modified xsi:type="dcterms:W3CDTF">2023-07-22T01:58:03Z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08DB4E1524D64F2FA8BBB3938E509F47_13</vt:lpwstr>
  </property>
</Properties>
</file>