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9"/>
        <w:widowControl/>
      </w:pPr>
      <w:r>
        <w:t xml:space="preserve"> </w:t>
      </w:r>
    </w:p>
    <w:p>
      <w:pPr>
        <w:spacing w:before="184" w:line="214" w:lineRule="auto"/>
        <w:ind w:left="584" w:right="11" w:hanging="567"/>
        <w:jc w:val="center"/>
        <w:rPr>
          <w:rFonts w:ascii="微软雅黑" w:hAnsi="微软雅黑" w:eastAsia="微软雅黑" w:cs="微软雅黑"/>
          <w:spacing w:val="6"/>
          <w:sz w:val="43"/>
          <w:szCs w:val="43"/>
        </w:rPr>
      </w:pPr>
      <w:r>
        <w:rPr>
          <w:rFonts w:ascii="微软雅黑" w:hAnsi="微软雅黑" w:eastAsia="微软雅黑" w:cs="微软雅黑"/>
          <w:spacing w:val="12"/>
          <w:sz w:val="43"/>
          <w:szCs w:val="43"/>
        </w:rPr>
        <w:t>20</w:t>
      </w:r>
      <w:r>
        <w:rPr>
          <w:rFonts w:ascii="微软雅黑" w:hAnsi="微软雅黑" w:eastAsia="微软雅黑" w:cs="微软雅黑"/>
          <w:spacing w:val="6"/>
          <w:sz w:val="43"/>
          <w:szCs w:val="43"/>
        </w:rPr>
        <w:t>2</w:t>
      </w:r>
      <w:r>
        <w:rPr>
          <w:rFonts w:hint="eastAsia" w:ascii="微软雅黑" w:hAnsi="微软雅黑" w:eastAsia="微软雅黑" w:cs="微软雅黑"/>
          <w:spacing w:val="6"/>
          <w:sz w:val="43"/>
          <w:szCs w:val="43"/>
        </w:rPr>
        <w:t>2</w:t>
      </w:r>
      <w:r>
        <w:rPr>
          <w:rFonts w:ascii="微软雅黑" w:hAnsi="微软雅黑" w:eastAsia="微软雅黑" w:cs="微软雅黑"/>
          <w:spacing w:val="6"/>
          <w:sz w:val="43"/>
          <w:szCs w:val="43"/>
        </w:rPr>
        <w:t>年度</w:t>
      </w:r>
      <w:r>
        <w:rPr>
          <w:rFonts w:hint="eastAsia" w:ascii="微软雅黑" w:hAnsi="微软雅黑" w:eastAsia="微软雅黑" w:cs="微软雅黑"/>
          <w:spacing w:val="6"/>
          <w:sz w:val="43"/>
          <w:szCs w:val="43"/>
        </w:rPr>
        <w:t>乌审旗无定河镇五件</w:t>
      </w:r>
      <w:r>
        <w:rPr>
          <w:rFonts w:ascii="微软雅黑" w:hAnsi="微软雅黑" w:eastAsia="微软雅黑" w:cs="微软雅黑"/>
          <w:spacing w:val="6"/>
          <w:sz w:val="43"/>
          <w:szCs w:val="43"/>
        </w:rPr>
        <w:t>民生实事</w:t>
      </w:r>
    </w:p>
    <w:p>
      <w:pPr>
        <w:spacing w:before="184" w:line="214" w:lineRule="auto"/>
        <w:ind w:left="584" w:right="11" w:hanging="567"/>
        <w:jc w:val="center"/>
        <w:outlineLvl w:val="0"/>
        <w:rPr>
          <w:rFonts w:ascii="微软雅黑" w:hAnsi="微软雅黑" w:eastAsia="微软雅黑" w:cs="微软雅黑"/>
          <w:spacing w:val="6"/>
          <w:sz w:val="43"/>
          <w:szCs w:val="43"/>
        </w:rPr>
      </w:pPr>
      <w:bookmarkStart w:id="0" w:name="_Toc5443"/>
      <w:bookmarkStart w:id="1" w:name="_Toc136699529"/>
      <w:bookmarkStart w:id="2" w:name="_Toc136102839"/>
      <w:bookmarkStart w:id="3" w:name="_Toc136701270"/>
      <w:bookmarkStart w:id="4" w:name="_Toc14416"/>
      <w:bookmarkStart w:id="5" w:name="_Toc136856253"/>
      <w:bookmarkStart w:id="6" w:name="_Toc136700738"/>
      <w:bookmarkStart w:id="7" w:name="_Toc136935360"/>
      <w:bookmarkStart w:id="8" w:name="_Toc136700274"/>
      <w:bookmarkStart w:id="9" w:name="_Toc13306"/>
      <w:r>
        <w:rPr>
          <w:rFonts w:hint="eastAsia" w:ascii="微软雅黑" w:hAnsi="微软雅黑" w:eastAsia="微软雅黑" w:cs="微软雅黑"/>
          <w:spacing w:val="6"/>
          <w:sz w:val="43"/>
          <w:szCs w:val="43"/>
        </w:rPr>
        <w:t>人大代表票决制</w:t>
      </w:r>
      <w:r>
        <w:rPr>
          <w:rFonts w:ascii="微软雅黑" w:hAnsi="微软雅黑" w:eastAsia="微软雅黑" w:cs="微软雅黑"/>
          <w:spacing w:val="6"/>
          <w:sz w:val="43"/>
          <w:szCs w:val="43"/>
        </w:rPr>
        <w:t>项</w:t>
      </w:r>
      <w:r>
        <w:rPr>
          <w:rFonts w:hint="eastAsia" w:ascii="微软雅黑" w:hAnsi="微软雅黑" w:eastAsia="微软雅黑" w:cs="微软雅黑"/>
          <w:spacing w:val="6"/>
          <w:sz w:val="43"/>
          <w:szCs w:val="43"/>
        </w:rPr>
        <w:t>目</w:t>
      </w:r>
      <w:bookmarkEnd w:id="0"/>
      <w:bookmarkEnd w:id="1"/>
      <w:bookmarkEnd w:id="2"/>
      <w:bookmarkEnd w:id="3"/>
      <w:bookmarkEnd w:id="4"/>
      <w:bookmarkEnd w:id="5"/>
      <w:bookmarkEnd w:id="6"/>
      <w:bookmarkEnd w:id="7"/>
      <w:bookmarkEnd w:id="8"/>
      <w:bookmarkEnd w:id="9"/>
    </w:p>
    <w:p>
      <w:pPr>
        <w:spacing w:before="184" w:line="214" w:lineRule="auto"/>
        <w:ind w:left="2413" w:right="11" w:hanging="2395"/>
        <w:jc w:val="center"/>
        <w:rPr>
          <w:rFonts w:ascii="微软雅黑" w:hAnsi="微软雅黑" w:eastAsia="微软雅黑" w:cs="微软雅黑"/>
          <w:sz w:val="43"/>
          <w:szCs w:val="43"/>
        </w:rPr>
      </w:pPr>
      <w:r>
        <w:rPr>
          <w:rFonts w:ascii="微软雅黑" w:hAnsi="微软雅黑" w:eastAsia="微软雅黑" w:cs="微软雅黑"/>
          <w:spacing w:val="26"/>
          <w:sz w:val="43"/>
          <w:szCs w:val="43"/>
        </w:rPr>
        <w:t>绩效评价报</w:t>
      </w:r>
      <w:r>
        <w:rPr>
          <w:rFonts w:ascii="微软雅黑" w:hAnsi="微软雅黑" w:eastAsia="微软雅黑" w:cs="微软雅黑"/>
          <w:spacing w:val="24"/>
          <w:sz w:val="43"/>
          <w:szCs w:val="43"/>
        </w:rPr>
        <w:t>告</w:t>
      </w:r>
    </w:p>
    <w:p>
      <w:pPr>
        <w:spacing w:line="242" w:lineRule="auto"/>
        <w:rPr>
          <w:rFonts w:ascii="Arial"/>
        </w:rPr>
      </w:pPr>
    </w:p>
    <w:p>
      <w:pPr>
        <w:spacing w:line="242" w:lineRule="auto"/>
        <w:rPr>
          <w:rFonts w:ascii="Arial"/>
        </w:rPr>
      </w:pPr>
    </w:p>
    <w:p>
      <w:pPr>
        <w:spacing w:line="242" w:lineRule="auto"/>
        <w:rPr>
          <w:rFonts w:ascii="Arial"/>
        </w:rPr>
      </w:pPr>
    </w:p>
    <w:p>
      <w:pPr>
        <w:spacing w:line="242" w:lineRule="auto"/>
        <w:rPr>
          <w:rFonts w:ascii="Arial"/>
        </w:rPr>
      </w:pPr>
    </w:p>
    <w:p>
      <w:pPr>
        <w:spacing w:line="242" w:lineRule="auto"/>
        <w:rPr>
          <w:rFonts w:ascii="Arial"/>
        </w:rPr>
      </w:pPr>
    </w:p>
    <w:p>
      <w:pPr>
        <w:spacing w:line="242"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bookmarkStart w:id="444" w:name="_GoBack"/>
    </w:p>
    <w:bookmarkEnd w:id="444"/>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line="243" w:lineRule="auto"/>
        <w:rPr>
          <w:rFonts w:ascii="Arial"/>
        </w:rPr>
      </w:pPr>
    </w:p>
    <w:p>
      <w:pPr>
        <w:spacing w:before="100" w:line="228" w:lineRule="auto"/>
        <w:ind w:left="665"/>
        <w:rPr>
          <w:rFonts w:ascii="黑体" w:hAnsi="黑体" w:eastAsia="黑体" w:cs="黑体"/>
          <w:sz w:val="31"/>
          <w:szCs w:val="31"/>
        </w:rPr>
      </w:pPr>
      <w:r>
        <w:rPr>
          <w:rFonts w:ascii="黑体" w:hAnsi="黑体" w:eastAsia="黑体" w:cs="黑体"/>
          <w:spacing w:val="15"/>
          <w:sz w:val="31"/>
          <w:szCs w:val="31"/>
        </w:rPr>
        <w:t>委</w:t>
      </w:r>
      <w:r>
        <w:rPr>
          <w:rFonts w:ascii="黑体" w:hAnsi="黑体" w:eastAsia="黑体" w:cs="黑体"/>
          <w:spacing w:val="8"/>
          <w:sz w:val="31"/>
          <w:szCs w:val="31"/>
        </w:rPr>
        <w:t>托单位：</w:t>
      </w:r>
      <w:r>
        <w:rPr>
          <w:rFonts w:hint="eastAsia" w:ascii="黑体" w:hAnsi="黑体" w:eastAsia="黑体" w:cs="黑体"/>
          <w:spacing w:val="8"/>
          <w:sz w:val="31"/>
          <w:szCs w:val="31"/>
        </w:rPr>
        <w:t>乌审旗</w:t>
      </w:r>
      <w:r>
        <w:rPr>
          <w:rFonts w:ascii="黑体" w:hAnsi="黑体" w:eastAsia="黑体" w:cs="黑体"/>
          <w:spacing w:val="8"/>
          <w:sz w:val="31"/>
          <w:szCs w:val="31"/>
        </w:rPr>
        <w:t>财政局</w:t>
      </w:r>
    </w:p>
    <w:p>
      <w:pPr>
        <w:spacing w:before="217" w:line="600" w:lineRule="exact"/>
        <w:ind w:left="661"/>
        <w:rPr>
          <w:rFonts w:ascii="黑体" w:hAnsi="黑体" w:eastAsia="黑体" w:cs="黑体"/>
          <w:sz w:val="31"/>
          <w:szCs w:val="31"/>
        </w:rPr>
      </w:pPr>
      <w:r>
        <w:rPr>
          <w:rFonts w:ascii="黑体" w:hAnsi="黑体" w:eastAsia="黑体" w:cs="黑体"/>
          <w:spacing w:val="15"/>
          <w:position w:val="21"/>
          <w:sz w:val="31"/>
          <w:szCs w:val="31"/>
        </w:rPr>
        <w:t>评</w:t>
      </w:r>
      <w:r>
        <w:rPr>
          <w:rFonts w:ascii="黑体" w:hAnsi="黑体" w:eastAsia="黑体" w:cs="黑体"/>
          <w:spacing w:val="9"/>
          <w:position w:val="21"/>
          <w:sz w:val="31"/>
          <w:szCs w:val="31"/>
        </w:rPr>
        <w:t>价机构：</w:t>
      </w:r>
      <w:r>
        <w:rPr>
          <w:rFonts w:hint="eastAsia" w:ascii="黑体" w:hAnsi="黑体" w:eastAsia="黑体" w:cs="黑体"/>
          <w:spacing w:val="9"/>
          <w:position w:val="21"/>
          <w:sz w:val="31"/>
          <w:szCs w:val="31"/>
        </w:rPr>
        <w:t>内蒙古星舟会计师事务所（普通合伙）</w:t>
      </w:r>
    </w:p>
    <w:p>
      <w:pPr>
        <w:spacing w:line="223" w:lineRule="auto"/>
        <w:ind w:left="2896"/>
        <w:rPr>
          <w:rFonts w:ascii="楷体" w:hAnsi="楷体" w:eastAsia="楷体" w:cs="楷体"/>
          <w:sz w:val="31"/>
          <w:szCs w:val="31"/>
        </w:rPr>
      </w:pPr>
      <w:r>
        <w:rPr>
          <w:rFonts w:ascii="楷体" w:hAnsi="楷体" w:eastAsia="楷体" w:cs="楷体"/>
          <w:spacing w:val="12"/>
          <w:sz w:val="31"/>
          <w:szCs w:val="31"/>
        </w:rPr>
        <w:t>二</w:t>
      </w:r>
      <w:r>
        <w:rPr>
          <w:rFonts w:ascii="宋体" w:hAnsi="宋体" w:cs="宋体"/>
          <w:spacing w:val="8"/>
          <w:sz w:val="31"/>
          <w:szCs w:val="31"/>
        </w:rPr>
        <w:t>〇</w:t>
      </w:r>
      <w:r>
        <w:rPr>
          <w:rFonts w:ascii="楷体" w:hAnsi="楷体" w:eastAsia="楷体" w:cs="楷体"/>
          <w:spacing w:val="8"/>
          <w:sz w:val="31"/>
          <w:szCs w:val="31"/>
        </w:rPr>
        <w:t>二</w:t>
      </w:r>
      <w:r>
        <w:rPr>
          <w:rFonts w:hint="eastAsia" w:ascii="楷体" w:hAnsi="楷体" w:eastAsia="楷体" w:cs="楷体"/>
          <w:spacing w:val="8"/>
          <w:sz w:val="31"/>
          <w:szCs w:val="31"/>
        </w:rPr>
        <w:t>三</w:t>
      </w:r>
      <w:r>
        <w:rPr>
          <w:rFonts w:ascii="楷体" w:hAnsi="楷体" w:eastAsia="楷体" w:cs="楷体"/>
          <w:spacing w:val="8"/>
          <w:sz w:val="31"/>
          <w:szCs w:val="31"/>
        </w:rPr>
        <w:t>年</w:t>
      </w:r>
      <w:r>
        <w:rPr>
          <w:rFonts w:hint="eastAsia" w:ascii="楷体" w:hAnsi="楷体" w:eastAsia="楷体" w:cs="楷体"/>
          <w:spacing w:val="8"/>
          <w:sz w:val="31"/>
          <w:szCs w:val="31"/>
        </w:rPr>
        <w:t>五</w:t>
      </w:r>
      <w:r>
        <w:rPr>
          <w:rFonts w:ascii="楷体" w:hAnsi="楷体" w:eastAsia="楷体" w:cs="楷体"/>
          <w:spacing w:val="8"/>
          <w:sz w:val="31"/>
          <w:szCs w:val="31"/>
        </w:rPr>
        <w:t>月</w:t>
      </w:r>
    </w:p>
    <w:p>
      <w:pPr>
        <w:sectPr>
          <w:pgSz w:w="11906" w:h="16839"/>
          <w:pgMar w:top="1431" w:right="1785" w:bottom="0" w:left="1785" w:header="0" w:footer="0" w:gutter="0"/>
          <w:cols w:space="720" w:num="1"/>
        </w:sectPr>
      </w:pPr>
    </w:p>
    <w:p>
      <w:pPr>
        <w:spacing w:before="102" w:line="221" w:lineRule="auto"/>
        <w:ind w:left="3519"/>
        <w:outlineLvl w:val="0"/>
        <w:rPr>
          <w:rFonts w:ascii="仿宋" w:hAnsi="仿宋" w:eastAsia="仿宋" w:cs="仿宋"/>
          <w:sz w:val="43"/>
          <w:szCs w:val="43"/>
          <w:highlight w:val="none"/>
        </w:rPr>
      </w:pPr>
      <w:bookmarkStart w:id="10" w:name="_Toc30017"/>
      <w:bookmarkStart w:id="11" w:name="_Toc27583"/>
      <w:bookmarkStart w:id="12" w:name="_Toc17961"/>
      <w:bookmarkStart w:id="13" w:name="_Toc19709"/>
      <w:bookmarkStart w:id="14" w:name="_Toc20929"/>
      <w:bookmarkStart w:id="15" w:name="_Toc136102840"/>
      <w:bookmarkStart w:id="16" w:name="_Toc4080"/>
      <w:bookmarkStart w:id="17" w:name="_Toc9"/>
      <w:bookmarkStart w:id="18" w:name="_Toc5971"/>
      <w:r>
        <w:rPr>
          <w:rFonts w:ascii="仿宋" w:hAnsi="仿宋" w:eastAsia="仿宋" w:cs="仿宋"/>
          <w:b/>
          <w:bCs/>
          <w:spacing w:val="10"/>
          <w:sz w:val="43"/>
          <w:szCs w:val="43"/>
          <w:highlight w:val="none"/>
        </w:rPr>
        <w:t>摘</w:t>
      </w:r>
      <w:r>
        <w:rPr>
          <w:rFonts w:ascii="仿宋" w:hAnsi="仿宋" w:eastAsia="仿宋" w:cs="仿宋"/>
          <w:b/>
          <w:bCs/>
          <w:spacing w:val="9"/>
          <w:sz w:val="43"/>
          <w:szCs w:val="43"/>
          <w:highlight w:val="none"/>
        </w:rPr>
        <w:t xml:space="preserve">  要</w:t>
      </w:r>
      <w:bookmarkEnd w:id="10"/>
      <w:bookmarkEnd w:id="11"/>
      <w:bookmarkEnd w:id="12"/>
      <w:bookmarkEnd w:id="13"/>
      <w:bookmarkEnd w:id="14"/>
      <w:bookmarkEnd w:id="15"/>
      <w:bookmarkEnd w:id="16"/>
      <w:bookmarkEnd w:id="17"/>
      <w:bookmarkEnd w:id="18"/>
    </w:p>
    <w:p>
      <w:pPr>
        <w:spacing w:before="227" w:line="360" w:lineRule="auto"/>
        <w:ind w:left="21" w:firstLine="608" w:firstLineChars="200"/>
        <w:rPr>
          <w:rFonts w:ascii="仿宋_GB2312" w:hAnsi="仿宋_GB2312" w:eastAsia="仿宋_GB2312" w:cs="仿宋_GB2312"/>
          <w:sz w:val="28"/>
          <w:szCs w:val="28"/>
          <w:highlight w:val="none"/>
        </w:rPr>
      </w:pPr>
      <w:r>
        <w:rPr>
          <w:rFonts w:hint="eastAsia" w:ascii="仿宋_GB2312" w:hAnsi="仿宋_GB2312" w:eastAsia="仿宋_GB2312" w:cs="仿宋_GB2312"/>
          <w:spacing w:val="12"/>
          <w:sz w:val="28"/>
          <w:szCs w:val="28"/>
          <w:highlight w:val="none"/>
        </w:rPr>
        <w:t>根据</w:t>
      </w:r>
      <w:r>
        <w:rPr>
          <w:rFonts w:hint="eastAsia" w:ascii="仿宋_GB2312" w:hAnsi="仿宋_GB2312" w:eastAsia="仿宋_GB2312" w:cs="仿宋_GB2312"/>
          <w:spacing w:val="6"/>
          <w:sz w:val="28"/>
          <w:szCs w:val="28"/>
          <w:highlight w:val="none"/>
        </w:rPr>
        <w:t>《鄂尔多斯市人民政府关于全面实施预算绩效管理的</w:t>
      </w:r>
      <w:r>
        <w:rPr>
          <w:rFonts w:hint="eastAsia" w:ascii="仿宋_GB2312" w:hAnsi="仿宋_GB2312" w:eastAsia="仿宋_GB2312" w:cs="仿宋_GB2312"/>
          <w:spacing w:val="-5"/>
          <w:sz w:val="28"/>
          <w:szCs w:val="28"/>
          <w:highlight w:val="none"/>
        </w:rPr>
        <w:t>意</w:t>
      </w:r>
      <w:r>
        <w:rPr>
          <w:rFonts w:hint="eastAsia" w:ascii="仿宋_GB2312" w:hAnsi="仿宋_GB2312" w:eastAsia="仿宋_GB2312" w:cs="仿宋_GB2312"/>
          <w:spacing w:val="-4"/>
          <w:sz w:val="28"/>
          <w:szCs w:val="28"/>
          <w:highlight w:val="none"/>
        </w:rPr>
        <w:t>见》(鄂府发〔2020〕52号) 和</w:t>
      </w:r>
      <w:r>
        <w:rPr>
          <w:rFonts w:hint="eastAsia" w:ascii="仿宋_GB2312" w:hAnsi="仿宋_GB2312" w:eastAsia="仿宋_GB2312" w:cs="仿宋_GB2312"/>
          <w:spacing w:val="6"/>
          <w:sz w:val="28"/>
          <w:szCs w:val="28"/>
          <w:highlight w:val="none"/>
        </w:rPr>
        <w:t>《鄂尔多斯市财政局关于印发&lt;鄂尔多斯市预算绩效管理实施办法</w:t>
      </w:r>
      <w:r>
        <w:rPr>
          <w:rFonts w:hint="eastAsia" w:ascii="仿宋_GB2312" w:hAnsi="仿宋_GB2312" w:eastAsia="仿宋_GB2312" w:cs="仿宋_GB2312"/>
          <w:spacing w:val="-4"/>
          <w:sz w:val="28"/>
          <w:szCs w:val="28"/>
          <w:highlight w:val="none"/>
        </w:rPr>
        <w:t>&gt;的通知》(鄂财绩规发〔2020〕2号)等文件的要求，受乌审旗财政局委托</w:t>
      </w:r>
      <w:r>
        <w:rPr>
          <w:rFonts w:hint="eastAsia" w:ascii="仿宋_GB2312" w:hAnsi="仿宋_GB2312" w:eastAsia="仿宋_GB2312" w:cs="仿宋_GB2312"/>
          <w:spacing w:val="-3"/>
          <w:sz w:val="28"/>
          <w:szCs w:val="28"/>
          <w:highlight w:val="none"/>
        </w:rPr>
        <w:t>，</w:t>
      </w:r>
      <w:r>
        <w:rPr>
          <w:rFonts w:hint="eastAsia" w:ascii="仿宋_GB2312" w:hAnsi="仿宋_GB2312" w:eastAsia="仿宋_GB2312" w:cs="仿宋_GB2312"/>
          <w:spacing w:val="-2"/>
          <w:sz w:val="28"/>
          <w:szCs w:val="28"/>
          <w:highlight w:val="none"/>
        </w:rPr>
        <w:t>内蒙古星舟会计师事务所（普通合伙）(以下简称“星舟事务所</w:t>
      </w:r>
      <w:r>
        <w:rPr>
          <w:rFonts w:hint="eastAsia" w:ascii="仿宋_GB2312" w:hAnsi="仿宋_GB2312" w:eastAsia="仿宋_GB2312" w:cs="仿宋_GB2312"/>
          <w:spacing w:val="5"/>
          <w:sz w:val="28"/>
          <w:szCs w:val="28"/>
          <w:highlight w:val="none"/>
        </w:rPr>
        <w:t>”)对2022年度乌审旗无定河镇五件民生实事人大代表票决制项目</w:t>
      </w:r>
      <w:r>
        <w:rPr>
          <w:rFonts w:hint="eastAsia" w:ascii="仿宋_GB2312" w:hAnsi="仿宋_GB2312" w:eastAsia="仿宋_GB2312" w:cs="仿宋_GB2312"/>
          <w:spacing w:val="1"/>
          <w:sz w:val="28"/>
          <w:szCs w:val="28"/>
          <w:highlight w:val="none"/>
        </w:rPr>
        <w:t>开展第三方独立评价，经过前期准备、自评材料审</w:t>
      </w:r>
      <w:r>
        <w:rPr>
          <w:rFonts w:hint="eastAsia" w:ascii="仿宋_GB2312" w:hAnsi="仿宋_GB2312" w:eastAsia="仿宋_GB2312" w:cs="仿宋_GB2312"/>
          <w:sz w:val="28"/>
          <w:szCs w:val="28"/>
          <w:highlight w:val="none"/>
        </w:rPr>
        <w:t>核、</w:t>
      </w:r>
      <w:r>
        <w:rPr>
          <w:rFonts w:hint="eastAsia" w:ascii="仿宋_GB2312" w:hAnsi="仿宋_GB2312" w:eastAsia="仿宋_GB2312" w:cs="仿宋_GB2312"/>
          <w:spacing w:val="1"/>
          <w:sz w:val="28"/>
          <w:szCs w:val="28"/>
          <w:highlight w:val="none"/>
        </w:rPr>
        <w:t>现场核查评价、综合分析评价等一系列程序，</w:t>
      </w:r>
      <w:r>
        <w:rPr>
          <w:rFonts w:hint="eastAsia" w:ascii="仿宋_GB2312" w:hAnsi="仿宋_GB2312" w:eastAsia="仿宋_GB2312" w:cs="仿宋_GB2312"/>
          <w:sz w:val="28"/>
          <w:szCs w:val="28"/>
          <w:highlight w:val="none"/>
        </w:rPr>
        <w:t>形成评价报告。</w:t>
      </w:r>
    </w:p>
    <w:p>
      <w:pPr>
        <w:spacing w:before="3" w:line="360" w:lineRule="auto"/>
        <w:ind w:right="96" w:firstLine="610" w:firstLineChars="200"/>
        <w:textAlignment w:val="baseline"/>
        <w:outlineLvl w:val="0"/>
        <w:rPr>
          <w:rFonts w:ascii="仿宋_GB2312" w:hAnsi="仿宋_GB2312" w:eastAsia="仿宋_GB2312" w:cs="仿宋_GB2312"/>
          <w:spacing w:val="12"/>
          <w:sz w:val="28"/>
          <w:szCs w:val="28"/>
          <w:highlight w:val="none"/>
        </w:rPr>
      </w:pPr>
      <w:bookmarkStart w:id="19" w:name="_Toc7667"/>
      <w:bookmarkStart w:id="20" w:name="_Toc10563"/>
      <w:bookmarkStart w:id="21" w:name="_Toc9491"/>
      <w:bookmarkStart w:id="22" w:name="_Toc136699531"/>
      <w:bookmarkStart w:id="23" w:name="_Toc20648"/>
      <w:bookmarkStart w:id="24" w:name="_Toc136935362"/>
      <w:bookmarkStart w:id="25" w:name="_Toc136102841"/>
      <w:bookmarkStart w:id="26" w:name="_Toc136701272"/>
      <w:bookmarkStart w:id="27" w:name="_Toc19846"/>
      <w:bookmarkStart w:id="28" w:name="_Toc1480"/>
      <w:bookmarkStart w:id="29" w:name="_Toc136856255"/>
      <w:bookmarkStart w:id="30" w:name="_Toc6186"/>
      <w:bookmarkStart w:id="31" w:name="_Toc17437"/>
      <w:bookmarkStart w:id="32" w:name="_Toc14858"/>
      <w:bookmarkStart w:id="33" w:name="_Toc11975"/>
      <w:r>
        <w:rPr>
          <w:rFonts w:hint="eastAsia" w:ascii="仿宋_GB2312" w:hAnsi="仿宋_GB2312" w:eastAsia="仿宋_GB2312" w:cs="仿宋_GB2312"/>
          <w:b/>
          <w:bCs/>
          <w:spacing w:val="12"/>
          <w:sz w:val="28"/>
          <w:szCs w:val="28"/>
          <w:highlight w:val="none"/>
        </w:rPr>
        <w:t>一、评价目的和范围</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spacing w:before="3" w:line="360" w:lineRule="auto"/>
        <w:ind w:right="96" w:firstLine="608" w:firstLineChars="200"/>
        <w:textAlignment w:val="baseline"/>
        <w:rPr>
          <w:rFonts w:ascii="仿宋_GB2312" w:hAnsi="仿宋_GB2312" w:eastAsia="仿宋_GB2312" w:cs="仿宋_GB2312"/>
          <w:spacing w:val="11"/>
          <w:sz w:val="28"/>
          <w:szCs w:val="28"/>
          <w:highlight w:val="none"/>
        </w:rPr>
      </w:pPr>
      <w:r>
        <w:rPr>
          <w:rFonts w:hint="eastAsia" w:ascii="仿宋_GB2312" w:hAnsi="仿宋_GB2312" w:eastAsia="仿宋_GB2312" w:cs="仿宋_GB2312"/>
          <w:spacing w:val="12"/>
          <w:sz w:val="28"/>
          <w:szCs w:val="28"/>
          <w:highlight w:val="none"/>
        </w:rPr>
        <w:t>本</w:t>
      </w:r>
      <w:r>
        <w:rPr>
          <w:rFonts w:hint="eastAsia" w:ascii="仿宋_GB2312" w:hAnsi="仿宋_GB2312" w:eastAsia="仿宋_GB2312" w:cs="仿宋_GB2312"/>
          <w:spacing w:val="6"/>
          <w:sz w:val="28"/>
          <w:szCs w:val="28"/>
          <w:highlight w:val="none"/>
        </w:rPr>
        <w:t>项目的评价目的是全面检验财政预算资金使用绩效，考核预算</w:t>
      </w:r>
      <w:r>
        <w:rPr>
          <w:rFonts w:hint="eastAsia" w:ascii="仿宋_GB2312" w:hAnsi="仿宋_GB2312" w:eastAsia="仿宋_GB2312" w:cs="仿宋_GB2312"/>
          <w:spacing w:val="12"/>
          <w:sz w:val="28"/>
          <w:szCs w:val="28"/>
          <w:highlight w:val="none"/>
        </w:rPr>
        <w:t>资</w:t>
      </w:r>
      <w:r>
        <w:rPr>
          <w:rFonts w:hint="eastAsia" w:ascii="仿宋_GB2312" w:hAnsi="仿宋_GB2312" w:eastAsia="仿宋_GB2312" w:cs="仿宋_GB2312"/>
          <w:spacing w:val="9"/>
          <w:sz w:val="28"/>
          <w:szCs w:val="28"/>
          <w:highlight w:val="none"/>
        </w:rPr>
        <w:t>金预期绩效目标的实现程度、支出效率和综合效果，进一</w:t>
      </w: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pacing w:val="11"/>
          <w:sz w:val="28"/>
          <w:szCs w:val="28"/>
          <w:highlight w:val="none"/>
        </w:rPr>
        <w:t>步提高财政支出的管理水平。本项目评价范围是2022年</w:t>
      </w:r>
      <w:r>
        <w:rPr>
          <w:rFonts w:hint="eastAsia" w:ascii="仿宋_GB2312" w:hAnsi="仿宋_GB2312" w:eastAsia="仿宋_GB2312" w:cs="仿宋_GB2312"/>
          <w:spacing w:val="6"/>
          <w:sz w:val="28"/>
          <w:szCs w:val="28"/>
          <w:highlight w:val="none"/>
        </w:rPr>
        <w:t>度乌审旗无定河镇五件民生实事人大代表票决制项目，资金预算为1043万元。根据既定指标体系，经综合各项因素，评定2022年度乌审旗无定河镇五件民生实事人大代表票决制项目财政资金使用整体绩效得分为</w:t>
      </w:r>
      <w:r>
        <w:rPr>
          <w:rFonts w:ascii="仿宋_GB2312" w:hAnsi="仿宋_GB2312" w:eastAsia="仿宋_GB2312" w:cs="仿宋_GB2312"/>
          <w:spacing w:val="6"/>
          <w:sz w:val="28"/>
          <w:szCs w:val="28"/>
          <w:highlight w:val="none"/>
        </w:rPr>
        <w:t>84.</w:t>
      </w:r>
      <w:r>
        <w:rPr>
          <w:rFonts w:hint="eastAsia" w:ascii="仿宋_GB2312" w:hAnsi="仿宋_GB2312" w:eastAsia="仿宋_GB2312" w:cs="仿宋_GB2312"/>
          <w:spacing w:val="6"/>
          <w:sz w:val="28"/>
          <w:szCs w:val="28"/>
          <w:highlight w:val="none"/>
        </w:rPr>
        <w:t>19分，等级为“良”。</w:t>
      </w:r>
    </w:p>
    <w:p>
      <w:pPr>
        <w:spacing w:before="3" w:line="360" w:lineRule="auto"/>
        <w:ind w:right="96" w:firstLine="606" w:firstLineChars="200"/>
        <w:textAlignment w:val="baseline"/>
        <w:outlineLvl w:val="0"/>
        <w:rPr>
          <w:rFonts w:ascii="仿宋_GB2312" w:hAnsi="仿宋_GB2312" w:eastAsia="仿宋_GB2312" w:cs="仿宋_GB2312"/>
          <w:spacing w:val="11"/>
          <w:sz w:val="28"/>
          <w:szCs w:val="28"/>
          <w:highlight w:val="none"/>
        </w:rPr>
      </w:pPr>
      <w:bookmarkStart w:id="34" w:name="_Toc136699532"/>
      <w:bookmarkStart w:id="35" w:name="_Toc136701273"/>
      <w:bookmarkStart w:id="36" w:name="_Toc17398"/>
      <w:bookmarkStart w:id="37" w:name="_Toc31312"/>
      <w:bookmarkStart w:id="38" w:name="_Toc24279"/>
      <w:bookmarkStart w:id="39" w:name="_Toc136935363"/>
      <w:bookmarkStart w:id="40" w:name="_Toc28224"/>
      <w:bookmarkStart w:id="41" w:name="_Toc136856256"/>
      <w:bookmarkStart w:id="42" w:name="_Toc25245"/>
      <w:bookmarkStart w:id="43" w:name="_Toc16444"/>
      <w:bookmarkStart w:id="44" w:name="_Toc136102842"/>
      <w:bookmarkStart w:id="45" w:name="_Toc32353"/>
      <w:bookmarkStart w:id="46" w:name="_Toc22879"/>
      <w:bookmarkStart w:id="47" w:name="_Toc11094"/>
      <w:bookmarkStart w:id="48" w:name="_Toc14171"/>
      <w:r>
        <w:rPr>
          <w:rFonts w:hint="eastAsia" w:ascii="仿宋_GB2312" w:hAnsi="仿宋_GB2312" w:eastAsia="仿宋_GB2312" w:cs="仿宋_GB2312"/>
          <w:b/>
          <w:bCs/>
          <w:spacing w:val="11"/>
          <w:sz w:val="28"/>
          <w:szCs w:val="28"/>
          <w:highlight w:val="none"/>
        </w:rPr>
        <w:t>二、评价结论</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spacing w:before="3" w:line="360" w:lineRule="auto"/>
        <w:ind w:right="96" w:firstLine="604" w:firstLineChars="200"/>
        <w:textAlignment w:val="baseline"/>
        <w:rPr>
          <w:rFonts w:ascii="仿宋_GB2312" w:hAnsi="仿宋_GB2312" w:eastAsia="仿宋_GB2312" w:cs="仿宋_GB2312"/>
          <w:spacing w:val="-17"/>
          <w:sz w:val="28"/>
          <w:szCs w:val="28"/>
          <w:highlight w:val="none"/>
        </w:rPr>
      </w:pPr>
      <w:r>
        <w:rPr>
          <w:rFonts w:hint="eastAsia" w:ascii="仿宋_GB2312" w:hAnsi="仿宋_GB2312" w:eastAsia="仿宋_GB2312" w:cs="仿宋_GB2312"/>
          <w:spacing w:val="11"/>
          <w:sz w:val="28"/>
          <w:szCs w:val="28"/>
          <w:highlight w:val="none"/>
        </w:rPr>
        <w:t>根据既定指标体系，经综合各项因素，评定2022</w:t>
      </w:r>
      <w:r>
        <w:rPr>
          <w:rFonts w:hint="eastAsia" w:ascii="仿宋_GB2312" w:hAnsi="仿宋_GB2312" w:eastAsia="仿宋_GB2312" w:cs="仿宋_GB2312"/>
          <w:spacing w:val="9"/>
          <w:sz w:val="28"/>
          <w:szCs w:val="28"/>
          <w:highlight w:val="none"/>
        </w:rPr>
        <w:t>年</w:t>
      </w:r>
      <w:r>
        <w:rPr>
          <w:rFonts w:hint="eastAsia" w:ascii="仿宋_GB2312" w:hAnsi="仿宋_GB2312" w:eastAsia="仿宋_GB2312" w:cs="仿宋_GB2312"/>
          <w:spacing w:val="3"/>
          <w:sz w:val="28"/>
          <w:szCs w:val="28"/>
          <w:highlight w:val="none"/>
        </w:rPr>
        <w:t>度乌审旗无定河镇五件民生实事人大代表票决制项目财政</w:t>
      </w:r>
      <w:r>
        <w:rPr>
          <w:rFonts w:hint="eastAsia" w:ascii="仿宋_GB2312" w:hAnsi="仿宋_GB2312" w:eastAsia="仿宋_GB2312" w:cs="仿宋_GB2312"/>
          <w:spacing w:val="5"/>
          <w:sz w:val="28"/>
          <w:szCs w:val="28"/>
          <w:highlight w:val="none"/>
        </w:rPr>
        <w:t>资金</w:t>
      </w:r>
      <w:r>
        <w:rPr>
          <w:rFonts w:hint="eastAsia" w:ascii="仿宋_GB2312" w:hAnsi="仿宋_GB2312" w:eastAsia="仿宋_GB2312" w:cs="仿宋_GB2312"/>
          <w:spacing w:val="3"/>
          <w:sz w:val="28"/>
          <w:szCs w:val="28"/>
          <w:highlight w:val="none"/>
        </w:rPr>
        <w:t>使用整体绩效得分为</w:t>
      </w:r>
      <w:r>
        <w:rPr>
          <w:rFonts w:ascii="仿宋_GB2312" w:hAnsi="仿宋_GB2312" w:eastAsia="仿宋_GB2312" w:cs="仿宋_GB2312"/>
          <w:spacing w:val="3"/>
          <w:sz w:val="28"/>
          <w:szCs w:val="28"/>
          <w:highlight w:val="none"/>
        </w:rPr>
        <w:t>84.19</w:t>
      </w:r>
      <w:r>
        <w:rPr>
          <w:rFonts w:hint="eastAsia" w:ascii="仿宋_GB2312" w:hAnsi="仿宋_GB2312" w:eastAsia="仿宋_GB2312" w:cs="仿宋_GB2312"/>
          <w:spacing w:val="3"/>
          <w:sz w:val="28"/>
          <w:szCs w:val="28"/>
          <w:highlight w:val="none"/>
        </w:rPr>
        <w:t>分</w:t>
      </w:r>
      <w:r>
        <w:rPr>
          <w:rFonts w:hint="eastAsia" w:ascii="仿宋_GB2312" w:hAnsi="仿宋_GB2312" w:eastAsia="仿宋_GB2312" w:cs="仿宋_GB2312"/>
          <w:sz w:val="28"/>
          <w:szCs w:val="28"/>
          <w:highlight w:val="none"/>
        </w:rPr>
        <w:t>，等</w:t>
      </w:r>
      <w:r>
        <w:rPr>
          <w:rFonts w:hint="eastAsia" w:ascii="仿宋_GB2312" w:hAnsi="仿宋_GB2312" w:eastAsia="仿宋_GB2312" w:cs="仿宋_GB2312"/>
          <w:spacing w:val="-17"/>
          <w:sz w:val="28"/>
          <w:szCs w:val="28"/>
          <w:highlight w:val="none"/>
        </w:rPr>
        <w:t>级为“良”。</w:t>
      </w:r>
    </w:p>
    <w:p>
      <w:pPr>
        <w:pStyle w:val="2"/>
        <w:rPr>
          <w:highlight w:val="none"/>
        </w:rPr>
      </w:pPr>
    </w:p>
    <w:tbl>
      <w:tblPr>
        <w:tblStyle w:val="23"/>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2050"/>
        <w:gridCol w:w="2060"/>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一级指标</w:t>
            </w:r>
          </w:p>
        </w:tc>
        <w:tc>
          <w:tcPr>
            <w:tcW w:w="2050"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满分分值</w:t>
            </w:r>
          </w:p>
        </w:tc>
        <w:tc>
          <w:tcPr>
            <w:tcW w:w="2060"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评价得分</w:t>
            </w:r>
          </w:p>
        </w:tc>
        <w:tc>
          <w:tcPr>
            <w:tcW w:w="2069" w:type="dxa"/>
            <w:vAlign w:val="top"/>
          </w:tcPr>
          <w:p>
            <w:pPr>
              <w:jc w:val="center"/>
              <w:rPr>
                <w:rFonts w:ascii="仿宋" w:hAnsi="仿宋" w:eastAsia="仿宋" w:cs="仿宋"/>
                <w:b/>
                <w:bCs/>
                <w:sz w:val="24"/>
                <w:highlight w:val="none"/>
              </w:rPr>
            </w:pPr>
            <w:r>
              <w:rPr>
                <w:rFonts w:hint="eastAsia" w:ascii="仿宋" w:hAnsi="仿宋" w:eastAsia="仿宋" w:cs="仿宋"/>
                <w:b/>
                <w:bCs/>
                <w:sz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项目决策</w:t>
            </w:r>
          </w:p>
        </w:tc>
        <w:tc>
          <w:tcPr>
            <w:tcW w:w="2050" w:type="dxa"/>
            <w:vAlign w:val="top"/>
          </w:tcPr>
          <w:p>
            <w:pPr>
              <w:jc w:val="center"/>
              <w:rPr>
                <w:rFonts w:eastAsia="仿宋_GB2312"/>
                <w:sz w:val="24"/>
                <w:highlight w:val="none"/>
              </w:rPr>
            </w:pPr>
            <w:r>
              <w:rPr>
                <w:rFonts w:hint="eastAsia" w:eastAsia="仿宋_GB2312"/>
                <w:sz w:val="24"/>
                <w:highlight w:val="none"/>
              </w:rPr>
              <w:t>15</w:t>
            </w:r>
          </w:p>
        </w:tc>
        <w:tc>
          <w:tcPr>
            <w:tcW w:w="2060" w:type="dxa"/>
            <w:vAlign w:val="top"/>
          </w:tcPr>
          <w:p>
            <w:pPr>
              <w:jc w:val="center"/>
              <w:rPr>
                <w:rFonts w:eastAsia="仿宋_GB2312"/>
                <w:sz w:val="24"/>
                <w:highlight w:val="none"/>
              </w:rPr>
            </w:pPr>
            <w:r>
              <w:rPr>
                <w:rFonts w:eastAsia="仿宋_GB2312"/>
                <w:sz w:val="24"/>
                <w:highlight w:val="none"/>
              </w:rPr>
              <w:t>12.5</w:t>
            </w:r>
          </w:p>
        </w:tc>
        <w:tc>
          <w:tcPr>
            <w:tcW w:w="2069" w:type="dxa"/>
            <w:vAlign w:val="top"/>
          </w:tcPr>
          <w:p>
            <w:pPr>
              <w:jc w:val="center"/>
              <w:rPr>
                <w:rFonts w:eastAsia="仿宋_GB2312"/>
                <w:sz w:val="24"/>
                <w:highlight w:val="none"/>
              </w:rPr>
            </w:pPr>
            <w:r>
              <w:rPr>
                <w:rFonts w:eastAsia="仿宋_GB2312"/>
                <w:sz w:val="24"/>
                <w:highlight w:val="none"/>
              </w:rPr>
              <w:t>83.33</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过程管理</w:t>
            </w:r>
          </w:p>
        </w:tc>
        <w:tc>
          <w:tcPr>
            <w:tcW w:w="2050" w:type="dxa"/>
            <w:vAlign w:val="top"/>
          </w:tcPr>
          <w:p>
            <w:pPr>
              <w:jc w:val="center"/>
              <w:rPr>
                <w:rFonts w:eastAsia="仿宋_GB2312"/>
                <w:sz w:val="24"/>
                <w:highlight w:val="none"/>
              </w:rPr>
            </w:pPr>
            <w:r>
              <w:rPr>
                <w:rFonts w:hint="eastAsia" w:eastAsia="仿宋_GB2312"/>
                <w:sz w:val="24"/>
                <w:highlight w:val="none"/>
              </w:rPr>
              <w:t>20</w:t>
            </w:r>
          </w:p>
        </w:tc>
        <w:tc>
          <w:tcPr>
            <w:tcW w:w="2060" w:type="dxa"/>
            <w:vAlign w:val="top"/>
          </w:tcPr>
          <w:p>
            <w:pPr>
              <w:jc w:val="center"/>
              <w:rPr>
                <w:rFonts w:eastAsia="仿宋_GB2312"/>
                <w:sz w:val="24"/>
                <w:highlight w:val="none"/>
              </w:rPr>
            </w:pPr>
            <w:r>
              <w:rPr>
                <w:rFonts w:eastAsia="仿宋_GB2312"/>
                <w:sz w:val="24"/>
                <w:highlight w:val="none"/>
              </w:rPr>
              <w:t>15.23</w:t>
            </w:r>
          </w:p>
        </w:tc>
        <w:tc>
          <w:tcPr>
            <w:tcW w:w="2069" w:type="dxa"/>
            <w:vAlign w:val="top"/>
          </w:tcPr>
          <w:p>
            <w:pPr>
              <w:jc w:val="center"/>
              <w:rPr>
                <w:rFonts w:eastAsia="仿宋_GB2312"/>
                <w:sz w:val="24"/>
                <w:highlight w:val="none"/>
              </w:rPr>
            </w:pPr>
            <w:r>
              <w:rPr>
                <w:rFonts w:eastAsia="仿宋_GB2312"/>
                <w:sz w:val="24"/>
                <w:highlight w:val="none"/>
              </w:rPr>
              <w:t>76.15</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项目产出</w:t>
            </w:r>
          </w:p>
        </w:tc>
        <w:tc>
          <w:tcPr>
            <w:tcW w:w="2050" w:type="dxa"/>
            <w:vAlign w:val="top"/>
          </w:tcPr>
          <w:p>
            <w:pPr>
              <w:jc w:val="center"/>
              <w:rPr>
                <w:rFonts w:eastAsia="仿宋_GB2312"/>
                <w:sz w:val="24"/>
                <w:highlight w:val="none"/>
              </w:rPr>
            </w:pPr>
            <w:r>
              <w:rPr>
                <w:rFonts w:hint="eastAsia" w:eastAsia="仿宋_GB2312"/>
                <w:sz w:val="24"/>
                <w:highlight w:val="none"/>
              </w:rPr>
              <w:t>35</w:t>
            </w:r>
          </w:p>
        </w:tc>
        <w:tc>
          <w:tcPr>
            <w:tcW w:w="2060" w:type="dxa"/>
            <w:vAlign w:val="top"/>
          </w:tcPr>
          <w:p>
            <w:pPr>
              <w:jc w:val="center"/>
              <w:rPr>
                <w:rFonts w:eastAsia="仿宋_GB2312"/>
                <w:sz w:val="24"/>
                <w:highlight w:val="none"/>
              </w:rPr>
            </w:pPr>
            <w:r>
              <w:rPr>
                <w:rFonts w:eastAsia="仿宋_GB2312"/>
                <w:sz w:val="24"/>
                <w:highlight w:val="none"/>
              </w:rPr>
              <w:t>31.8</w:t>
            </w:r>
          </w:p>
        </w:tc>
        <w:tc>
          <w:tcPr>
            <w:tcW w:w="2069" w:type="dxa"/>
            <w:vAlign w:val="top"/>
          </w:tcPr>
          <w:p>
            <w:pPr>
              <w:jc w:val="center"/>
              <w:rPr>
                <w:rFonts w:eastAsia="仿宋_GB2312"/>
                <w:sz w:val="24"/>
                <w:highlight w:val="none"/>
              </w:rPr>
            </w:pPr>
            <w:r>
              <w:rPr>
                <w:rFonts w:eastAsia="仿宋_GB2312"/>
                <w:sz w:val="24"/>
                <w:highlight w:val="none"/>
              </w:rPr>
              <w:t>90.86</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项目效益</w:t>
            </w:r>
          </w:p>
        </w:tc>
        <w:tc>
          <w:tcPr>
            <w:tcW w:w="2050" w:type="dxa"/>
            <w:vAlign w:val="top"/>
          </w:tcPr>
          <w:p>
            <w:pPr>
              <w:jc w:val="center"/>
              <w:rPr>
                <w:rFonts w:eastAsia="仿宋_GB2312"/>
                <w:sz w:val="24"/>
                <w:highlight w:val="none"/>
              </w:rPr>
            </w:pPr>
            <w:r>
              <w:rPr>
                <w:rFonts w:hint="eastAsia" w:eastAsia="仿宋_GB2312"/>
                <w:sz w:val="24"/>
                <w:highlight w:val="none"/>
              </w:rPr>
              <w:t>30</w:t>
            </w:r>
          </w:p>
        </w:tc>
        <w:tc>
          <w:tcPr>
            <w:tcW w:w="2060" w:type="dxa"/>
            <w:vAlign w:val="top"/>
          </w:tcPr>
          <w:p>
            <w:pPr>
              <w:jc w:val="center"/>
              <w:rPr>
                <w:rFonts w:eastAsia="仿宋_GB2312"/>
                <w:sz w:val="24"/>
                <w:highlight w:val="none"/>
              </w:rPr>
            </w:pPr>
            <w:r>
              <w:rPr>
                <w:rFonts w:eastAsia="仿宋_GB2312"/>
                <w:sz w:val="24"/>
                <w:highlight w:val="none"/>
              </w:rPr>
              <w:t>24.66</w:t>
            </w:r>
          </w:p>
        </w:tc>
        <w:tc>
          <w:tcPr>
            <w:tcW w:w="2069" w:type="dxa"/>
            <w:vAlign w:val="top"/>
          </w:tcPr>
          <w:p>
            <w:pPr>
              <w:jc w:val="center"/>
              <w:rPr>
                <w:rFonts w:eastAsia="仿宋_GB2312"/>
                <w:sz w:val="24"/>
                <w:highlight w:val="none"/>
              </w:rPr>
            </w:pPr>
            <w:r>
              <w:rPr>
                <w:rFonts w:eastAsia="仿宋_GB2312"/>
                <w:sz w:val="24"/>
                <w:highlight w:val="none"/>
              </w:rPr>
              <w:t>82.2</w:t>
            </w:r>
            <w:r>
              <w:rPr>
                <w:rFonts w:hint="eastAsia" w:eastAsia="仿宋_GB2312"/>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ascii="仿宋" w:hAnsi="仿宋" w:eastAsia="仿宋" w:cs="仿宋"/>
                <w:sz w:val="24"/>
                <w:highlight w:val="none"/>
              </w:rPr>
            </w:pPr>
            <w:r>
              <w:rPr>
                <w:rFonts w:hint="eastAsia" w:ascii="仿宋" w:hAnsi="仿宋" w:eastAsia="仿宋" w:cs="仿宋"/>
                <w:sz w:val="24"/>
                <w:highlight w:val="none"/>
              </w:rPr>
              <w:t>合计</w:t>
            </w:r>
          </w:p>
        </w:tc>
        <w:tc>
          <w:tcPr>
            <w:tcW w:w="2050" w:type="dxa"/>
            <w:vAlign w:val="top"/>
          </w:tcPr>
          <w:p>
            <w:pPr>
              <w:jc w:val="center"/>
              <w:rPr>
                <w:rFonts w:eastAsia="仿宋_GB2312"/>
                <w:sz w:val="24"/>
                <w:highlight w:val="none"/>
              </w:rPr>
            </w:pPr>
            <w:r>
              <w:rPr>
                <w:rFonts w:hint="eastAsia" w:eastAsia="仿宋_GB2312"/>
                <w:sz w:val="24"/>
                <w:highlight w:val="none"/>
              </w:rPr>
              <w:t>100</w:t>
            </w:r>
          </w:p>
        </w:tc>
        <w:tc>
          <w:tcPr>
            <w:tcW w:w="2060" w:type="dxa"/>
            <w:vAlign w:val="top"/>
          </w:tcPr>
          <w:p>
            <w:pPr>
              <w:jc w:val="center"/>
              <w:rPr>
                <w:rFonts w:eastAsia="仿宋_GB2312"/>
                <w:sz w:val="24"/>
                <w:highlight w:val="none"/>
              </w:rPr>
            </w:pPr>
            <w:r>
              <w:rPr>
                <w:rFonts w:eastAsia="仿宋_GB2312"/>
                <w:sz w:val="24"/>
                <w:highlight w:val="none"/>
              </w:rPr>
              <w:t>84.19</w:t>
            </w:r>
          </w:p>
        </w:tc>
        <w:tc>
          <w:tcPr>
            <w:tcW w:w="2069" w:type="dxa"/>
            <w:vAlign w:val="top"/>
          </w:tcPr>
          <w:p>
            <w:pPr>
              <w:jc w:val="center"/>
              <w:rPr>
                <w:rFonts w:eastAsia="仿宋_GB2312"/>
                <w:sz w:val="24"/>
                <w:highlight w:val="none"/>
              </w:rPr>
            </w:pPr>
            <w:r>
              <w:rPr>
                <w:rFonts w:eastAsia="仿宋_GB2312"/>
                <w:sz w:val="24"/>
                <w:highlight w:val="none"/>
              </w:rPr>
              <w:t>84.19</w:t>
            </w:r>
            <w:r>
              <w:rPr>
                <w:rFonts w:hint="eastAsia" w:eastAsia="仿宋_GB2312"/>
                <w:sz w:val="24"/>
                <w:highlight w:val="none"/>
              </w:rPr>
              <w:t>%</w:t>
            </w:r>
          </w:p>
        </w:tc>
      </w:tr>
    </w:tbl>
    <w:p>
      <w:pPr>
        <w:pStyle w:val="19"/>
        <w:spacing w:before="0" w:beforeAutospacing="0" w:after="0" w:afterAutospacing="0" w:line="360" w:lineRule="auto"/>
        <w:ind w:firstLine="590" w:firstLineChars="200"/>
        <w:jc w:val="both"/>
        <w:outlineLvl w:val="0"/>
        <w:rPr>
          <w:rFonts w:ascii="仿宋_GB2312" w:hAnsi="仿宋_GB2312" w:eastAsia="仿宋_GB2312" w:cs="仿宋_GB2312"/>
          <w:spacing w:val="7"/>
          <w:sz w:val="28"/>
          <w:szCs w:val="28"/>
          <w:highlight w:val="none"/>
        </w:rPr>
      </w:pPr>
      <w:bookmarkStart w:id="49" w:name="_Toc20854"/>
      <w:bookmarkStart w:id="50" w:name="_Toc136701274"/>
      <w:bookmarkStart w:id="51" w:name="_Toc28987"/>
      <w:bookmarkStart w:id="52" w:name="_Toc6024"/>
      <w:bookmarkStart w:id="53" w:name="_Toc75"/>
      <w:bookmarkStart w:id="54" w:name="_Toc15195"/>
      <w:bookmarkStart w:id="55" w:name="_Toc28123"/>
      <w:bookmarkStart w:id="56" w:name="_Toc31787"/>
      <w:bookmarkStart w:id="57" w:name="_Toc4624"/>
      <w:bookmarkStart w:id="58" w:name="_Toc136699533"/>
      <w:bookmarkStart w:id="59" w:name="_Toc136935364"/>
      <w:bookmarkStart w:id="60" w:name="_Toc136856257"/>
      <w:bookmarkStart w:id="61" w:name="_Toc23506"/>
      <w:bookmarkStart w:id="62" w:name="_Toc136102843"/>
      <w:bookmarkStart w:id="63" w:name="_Toc21554"/>
      <w:r>
        <w:rPr>
          <w:rFonts w:hint="eastAsia" w:ascii="仿宋_GB2312" w:hAnsi="仿宋_GB2312" w:eastAsia="仿宋_GB2312" w:cs="仿宋_GB2312"/>
          <w:b/>
          <w:bCs/>
          <w:spacing w:val="7"/>
          <w:sz w:val="28"/>
          <w:szCs w:val="28"/>
          <w:highlight w:val="none"/>
        </w:rPr>
        <w:t>三、主要成效</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19"/>
        <w:spacing w:before="0" w:beforeAutospacing="0" w:after="0" w:afterAutospacing="0" w:line="360" w:lineRule="auto"/>
        <w:ind w:firstLine="590" w:firstLineChars="200"/>
        <w:jc w:val="both"/>
        <w:outlineLvl w:val="1"/>
        <w:rPr>
          <w:rFonts w:ascii="仿宋_GB2312" w:hAnsi="仿宋_GB2312" w:eastAsia="仿宋_GB2312" w:cs="仿宋_GB2312"/>
          <w:b/>
          <w:bCs/>
          <w:spacing w:val="7"/>
          <w:sz w:val="28"/>
          <w:szCs w:val="28"/>
          <w:highlight w:val="none"/>
        </w:rPr>
      </w:pPr>
      <w:bookmarkStart w:id="64" w:name="_Toc136856258"/>
      <w:bookmarkStart w:id="65" w:name="_Toc8687"/>
      <w:bookmarkStart w:id="66" w:name="_Toc136701275"/>
      <w:bookmarkStart w:id="67" w:name="_Toc136699534"/>
      <w:bookmarkStart w:id="68" w:name="_Toc5453"/>
      <w:bookmarkStart w:id="69" w:name="_Toc136935365"/>
      <w:bookmarkStart w:id="70" w:name="_Toc136102844"/>
      <w:bookmarkStart w:id="71" w:name="_Toc29587"/>
      <w:r>
        <w:rPr>
          <w:rFonts w:hint="eastAsia" w:ascii="仿宋_GB2312" w:hAnsi="仿宋_GB2312" w:eastAsia="仿宋_GB2312" w:cs="仿宋_GB2312"/>
          <w:b/>
          <w:bCs/>
          <w:spacing w:val="7"/>
          <w:sz w:val="28"/>
          <w:szCs w:val="28"/>
          <w:highlight w:val="none"/>
        </w:rPr>
        <w:t>（一）扎实推进民生实事项目建设</w:t>
      </w:r>
      <w:bookmarkEnd w:id="64"/>
      <w:bookmarkEnd w:id="65"/>
      <w:bookmarkEnd w:id="66"/>
      <w:bookmarkEnd w:id="67"/>
      <w:bookmarkEnd w:id="68"/>
      <w:bookmarkEnd w:id="69"/>
      <w:bookmarkEnd w:id="70"/>
      <w:bookmarkEnd w:id="71"/>
    </w:p>
    <w:p>
      <w:pPr>
        <w:pStyle w:val="19"/>
        <w:spacing w:before="0" w:beforeAutospacing="0" w:after="0" w:afterAutospacing="0" w:line="360" w:lineRule="auto"/>
        <w:ind w:firstLine="588" w:firstLineChars="200"/>
        <w:jc w:val="both"/>
        <w:outlineLvl w:val="1"/>
        <w:rPr>
          <w:rFonts w:ascii="仿宋_GB2312" w:hAnsi="仿宋_GB2312" w:eastAsia="仿宋_GB2312" w:cs="仿宋_GB2312"/>
          <w:b/>
          <w:bCs/>
          <w:spacing w:val="7"/>
          <w:sz w:val="28"/>
          <w:szCs w:val="28"/>
          <w:highlight w:val="none"/>
        </w:rPr>
      </w:pPr>
      <w:bookmarkStart w:id="72" w:name="_Toc136700280"/>
      <w:bookmarkStart w:id="73" w:name="_Toc136701276"/>
      <w:bookmarkStart w:id="74" w:name="_Toc136699535"/>
      <w:bookmarkStart w:id="75" w:name="_Toc8479"/>
      <w:bookmarkStart w:id="76" w:name="_Toc136102845"/>
      <w:bookmarkStart w:id="77" w:name="_Toc136700744"/>
      <w:bookmarkStart w:id="78" w:name="_Toc136856259"/>
      <w:bookmarkStart w:id="79" w:name="_Toc6192"/>
      <w:bookmarkStart w:id="80" w:name="_Toc136935366"/>
      <w:bookmarkStart w:id="81" w:name="_Toc8245"/>
      <w:r>
        <w:rPr>
          <w:rFonts w:hint="eastAsia" w:ascii="仿宋_GB2312" w:hAnsi="仿宋_GB2312" w:eastAsia="仿宋_GB2312" w:cs="仿宋_GB2312"/>
          <w:spacing w:val="7"/>
          <w:sz w:val="28"/>
          <w:szCs w:val="28"/>
          <w:highlight w:val="none"/>
        </w:rPr>
        <w:t>为推进民生重点项目建设,无定河镇采取多项举措分工合作措施,项目领导定期调度,及时解决项目遇到的困难和问题；各职能部门强化沟通协调、要素保障和联系服务。对照项目完成时限，明确关键时间节点，确保项目如期完成。</w:t>
      </w:r>
      <w:bookmarkEnd w:id="72"/>
      <w:bookmarkEnd w:id="73"/>
      <w:bookmarkEnd w:id="74"/>
      <w:bookmarkEnd w:id="75"/>
      <w:bookmarkEnd w:id="76"/>
      <w:bookmarkEnd w:id="77"/>
      <w:bookmarkEnd w:id="78"/>
      <w:bookmarkEnd w:id="79"/>
      <w:bookmarkEnd w:id="80"/>
      <w:bookmarkEnd w:id="81"/>
    </w:p>
    <w:p>
      <w:pPr>
        <w:pStyle w:val="19"/>
        <w:spacing w:before="0" w:beforeAutospacing="0" w:after="0" w:afterAutospacing="0" w:line="360" w:lineRule="auto"/>
        <w:ind w:firstLine="590" w:firstLineChars="200"/>
        <w:jc w:val="both"/>
        <w:outlineLvl w:val="1"/>
        <w:rPr>
          <w:rFonts w:ascii="仿宋_GB2312" w:hAnsi="仿宋_GB2312" w:eastAsia="仿宋_GB2312" w:cs="仿宋_GB2312"/>
          <w:b/>
          <w:bCs/>
          <w:spacing w:val="7"/>
          <w:sz w:val="28"/>
          <w:szCs w:val="28"/>
          <w:highlight w:val="none"/>
        </w:rPr>
      </w:pPr>
      <w:bookmarkStart w:id="82" w:name="_Toc136701277"/>
      <w:bookmarkStart w:id="83" w:name="_Toc136699536"/>
      <w:bookmarkStart w:id="84" w:name="_Toc3010"/>
      <w:bookmarkStart w:id="85" w:name="_Toc136102846"/>
      <w:bookmarkStart w:id="86" w:name="_Toc17577"/>
      <w:bookmarkStart w:id="87" w:name="_Toc136935367"/>
      <w:bookmarkStart w:id="88" w:name="_Toc136856260"/>
      <w:bookmarkStart w:id="89" w:name="_Toc28047"/>
      <w:r>
        <w:rPr>
          <w:rFonts w:hint="eastAsia" w:ascii="仿宋_GB2312" w:hAnsi="仿宋_GB2312" w:eastAsia="仿宋_GB2312" w:cs="仿宋_GB2312"/>
          <w:b/>
          <w:bCs/>
          <w:spacing w:val="7"/>
          <w:sz w:val="28"/>
          <w:szCs w:val="28"/>
          <w:highlight w:val="none"/>
        </w:rPr>
        <w:t>（二）办好办实民生工程</w:t>
      </w:r>
      <w:bookmarkEnd w:id="82"/>
      <w:bookmarkEnd w:id="83"/>
      <w:bookmarkEnd w:id="84"/>
      <w:bookmarkEnd w:id="85"/>
      <w:bookmarkEnd w:id="86"/>
      <w:bookmarkEnd w:id="87"/>
      <w:bookmarkEnd w:id="88"/>
      <w:bookmarkEnd w:id="89"/>
    </w:p>
    <w:p>
      <w:pPr>
        <w:pStyle w:val="19"/>
        <w:spacing w:before="0" w:beforeAutospacing="0" w:after="0" w:afterAutospacing="0" w:line="360" w:lineRule="auto"/>
        <w:ind w:firstLine="588" w:firstLineChars="200"/>
        <w:jc w:val="both"/>
        <w:rPr>
          <w:rFonts w:ascii="仿宋_GB2312" w:hAnsi="仿宋_GB2312" w:eastAsia="仿宋_GB2312" w:cs="仿宋_GB2312"/>
          <w:spacing w:val="7"/>
          <w:sz w:val="28"/>
          <w:szCs w:val="28"/>
          <w:highlight w:val="none"/>
        </w:rPr>
      </w:pPr>
      <w:r>
        <w:rPr>
          <w:rFonts w:hint="eastAsia" w:ascii="仿宋_GB2312" w:hAnsi="仿宋_GB2312" w:eastAsia="仿宋_GB2312" w:cs="仿宋_GB2312"/>
          <w:spacing w:val="7"/>
          <w:sz w:val="28"/>
          <w:szCs w:val="28"/>
          <w:highlight w:val="none"/>
        </w:rPr>
        <w:t>无定河镇人大在党的领导下，充分发挥主导作用，进一步健全完善制度机制，丰富和拓展“三个阶段、六个环节”工作流程。目前除部分跨年度的实施项目外基本完工，切实为群众解决了实际困难。</w:t>
      </w:r>
    </w:p>
    <w:p>
      <w:pPr>
        <w:pStyle w:val="19"/>
        <w:spacing w:before="0" w:beforeAutospacing="0" w:after="0" w:afterAutospacing="0" w:line="360" w:lineRule="auto"/>
        <w:ind w:firstLine="590" w:firstLineChars="200"/>
        <w:jc w:val="both"/>
        <w:outlineLvl w:val="1"/>
        <w:rPr>
          <w:rFonts w:ascii="仿宋_GB2312" w:hAnsi="仿宋_GB2312" w:eastAsia="仿宋_GB2312" w:cs="仿宋_GB2312"/>
          <w:spacing w:val="7"/>
          <w:sz w:val="28"/>
          <w:szCs w:val="28"/>
          <w:highlight w:val="none"/>
        </w:rPr>
      </w:pPr>
      <w:bookmarkStart w:id="90" w:name="_Toc32444"/>
      <w:bookmarkStart w:id="91" w:name="_Toc32513"/>
      <w:bookmarkStart w:id="92" w:name="_Toc21104"/>
      <w:bookmarkStart w:id="93" w:name="_Toc136699537"/>
      <w:bookmarkStart w:id="94" w:name="_Toc136856261"/>
      <w:bookmarkStart w:id="95" w:name="_Toc136102847"/>
      <w:bookmarkStart w:id="96" w:name="_Toc136701278"/>
      <w:bookmarkStart w:id="97" w:name="_Toc136935368"/>
      <w:r>
        <w:rPr>
          <w:rFonts w:hint="eastAsia" w:ascii="仿宋_GB2312" w:hAnsi="仿宋_GB2312" w:eastAsia="仿宋_GB2312" w:cs="仿宋_GB2312"/>
          <w:b/>
          <w:bCs/>
          <w:spacing w:val="7"/>
          <w:sz w:val="28"/>
          <w:szCs w:val="28"/>
          <w:highlight w:val="none"/>
        </w:rPr>
        <w:t>（三）全心全意惠民生</w:t>
      </w:r>
      <w:bookmarkEnd w:id="90"/>
      <w:bookmarkEnd w:id="91"/>
      <w:bookmarkEnd w:id="92"/>
      <w:bookmarkEnd w:id="93"/>
      <w:bookmarkEnd w:id="94"/>
      <w:bookmarkEnd w:id="95"/>
      <w:bookmarkEnd w:id="96"/>
      <w:bookmarkEnd w:id="97"/>
    </w:p>
    <w:p>
      <w:pPr>
        <w:pStyle w:val="19"/>
        <w:spacing w:before="0" w:beforeAutospacing="0" w:after="0" w:afterAutospacing="0" w:line="360" w:lineRule="auto"/>
        <w:ind w:firstLine="588" w:firstLineChars="200"/>
        <w:jc w:val="both"/>
        <w:rPr>
          <w:rFonts w:ascii="仿宋_GB2312" w:hAnsi="仿宋_GB2312" w:eastAsia="仿宋_GB2312" w:cs="仿宋_GB2312"/>
          <w:spacing w:val="7"/>
          <w:sz w:val="28"/>
          <w:szCs w:val="28"/>
          <w:highlight w:val="none"/>
        </w:rPr>
      </w:pPr>
      <w:r>
        <w:rPr>
          <w:rFonts w:hint="eastAsia" w:ascii="仿宋_GB2312" w:hAnsi="仿宋_GB2312" w:eastAsia="仿宋_GB2312" w:cs="仿宋_GB2312"/>
          <w:spacing w:val="7"/>
          <w:sz w:val="28"/>
          <w:szCs w:val="28"/>
          <w:highlight w:val="none"/>
        </w:rPr>
        <w:t>无定河镇在票决项目实施上采取了有力措施，民生实事项目任务分解方案明确了牵头部门，细化了目标任务和完成时限，形成了推进工作的合力。特别是把资金保障作为先决条件，把人大代表票决制项目资金列入财政预算，保障项目实施无后顾之忧。</w:t>
      </w:r>
    </w:p>
    <w:p>
      <w:pPr>
        <w:pStyle w:val="19"/>
        <w:spacing w:before="0" w:beforeAutospacing="0" w:after="0" w:afterAutospacing="0" w:line="360" w:lineRule="auto"/>
        <w:ind w:firstLine="590" w:firstLineChars="200"/>
        <w:jc w:val="both"/>
        <w:outlineLvl w:val="1"/>
        <w:rPr>
          <w:rFonts w:ascii="仿宋_GB2312" w:hAnsi="仿宋_GB2312" w:eastAsia="仿宋_GB2312" w:cs="仿宋_GB2312"/>
          <w:spacing w:val="7"/>
          <w:sz w:val="28"/>
          <w:szCs w:val="28"/>
          <w:highlight w:val="none"/>
        </w:rPr>
      </w:pPr>
      <w:bookmarkStart w:id="98" w:name="_Toc136701279"/>
      <w:bookmarkStart w:id="99" w:name="_Toc136935369"/>
      <w:bookmarkStart w:id="100" w:name="_Toc136102848"/>
      <w:bookmarkStart w:id="101" w:name="_Toc9916"/>
      <w:bookmarkStart w:id="102" w:name="_Toc136856262"/>
      <w:bookmarkStart w:id="103" w:name="_Toc136699538"/>
      <w:bookmarkStart w:id="104" w:name="_Toc3244"/>
      <w:bookmarkStart w:id="105" w:name="_Toc13185"/>
      <w:r>
        <w:rPr>
          <w:rFonts w:hint="eastAsia" w:ascii="仿宋_GB2312" w:hAnsi="仿宋_GB2312" w:eastAsia="仿宋_GB2312" w:cs="仿宋_GB2312"/>
          <w:b/>
          <w:bCs/>
          <w:spacing w:val="7"/>
          <w:sz w:val="28"/>
          <w:szCs w:val="28"/>
          <w:highlight w:val="none"/>
        </w:rPr>
        <w:t>（四）结合实际各具特色</w:t>
      </w:r>
      <w:bookmarkEnd w:id="98"/>
      <w:bookmarkEnd w:id="99"/>
      <w:bookmarkEnd w:id="100"/>
      <w:bookmarkEnd w:id="101"/>
      <w:bookmarkEnd w:id="102"/>
      <w:bookmarkEnd w:id="103"/>
      <w:bookmarkEnd w:id="104"/>
      <w:bookmarkEnd w:id="105"/>
    </w:p>
    <w:p>
      <w:pPr>
        <w:pStyle w:val="19"/>
        <w:spacing w:before="0" w:beforeAutospacing="0" w:after="0" w:afterAutospacing="0" w:line="360" w:lineRule="auto"/>
        <w:ind w:firstLine="588" w:firstLineChars="200"/>
        <w:jc w:val="both"/>
        <w:rPr>
          <w:rFonts w:ascii="仿宋_GB2312" w:hAnsi="仿宋_GB2312" w:eastAsia="仿宋_GB2312" w:cs="仿宋_GB2312"/>
          <w:b/>
          <w:bCs/>
          <w:sz w:val="28"/>
          <w:szCs w:val="28"/>
          <w:highlight w:val="none"/>
        </w:rPr>
      </w:pPr>
      <w:r>
        <w:rPr>
          <w:rFonts w:hint="eastAsia" w:ascii="仿宋_GB2312" w:hAnsi="仿宋_GB2312" w:eastAsia="仿宋_GB2312" w:cs="仿宋_GB2312"/>
          <w:spacing w:val="7"/>
          <w:sz w:val="28"/>
          <w:szCs w:val="28"/>
          <w:highlight w:val="none"/>
        </w:rPr>
        <w:t>在项目实施上，注重结合地区的实际，各有侧重、体现特色，保证项目实施的质量和效果。</w:t>
      </w:r>
    </w:p>
    <w:p>
      <w:pPr>
        <w:pStyle w:val="19"/>
        <w:spacing w:before="0" w:beforeAutospacing="0" w:after="0" w:afterAutospacing="0" w:line="360" w:lineRule="auto"/>
        <w:ind w:firstLine="590" w:firstLineChars="200"/>
        <w:jc w:val="both"/>
        <w:outlineLvl w:val="0"/>
        <w:rPr>
          <w:rFonts w:ascii="仿宋_GB2312" w:hAnsi="仿宋_GB2312" w:eastAsia="仿宋_GB2312" w:cs="仿宋_GB2312"/>
          <w:spacing w:val="7"/>
          <w:sz w:val="28"/>
          <w:szCs w:val="28"/>
          <w:highlight w:val="none"/>
        </w:rPr>
      </w:pPr>
      <w:bookmarkStart w:id="106" w:name="_Toc136935370"/>
      <w:bookmarkStart w:id="107" w:name="_Toc136699539"/>
      <w:bookmarkStart w:id="108" w:name="_Toc136701280"/>
      <w:bookmarkStart w:id="109" w:name="_Toc31506"/>
      <w:bookmarkStart w:id="110" w:name="_Toc136856263"/>
      <w:bookmarkStart w:id="111" w:name="_Toc25214"/>
      <w:bookmarkStart w:id="112" w:name="_Toc16097"/>
      <w:bookmarkStart w:id="113" w:name="_Toc981"/>
      <w:bookmarkStart w:id="114" w:name="_Toc18618"/>
      <w:bookmarkStart w:id="115" w:name="_Toc11779"/>
      <w:bookmarkStart w:id="116" w:name="_Toc29771"/>
      <w:bookmarkStart w:id="117" w:name="_Toc6977"/>
      <w:bookmarkStart w:id="118" w:name="_Toc136102849"/>
      <w:bookmarkStart w:id="119" w:name="_Toc26254"/>
      <w:bookmarkStart w:id="120" w:name="_Toc13368"/>
      <w:r>
        <w:rPr>
          <w:rFonts w:hint="eastAsia" w:ascii="仿宋_GB2312" w:hAnsi="仿宋_GB2312" w:eastAsia="仿宋_GB2312" w:cs="仿宋_GB2312"/>
          <w:b/>
          <w:bCs/>
          <w:spacing w:val="7"/>
          <w:sz w:val="28"/>
          <w:szCs w:val="28"/>
          <w:highlight w:val="none"/>
        </w:rPr>
        <w:t>四、存在问题</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pPr>
        <w:pStyle w:val="19"/>
        <w:spacing w:before="0" w:beforeAutospacing="0" w:after="0" w:afterAutospacing="0" w:line="360" w:lineRule="auto"/>
        <w:ind w:firstLine="588" w:firstLineChars="200"/>
        <w:jc w:val="both"/>
        <w:outlineLvl w:val="1"/>
        <w:rPr>
          <w:rFonts w:ascii="仿宋_GB2312" w:hAnsi="仿宋_GB2312" w:eastAsia="仿宋_GB2312" w:cs="仿宋_GB2312"/>
          <w:spacing w:val="9"/>
          <w:sz w:val="28"/>
          <w:szCs w:val="28"/>
          <w:highlight w:val="none"/>
        </w:rPr>
      </w:pPr>
      <w:bookmarkStart w:id="121" w:name="_Toc136102850"/>
      <w:bookmarkStart w:id="122" w:name="_Toc136700285"/>
      <w:bookmarkStart w:id="123" w:name="_Toc7257"/>
      <w:bookmarkStart w:id="124" w:name="_Toc136699540"/>
      <w:bookmarkStart w:id="125" w:name="_Toc136701281"/>
      <w:bookmarkStart w:id="126" w:name="_Toc136856264"/>
      <w:bookmarkStart w:id="127" w:name="_Toc136700749"/>
      <w:bookmarkStart w:id="128" w:name="_Toc17319"/>
      <w:bookmarkStart w:id="129" w:name="_Toc136935371"/>
      <w:bookmarkStart w:id="130" w:name="_Toc30841"/>
      <w:bookmarkStart w:id="131" w:name="_Toc18345"/>
      <w:bookmarkStart w:id="132" w:name="_Toc21637"/>
      <w:bookmarkStart w:id="133" w:name="_Toc15517"/>
      <w:r>
        <w:rPr>
          <w:rFonts w:hint="eastAsia" w:ascii="仿宋_GB2312" w:hAnsi="仿宋_GB2312" w:eastAsia="仿宋_GB2312" w:cs="仿宋_GB2312"/>
          <w:spacing w:val="7"/>
          <w:sz w:val="28"/>
          <w:szCs w:val="28"/>
          <w:highlight w:val="none"/>
        </w:rPr>
        <w:t>通</w:t>
      </w:r>
      <w:r>
        <w:rPr>
          <w:rFonts w:hint="eastAsia" w:ascii="仿宋_GB2312" w:hAnsi="仿宋_GB2312" w:eastAsia="仿宋_GB2312" w:cs="仿宋_GB2312"/>
          <w:spacing w:val="6"/>
          <w:sz w:val="28"/>
          <w:szCs w:val="28"/>
          <w:highlight w:val="none"/>
        </w:rPr>
        <w:t>过资料审核、专家现场座谈等方式，发现项目存在以</w:t>
      </w:r>
      <w:r>
        <w:rPr>
          <w:rFonts w:hint="eastAsia" w:ascii="仿宋_GB2312" w:hAnsi="仿宋_GB2312" w:eastAsia="仿宋_GB2312" w:cs="仿宋_GB2312"/>
          <w:spacing w:val="17"/>
          <w:sz w:val="28"/>
          <w:szCs w:val="28"/>
          <w:highlight w:val="none"/>
        </w:rPr>
        <w:t>下</w:t>
      </w:r>
      <w:r>
        <w:rPr>
          <w:rFonts w:hint="eastAsia" w:ascii="仿宋_GB2312" w:hAnsi="仿宋_GB2312" w:eastAsia="仿宋_GB2312" w:cs="仿宋_GB2312"/>
          <w:spacing w:val="9"/>
          <w:sz w:val="28"/>
          <w:szCs w:val="28"/>
          <w:highlight w:val="none"/>
        </w:rPr>
        <w:t>问题：</w:t>
      </w:r>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34" w:name="_Toc760"/>
      <w:bookmarkStart w:id="135" w:name="_Toc136701282"/>
      <w:bookmarkStart w:id="136" w:name="_Toc5187"/>
      <w:bookmarkStart w:id="137" w:name="_Toc13071"/>
      <w:bookmarkStart w:id="138" w:name="_Toc30921"/>
      <w:bookmarkStart w:id="139" w:name="_Toc136699541"/>
      <w:bookmarkStart w:id="140" w:name="_Toc136102851"/>
      <w:bookmarkStart w:id="141" w:name="_Toc1870"/>
      <w:bookmarkStart w:id="142" w:name="_Toc15726"/>
      <w:bookmarkStart w:id="143" w:name="_Toc136856265"/>
      <w:bookmarkStart w:id="144" w:name="_Toc136935372"/>
      <w:r>
        <w:rPr>
          <w:rFonts w:hint="eastAsia" w:ascii="仿宋_GB2312" w:hAnsi="仿宋_GB2312" w:eastAsia="仿宋_GB2312" w:cs="仿宋_GB2312"/>
          <w:b/>
          <w:bCs/>
          <w:sz w:val="28"/>
          <w:szCs w:val="28"/>
          <w:highlight w:val="none"/>
        </w:rPr>
        <w:t>（一）未按计划完成目标任务</w:t>
      </w:r>
      <w:bookmarkEnd w:id="134"/>
      <w:bookmarkEnd w:id="135"/>
      <w:bookmarkEnd w:id="136"/>
      <w:bookmarkEnd w:id="137"/>
      <w:bookmarkEnd w:id="138"/>
      <w:bookmarkEnd w:id="139"/>
      <w:bookmarkEnd w:id="140"/>
      <w:bookmarkEnd w:id="141"/>
      <w:bookmarkEnd w:id="142"/>
      <w:bookmarkEnd w:id="143"/>
      <w:bookmarkEnd w:id="144"/>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45" w:name="_Toc136699542"/>
      <w:bookmarkStart w:id="146" w:name="_Toc136700287"/>
      <w:bookmarkStart w:id="147" w:name="_Toc136700751"/>
      <w:bookmarkStart w:id="148" w:name="_Toc26414"/>
      <w:bookmarkStart w:id="149" w:name="_Toc136935373"/>
      <w:bookmarkStart w:id="150" w:name="_Toc20949"/>
      <w:bookmarkStart w:id="151" w:name="_Toc136856266"/>
      <w:bookmarkStart w:id="152" w:name="_Toc18819"/>
      <w:bookmarkStart w:id="153" w:name="_Toc26312"/>
      <w:bookmarkStart w:id="154" w:name="_Toc136102852"/>
      <w:bookmarkStart w:id="155" w:name="_Toc136701283"/>
      <w:bookmarkStart w:id="156" w:name="_Toc30998"/>
      <w:bookmarkStart w:id="157" w:name="_Toc3907"/>
      <w:bookmarkStart w:id="158" w:name="_Hlk136594806"/>
      <w:r>
        <w:rPr>
          <w:rFonts w:hint="eastAsia" w:ascii="仿宋_GB2312" w:hAnsi="仿宋_GB2312" w:eastAsia="仿宋_GB2312" w:cs="仿宋_GB2312"/>
          <w:sz w:val="28"/>
          <w:szCs w:val="28"/>
          <w:highlight w:val="none"/>
        </w:rPr>
        <w:t>2022年乌审旗无定河镇五件民生实事人大代表票决制项目</w:t>
      </w:r>
      <w:bookmarkStart w:id="159" w:name="_Toc136699544"/>
      <w:bookmarkEnd w:id="145"/>
      <w:r>
        <w:rPr>
          <w:rFonts w:hint="eastAsia" w:ascii="仿宋_GB2312" w:hAnsi="仿宋_GB2312" w:eastAsia="仿宋_GB2312" w:cs="仿宋_GB2312"/>
          <w:sz w:val="28"/>
          <w:szCs w:val="28"/>
          <w:highlight w:val="none"/>
        </w:rPr>
        <w:t>中，河南学校硬化绿化项目未验收；</w:t>
      </w:r>
      <w:bookmarkStart w:id="160" w:name="_Hlk136877887"/>
      <w:r>
        <w:rPr>
          <w:rFonts w:hint="eastAsia" w:ascii="仿宋_GB2312" w:hAnsi="仿宋_GB2312" w:eastAsia="仿宋_GB2312" w:cs="仿宋_GB2312"/>
          <w:sz w:val="28"/>
          <w:szCs w:val="28"/>
          <w:highlight w:val="none"/>
        </w:rPr>
        <w:t>巴图湾节水灌溉项目</w:t>
      </w:r>
      <w:bookmarkStart w:id="161" w:name="_Toc136699545"/>
      <w:bookmarkEnd w:id="159"/>
      <w:bookmarkEnd w:id="160"/>
      <w:r>
        <w:rPr>
          <w:rFonts w:hint="eastAsia" w:ascii="仿宋_GB2312" w:hAnsi="仿宋_GB2312" w:eastAsia="仿宋_GB2312" w:cs="仿宋_GB2312"/>
          <w:sz w:val="28"/>
          <w:szCs w:val="28"/>
          <w:highlight w:val="none"/>
        </w:rPr>
        <w:t>未按合同约定竣工验收；</w:t>
      </w:r>
      <w:bookmarkStart w:id="162" w:name="_Toc136699546"/>
      <w:bookmarkEnd w:id="161"/>
      <w:r>
        <w:rPr>
          <w:rFonts w:hint="eastAsia" w:ascii="仿宋_GB2312" w:hAnsi="仿宋_GB2312" w:eastAsia="仿宋_GB2312" w:cs="仿宋_GB2312"/>
          <w:sz w:val="28"/>
          <w:szCs w:val="28"/>
          <w:highlight w:val="none"/>
        </w:rPr>
        <w:t>为老服务中心项目分为河南社区为老服务中心和河园为老服务中心，其中河南社区为老服务中心未按合同约定及时验收；</w:t>
      </w:r>
      <w:bookmarkStart w:id="163" w:name="_Toc136699547"/>
      <w:bookmarkEnd w:id="162"/>
      <w:r>
        <w:rPr>
          <w:rFonts w:hint="eastAsia" w:ascii="仿宋_GB2312" w:hAnsi="仿宋_GB2312" w:eastAsia="仿宋_GB2312" w:cs="仿宋_GB2312"/>
          <w:sz w:val="28"/>
          <w:szCs w:val="28"/>
          <w:highlight w:val="none"/>
        </w:rPr>
        <w:t>排子湾土地整合项目已验收未竣工结算审核。</w:t>
      </w:r>
      <w:bookmarkStart w:id="164" w:name="_Toc136699548"/>
      <w:bookmarkEnd w:id="163"/>
      <w:r>
        <w:rPr>
          <w:rFonts w:hint="eastAsia" w:ascii="仿宋_GB2312" w:hAnsi="仿宋_GB2312" w:eastAsia="仿宋_GB2312" w:cs="仿宋_GB2312"/>
          <w:sz w:val="28"/>
          <w:szCs w:val="28"/>
          <w:highlight w:val="none"/>
        </w:rPr>
        <w:t>未达到民生实事人大代表票决制项目完成时限要求。</w:t>
      </w:r>
      <w:bookmarkEnd w:id="146"/>
      <w:bookmarkEnd w:id="147"/>
      <w:bookmarkEnd w:id="148"/>
      <w:bookmarkEnd w:id="149"/>
      <w:bookmarkEnd w:id="150"/>
      <w:bookmarkEnd w:id="151"/>
      <w:bookmarkEnd w:id="152"/>
      <w:bookmarkEnd w:id="153"/>
      <w:bookmarkEnd w:id="154"/>
      <w:bookmarkEnd w:id="155"/>
      <w:bookmarkEnd w:id="156"/>
      <w:bookmarkEnd w:id="157"/>
      <w:bookmarkEnd w:id="164"/>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165" w:name="_Toc32743"/>
      <w:bookmarkStart w:id="166" w:name="_Toc136935374"/>
      <w:bookmarkStart w:id="167" w:name="_Toc16506"/>
      <w:bookmarkStart w:id="168" w:name="_Toc11013"/>
      <w:bookmarkStart w:id="169" w:name="_Toc136102853"/>
      <w:bookmarkStart w:id="170" w:name="_Toc15302"/>
      <w:bookmarkStart w:id="171" w:name="_Toc2326"/>
      <w:bookmarkStart w:id="172" w:name="_Toc136701284"/>
      <w:bookmarkStart w:id="173" w:name="_Toc136856267"/>
      <w:bookmarkStart w:id="174" w:name="_Toc136699549"/>
      <w:bookmarkStart w:id="175" w:name="_Toc29133"/>
      <w:r>
        <w:rPr>
          <w:rFonts w:hint="eastAsia" w:ascii="仿宋_GB2312" w:hAnsi="仿宋_GB2312" w:eastAsia="仿宋_GB2312" w:cs="仿宋_GB2312"/>
          <w:b/>
          <w:bCs/>
          <w:sz w:val="28"/>
          <w:szCs w:val="28"/>
          <w:highlight w:val="none"/>
        </w:rPr>
        <w:t>（二）财政资金支出率较低</w:t>
      </w:r>
      <w:bookmarkEnd w:id="165"/>
      <w:bookmarkEnd w:id="166"/>
      <w:bookmarkEnd w:id="167"/>
      <w:bookmarkEnd w:id="168"/>
      <w:bookmarkEnd w:id="169"/>
      <w:bookmarkEnd w:id="170"/>
      <w:bookmarkEnd w:id="171"/>
      <w:bookmarkEnd w:id="172"/>
      <w:bookmarkEnd w:id="173"/>
      <w:bookmarkEnd w:id="174"/>
      <w:bookmarkEnd w:id="175"/>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2022年民生实事人大代表票决制项目年初预算安排</w:t>
      </w:r>
      <w:r>
        <w:rPr>
          <w:rFonts w:ascii="仿宋_GB2312" w:hAnsi="仿宋_GB2312" w:eastAsia="仿宋_GB2312" w:cs="仿宋_GB2312"/>
          <w:sz w:val="28"/>
          <w:szCs w:val="28"/>
          <w:highlight w:val="none"/>
        </w:rPr>
        <w:t>747</w:t>
      </w:r>
      <w:r>
        <w:rPr>
          <w:rFonts w:hint="eastAsia" w:ascii="仿宋_GB2312" w:hAnsi="仿宋_GB2312" w:eastAsia="仿宋_GB2312" w:cs="仿宋_GB2312"/>
          <w:sz w:val="28"/>
          <w:szCs w:val="28"/>
          <w:highlight w:val="none"/>
        </w:rPr>
        <w:t>万元，其中民生实事项目资金500万元，预算资金207万元，民政局资金40万元。2022年支付</w:t>
      </w:r>
      <w:r>
        <w:rPr>
          <w:rFonts w:ascii="仿宋_GB2312" w:hAnsi="仿宋_GB2312" w:eastAsia="仿宋_GB2312" w:cs="仿宋_GB2312"/>
          <w:sz w:val="28"/>
          <w:szCs w:val="28"/>
          <w:highlight w:val="none"/>
        </w:rPr>
        <w:t>393.84</w:t>
      </w:r>
      <w:r>
        <w:rPr>
          <w:rFonts w:hint="eastAsia" w:ascii="仿宋_GB2312" w:hAnsi="仿宋_GB2312" w:eastAsia="仿宋_GB2312" w:cs="仿宋_GB2312"/>
          <w:sz w:val="28"/>
          <w:szCs w:val="28"/>
          <w:highlight w:val="none"/>
        </w:rPr>
        <w:t>万元，整体预算执行率</w:t>
      </w:r>
      <w:bookmarkStart w:id="176" w:name="_Hlk135664039"/>
      <w:r>
        <w:rPr>
          <w:rFonts w:ascii="仿宋_GB2312" w:hAnsi="仿宋_GB2312" w:eastAsia="仿宋_GB2312" w:cs="仿宋_GB2312"/>
          <w:sz w:val="28"/>
          <w:szCs w:val="28"/>
          <w:highlight w:val="none"/>
        </w:rPr>
        <w:t>52.72</w:t>
      </w:r>
      <w:r>
        <w:rPr>
          <w:rFonts w:hint="eastAsia" w:ascii="仿宋_GB2312" w:hAnsi="仿宋_GB2312" w:eastAsia="仿宋_GB2312" w:cs="仿宋_GB2312"/>
          <w:sz w:val="28"/>
          <w:szCs w:val="28"/>
          <w:highlight w:val="none"/>
        </w:rPr>
        <w:t>%</w:t>
      </w:r>
      <w:bookmarkEnd w:id="176"/>
      <w:r>
        <w:rPr>
          <w:rFonts w:hint="eastAsia" w:ascii="仿宋_GB2312" w:hAnsi="仿宋_GB2312" w:eastAsia="仿宋_GB2312" w:cs="仿宋_GB2312"/>
          <w:sz w:val="28"/>
          <w:szCs w:val="28"/>
          <w:highlight w:val="none"/>
        </w:rPr>
        <w:t>。资金实际投入低于计划投入，未支出资金的原因主要为财政财力不足而导致延期拨付。</w:t>
      </w:r>
    </w:p>
    <w:bookmarkEnd w:id="158"/>
    <w:p>
      <w:pPr>
        <w:pStyle w:val="19"/>
        <w:spacing w:before="0" w:beforeAutospacing="0" w:after="0" w:afterAutospacing="0" w:line="360" w:lineRule="auto"/>
        <w:ind w:firstLine="562" w:firstLineChars="200"/>
        <w:jc w:val="both"/>
        <w:outlineLvl w:val="1"/>
        <w:rPr>
          <w:rFonts w:ascii="仿宋_GB2312" w:hAnsi="仿宋_GB2312" w:eastAsia="仿宋_GB2312" w:cs="仿宋_GB2312"/>
          <w:sz w:val="28"/>
          <w:szCs w:val="28"/>
          <w:highlight w:val="none"/>
        </w:rPr>
      </w:pPr>
      <w:bookmarkStart w:id="177" w:name="_Toc7563"/>
      <w:bookmarkStart w:id="178" w:name="_Toc136935375"/>
      <w:bookmarkStart w:id="179" w:name="_Toc12437"/>
      <w:bookmarkStart w:id="180" w:name="_Toc136856268"/>
      <w:bookmarkStart w:id="181" w:name="_Toc10058"/>
      <w:bookmarkStart w:id="182" w:name="_Toc136102854"/>
      <w:bookmarkStart w:id="183" w:name="_Toc2525"/>
      <w:bookmarkStart w:id="184" w:name="_Toc32621"/>
      <w:bookmarkStart w:id="185" w:name="_Toc136699550"/>
      <w:bookmarkStart w:id="186" w:name="_Toc9519"/>
      <w:bookmarkStart w:id="187" w:name="_Toc136701285"/>
      <w:r>
        <w:rPr>
          <w:rFonts w:hint="eastAsia" w:ascii="仿宋_GB2312" w:hAnsi="仿宋_GB2312" w:eastAsia="仿宋_GB2312" w:cs="仿宋_GB2312"/>
          <w:b/>
          <w:bCs/>
          <w:sz w:val="28"/>
          <w:szCs w:val="28"/>
          <w:highlight w:val="none"/>
        </w:rPr>
        <w:t>（三）</w:t>
      </w:r>
      <w:r>
        <w:rPr>
          <w:rFonts w:ascii="仿宋_GB2312" w:hAnsi="仿宋_GB2312" w:eastAsia="仿宋_GB2312" w:cs="仿宋_GB2312"/>
          <w:b/>
          <w:bCs/>
          <w:sz w:val="28"/>
          <w:szCs w:val="28"/>
          <w:highlight w:val="none"/>
        </w:rPr>
        <w:t>绩效目标细化、量化程度不足</w:t>
      </w:r>
      <w:bookmarkEnd w:id="177"/>
      <w:bookmarkEnd w:id="178"/>
      <w:bookmarkEnd w:id="179"/>
      <w:bookmarkEnd w:id="180"/>
      <w:bookmarkEnd w:id="181"/>
      <w:bookmarkEnd w:id="182"/>
      <w:bookmarkEnd w:id="183"/>
      <w:bookmarkEnd w:id="184"/>
      <w:bookmarkEnd w:id="185"/>
      <w:bookmarkEnd w:id="186"/>
      <w:bookmarkEnd w:id="187"/>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188" w:name="_Toc136856269"/>
      <w:bookmarkStart w:id="189" w:name="_Toc136935376"/>
      <w:bookmarkStart w:id="190" w:name="_Toc12985"/>
      <w:bookmarkStart w:id="191" w:name="_Toc136102855"/>
      <w:bookmarkStart w:id="192" w:name="_Toc10216"/>
      <w:bookmarkStart w:id="193" w:name="_Toc524"/>
      <w:bookmarkStart w:id="194" w:name="_Toc136700754"/>
      <w:bookmarkStart w:id="195" w:name="_Toc136701286"/>
      <w:bookmarkStart w:id="196" w:name="_Toc15078"/>
      <w:bookmarkStart w:id="197" w:name="_Toc11695"/>
      <w:bookmarkStart w:id="198" w:name="_Toc2406"/>
      <w:bookmarkStart w:id="199" w:name="_Toc136700290"/>
      <w:bookmarkStart w:id="200" w:name="_Toc136699551"/>
      <w:r>
        <w:rPr>
          <w:rFonts w:hint="eastAsia" w:ascii="仿宋_GB2312" w:hAnsi="仿宋_GB2312" w:eastAsia="仿宋_GB2312" w:cs="仿宋_GB2312"/>
          <w:sz w:val="28"/>
          <w:szCs w:val="28"/>
          <w:highlight w:val="none"/>
        </w:rPr>
        <w:t>根据项目单位提供的《绩效评价自评报告》和自评表，设置的绩效目标细化、量化程度不足，绩效指标设置未能凸显项目绩效特色，绩效指标与绩效目标关联性相对较差，部分绩效指标缺少佐证资料。</w:t>
      </w:r>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201" w:name="_Toc136856270"/>
      <w:bookmarkStart w:id="202" w:name="_Toc136935377"/>
      <w:bookmarkStart w:id="203" w:name="_Toc8356"/>
      <w:bookmarkStart w:id="204" w:name="_Toc12719"/>
      <w:r>
        <w:rPr>
          <w:rFonts w:hint="eastAsia" w:ascii="仿宋_GB2312" w:hAnsi="仿宋_GB2312" w:eastAsia="仿宋_GB2312" w:cs="仿宋_GB2312"/>
          <w:b/>
          <w:bCs/>
          <w:sz w:val="28"/>
          <w:szCs w:val="28"/>
          <w:highlight w:val="none"/>
        </w:rPr>
        <w:t>（四）绩效理念不强，绩效管理工作有待提高</w:t>
      </w:r>
      <w:bookmarkEnd w:id="201"/>
      <w:bookmarkEnd w:id="202"/>
      <w:bookmarkEnd w:id="203"/>
      <w:bookmarkEnd w:id="204"/>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05" w:name="_Toc136935378"/>
      <w:bookmarkStart w:id="206" w:name="_Toc4702"/>
      <w:bookmarkStart w:id="207" w:name="_Toc136856271"/>
      <w:bookmarkStart w:id="208" w:name="_Toc2811"/>
      <w:r>
        <w:rPr>
          <w:rFonts w:hint="eastAsia" w:ascii="仿宋_GB2312" w:hAnsi="仿宋_GB2312" w:eastAsia="仿宋_GB2312" w:cs="仿宋_GB2312"/>
          <w:sz w:val="28"/>
          <w:szCs w:val="28"/>
          <w:highlight w:val="none"/>
        </w:rPr>
        <w:t>根据现场访谈及调研，存在未按要求申报绩效目标，在自评工作中未按要求编写自评报告，未设置规范的指标体系，缺乏必要的佐证材料等现象。</w:t>
      </w:r>
      <w:bookmarkEnd w:id="205"/>
      <w:bookmarkEnd w:id="206"/>
      <w:bookmarkEnd w:id="207"/>
      <w:bookmarkEnd w:id="208"/>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209" w:name="_Toc136856272"/>
      <w:bookmarkStart w:id="210" w:name="_Toc136699552"/>
      <w:bookmarkStart w:id="211" w:name="_Toc20993"/>
      <w:bookmarkStart w:id="212" w:name="_Toc136701287"/>
      <w:bookmarkStart w:id="213" w:name="_Toc136935379"/>
      <w:bookmarkStart w:id="214" w:name="_Toc3756"/>
      <w:r>
        <w:rPr>
          <w:rFonts w:hint="eastAsia" w:ascii="仿宋_GB2312" w:hAnsi="仿宋_GB2312" w:eastAsia="仿宋_GB2312" w:cs="仿宋_GB2312"/>
          <w:b/>
          <w:bCs/>
          <w:sz w:val="28"/>
          <w:szCs w:val="28"/>
          <w:highlight w:val="none"/>
        </w:rPr>
        <w:t>（五）资金支付不规范，内控建设有待加强</w:t>
      </w:r>
      <w:bookmarkEnd w:id="209"/>
      <w:bookmarkEnd w:id="210"/>
      <w:bookmarkEnd w:id="211"/>
      <w:bookmarkEnd w:id="212"/>
      <w:bookmarkEnd w:id="213"/>
      <w:bookmarkEnd w:id="214"/>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15" w:name="_Toc136699553"/>
      <w:bookmarkStart w:id="216" w:name="_Toc136935380"/>
      <w:bookmarkStart w:id="217" w:name="_Toc25365"/>
      <w:bookmarkStart w:id="218" w:name="_Toc136700756"/>
      <w:bookmarkStart w:id="219" w:name="_Toc15438"/>
      <w:bookmarkStart w:id="220" w:name="_Toc136856273"/>
      <w:bookmarkStart w:id="221" w:name="_Toc136701288"/>
      <w:bookmarkStart w:id="222" w:name="_Toc136700292"/>
      <w:r>
        <w:rPr>
          <w:rFonts w:hint="eastAsia" w:ascii="仿宋_GB2312" w:hAnsi="仿宋_GB2312" w:eastAsia="仿宋_GB2312" w:cs="仿宋_GB2312"/>
          <w:sz w:val="28"/>
          <w:szCs w:val="28"/>
          <w:highlight w:val="none"/>
        </w:rPr>
        <w:t>1.河南学校硬化绿化项目及巴图湾节水灌溉项目支付工程进度款项时，部分存在仅依据发票及合同支付款项，无建设方、施工方和监理单位签字确认的工程进度资料的现象，付款依据不充分。</w:t>
      </w:r>
      <w:bookmarkEnd w:id="215"/>
      <w:bookmarkEnd w:id="216"/>
      <w:bookmarkEnd w:id="217"/>
      <w:bookmarkEnd w:id="218"/>
      <w:bookmarkEnd w:id="219"/>
      <w:bookmarkEnd w:id="220"/>
      <w:bookmarkEnd w:id="221"/>
      <w:bookmarkEnd w:id="222"/>
      <w:r>
        <w:rPr>
          <w:rFonts w:ascii="仿宋_GB2312" w:hAnsi="仿宋_GB2312" w:eastAsia="仿宋_GB2312" w:cs="仿宋_GB2312"/>
          <w:sz w:val="28"/>
          <w:szCs w:val="28"/>
          <w:highlight w:val="none"/>
        </w:rPr>
        <w:t xml:space="preserve"> </w:t>
      </w:r>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23" w:name="_Toc136700295"/>
      <w:bookmarkStart w:id="224" w:name="_Toc136701291"/>
      <w:bookmarkStart w:id="225" w:name="_Toc136699556"/>
      <w:bookmarkStart w:id="226" w:name="_Toc136700759"/>
      <w:bookmarkStart w:id="227" w:name="_Toc136935381"/>
      <w:bookmarkStart w:id="228" w:name="_Toc4852"/>
      <w:bookmarkStart w:id="229" w:name="_Toc136856275"/>
      <w:bookmarkStart w:id="230" w:name="_Toc21649"/>
      <w:r>
        <w:rPr>
          <w:rFonts w:hint="eastAsia" w:ascii="仿宋_GB2312" w:hAnsi="仿宋_GB2312" w:eastAsia="仿宋_GB2312" w:cs="仿宋_GB2312"/>
          <w:sz w:val="28"/>
          <w:szCs w:val="28"/>
          <w:highlight w:val="none"/>
        </w:rPr>
        <w:t>2.河南社区为老服务中心、河园社区为老服务中心项目，民政局资金拨付40万元，无相关拨付文件</w:t>
      </w:r>
      <w:bookmarkEnd w:id="223"/>
      <w:bookmarkEnd w:id="224"/>
      <w:bookmarkEnd w:id="225"/>
      <w:bookmarkEnd w:id="226"/>
      <w:r>
        <w:rPr>
          <w:rFonts w:hint="eastAsia" w:ascii="仿宋_GB2312" w:hAnsi="仿宋_GB2312" w:eastAsia="仿宋_GB2312" w:cs="仿宋_GB2312"/>
          <w:sz w:val="28"/>
          <w:szCs w:val="28"/>
          <w:highlight w:val="none"/>
        </w:rPr>
        <w:t>资料。</w:t>
      </w:r>
      <w:bookmarkEnd w:id="227"/>
      <w:bookmarkEnd w:id="228"/>
      <w:bookmarkEnd w:id="229"/>
      <w:bookmarkEnd w:id="230"/>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31" w:name="_Toc136700760"/>
      <w:bookmarkStart w:id="232" w:name="_Toc136935382"/>
      <w:bookmarkStart w:id="233" w:name="_Toc4943"/>
      <w:bookmarkStart w:id="234" w:name="_Toc136700296"/>
      <w:bookmarkStart w:id="235" w:name="_Toc5094"/>
      <w:bookmarkStart w:id="236" w:name="_Toc136699557"/>
      <w:bookmarkStart w:id="237" w:name="_Toc136856276"/>
      <w:bookmarkStart w:id="238" w:name="_Toc136701292"/>
      <w:r>
        <w:rPr>
          <w:rFonts w:hint="eastAsia" w:ascii="仿宋_GB2312" w:hAnsi="仿宋_GB2312" w:eastAsia="仿宋_GB2312" w:cs="仿宋_GB2312"/>
          <w:sz w:val="28"/>
          <w:szCs w:val="28"/>
          <w:highlight w:val="none"/>
        </w:rPr>
        <w:t>3.为老服务中心建设项目，2022年6月30日以借款方式支付靖边县力博广告有限公司河南社区养老服务中心装修款20万元，后附2022年12月21日开具的发票512,065元。合同约定付款方式为完工验收合格后一次性支付，该项目验收日期为2022年7月14日，镇政府在未验收未取得发票的情况下提前以借款方式支付施工方款项，不符合合同约定付款方式；河园社区为老服务中心开具的发票购买方名称错误，且发票金额小于实际付款金额。</w:t>
      </w:r>
      <w:bookmarkEnd w:id="231"/>
      <w:bookmarkEnd w:id="232"/>
      <w:bookmarkEnd w:id="233"/>
      <w:bookmarkEnd w:id="234"/>
      <w:bookmarkEnd w:id="235"/>
      <w:bookmarkEnd w:id="236"/>
      <w:bookmarkEnd w:id="237"/>
      <w:bookmarkEnd w:id="238"/>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39" w:name="_Toc23690"/>
      <w:bookmarkStart w:id="240" w:name="_Toc136935383"/>
      <w:bookmarkStart w:id="241" w:name="_Toc21692"/>
      <w:bookmarkStart w:id="242" w:name="_Toc136699562"/>
      <w:bookmarkStart w:id="243" w:name="_Toc136701297"/>
      <w:bookmarkStart w:id="244" w:name="_Toc136856278"/>
      <w:r>
        <w:rPr>
          <w:rFonts w:hint="eastAsia" w:ascii="仿宋_GB2312" w:hAnsi="仿宋_GB2312" w:eastAsia="仿宋_GB2312" w:cs="仿宋_GB2312"/>
          <w:sz w:val="28"/>
          <w:szCs w:val="28"/>
          <w:highlight w:val="none"/>
        </w:rPr>
        <w:t>4.河南学校硬化绿化项目，截止2022年11月，共支付内蒙古中盈建设工程有限公司工程款1,719,256.68元。合同约定的付款方式为工程完工后经甲方委托的造价咨询公司据实结算后，支付结算价款的97%，剩余3%工程验收合格之日起质保期满后一次结清。该项目未完工未验收，已按合同金额全额支付工程款，未预留质保金。</w:t>
      </w:r>
      <w:bookmarkEnd w:id="239"/>
      <w:bookmarkEnd w:id="240"/>
      <w:bookmarkEnd w:id="241"/>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245" w:name="_Toc136935384"/>
      <w:bookmarkStart w:id="246" w:name="_Toc10025"/>
      <w:bookmarkStart w:id="247" w:name="_Toc23654"/>
      <w:r>
        <w:rPr>
          <w:rFonts w:hint="eastAsia" w:ascii="仿宋_GB2312" w:hAnsi="仿宋_GB2312" w:eastAsia="仿宋_GB2312" w:cs="仿宋_GB2312"/>
          <w:b/>
          <w:bCs/>
          <w:sz w:val="28"/>
          <w:szCs w:val="28"/>
          <w:highlight w:val="none"/>
        </w:rPr>
        <w:t>（六）相关制度未得到有效执行</w:t>
      </w:r>
      <w:bookmarkEnd w:id="242"/>
      <w:bookmarkEnd w:id="243"/>
      <w:bookmarkEnd w:id="244"/>
      <w:bookmarkEnd w:id="245"/>
      <w:bookmarkEnd w:id="246"/>
      <w:bookmarkEnd w:id="247"/>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48" w:name="_Toc31942"/>
      <w:bookmarkStart w:id="249" w:name="_Toc136935385"/>
      <w:bookmarkStart w:id="250" w:name="_Toc23260"/>
      <w:r>
        <w:rPr>
          <w:rFonts w:hint="eastAsia" w:ascii="仿宋" w:hAnsi="仿宋" w:eastAsia="仿宋" w:cs="宋体"/>
          <w:sz w:val="28"/>
          <w:szCs w:val="28"/>
          <w:highlight w:val="none"/>
        </w:rPr>
        <w:t>1.河园社区为老服务中心</w:t>
      </w:r>
      <w:r>
        <w:rPr>
          <w:rFonts w:hint="eastAsia" w:ascii="仿宋" w:hAnsi="仿宋" w:eastAsia="仿宋" w:cs="宋体"/>
          <w:sz w:val="28"/>
          <w:szCs w:val="28"/>
          <w:highlight w:val="none"/>
          <w:lang w:val="en-US" w:eastAsia="zh-CN"/>
        </w:rPr>
        <w:t>项目</w:t>
      </w:r>
      <w:r>
        <w:rPr>
          <w:rFonts w:hint="eastAsia" w:ascii="仿宋" w:hAnsi="仿宋" w:eastAsia="仿宋" w:cs="宋体"/>
          <w:sz w:val="28"/>
          <w:szCs w:val="28"/>
          <w:highlight w:val="none"/>
        </w:rPr>
        <w:t>，</w:t>
      </w:r>
      <w:r>
        <w:rPr>
          <w:rFonts w:ascii="仿宋" w:hAnsi="仿宋" w:eastAsia="仿宋" w:cs="宋体"/>
          <w:sz w:val="28"/>
          <w:szCs w:val="28"/>
          <w:highlight w:val="none"/>
        </w:rPr>
        <w:t>按照《鄂尔多斯市养老服务条例》，</w:t>
      </w:r>
      <w:r>
        <w:rPr>
          <w:rFonts w:hint="eastAsia" w:ascii="仿宋" w:hAnsi="仿宋" w:eastAsia="仿宋" w:cs="宋体"/>
          <w:sz w:val="28"/>
          <w:szCs w:val="28"/>
          <w:highlight w:val="none"/>
          <w:lang w:val="en-US" w:eastAsia="zh-CN"/>
        </w:rPr>
        <w:t>于</w:t>
      </w:r>
      <w:r>
        <w:rPr>
          <w:rFonts w:hint="eastAsia" w:ascii="仿宋" w:hAnsi="仿宋" w:eastAsia="仿宋" w:cs="宋体"/>
          <w:sz w:val="28"/>
          <w:szCs w:val="28"/>
          <w:highlight w:val="none"/>
        </w:rPr>
        <w:t>2021年12月1日完工验收，2022年1月1日后补签合同</w:t>
      </w:r>
      <w:r>
        <w:rPr>
          <w:rFonts w:hint="eastAsia" w:ascii="仿宋" w:hAnsi="仿宋" w:eastAsia="仿宋" w:cs="宋体"/>
          <w:sz w:val="28"/>
          <w:szCs w:val="28"/>
          <w:highlight w:val="none"/>
          <w:lang w:eastAsia="zh-CN"/>
        </w:rPr>
        <w:t>，</w:t>
      </w:r>
      <w:r>
        <w:rPr>
          <w:rFonts w:ascii="仿宋" w:hAnsi="仿宋" w:eastAsia="仿宋" w:cs="宋体"/>
          <w:sz w:val="28"/>
          <w:szCs w:val="28"/>
          <w:highlight w:val="none"/>
        </w:rPr>
        <w:t>项目竣工后因上级资金未到位没有支付工程款。根据无定河镇第四届人民代表大会第二次会议决定，该项目被列入2022年无定河镇民生实事项目。2022年5月份项目原配套的上级资金到位，使用项目原配套上级资金支付工程款。</w:t>
      </w:r>
      <w:bookmarkEnd w:id="248"/>
      <w:bookmarkEnd w:id="249"/>
      <w:bookmarkEnd w:id="250"/>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51" w:name="_Toc136935386"/>
      <w:bookmarkStart w:id="252" w:name="_Toc136700767"/>
      <w:bookmarkStart w:id="253" w:name="_Toc136856280"/>
      <w:bookmarkStart w:id="254" w:name="_Toc29513"/>
      <w:bookmarkStart w:id="255" w:name="_Toc136700303"/>
      <w:bookmarkStart w:id="256" w:name="_Toc12855"/>
      <w:bookmarkStart w:id="257" w:name="_Toc136699564"/>
      <w:bookmarkStart w:id="258" w:name="_Toc136701299"/>
      <w:r>
        <w:rPr>
          <w:rFonts w:hint="eastAsia" w:ascii="仿宋_GB2312" w:hAnsi="仿宋_GB2312" w:eastAsia="仿宋_GB2312" w:cs="仿宋_GB2312"/>
          <w:sz w:val="28"/>
          <w:szCs w:val="28"/>
          <w:highlight w:val="none"/>
        </w:rPr>
        <w:t>2.为老服务中心建设项目两个项目均有招投标文件，但无中标通知书；排子湾土地整合项目施工方的确定无询价比价资料，无中标通知书。</w:t>
      </w:r>
      <w:bookmarkEnd w:id="251"/>
      <w:bookmarkEnd w:id="252"/>
      <w:bookmarkEnd w:id="253"/>
      <w:bookmarkEnd w:id="254"/>
      <w:bookmarkEnd w:id="255"/>
      <w:bookmarkEnd w:id="256"/>
      <w:bookmarkEnd w:id="257"/>
      <w:bookmarkEnd w:id="258"/>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59" w:name="_Toc22585"/>
      <w:bookmarkStart w:id="260" w:name="_Toc136935387"/>
      <w:bookmarkStart w:id="261" w:name="_Toc1218"/>
      <w:r>
        <w:rPr>
          <w:rFonts w:hint="eastAsia" w:ascii="仿宋_GB2312" w:hAnsi="仿宋_GB2312" w:eastAsia="仿宋_GB2312" w:cs="仿宋_GB2312"/>
          <w:sz w:val="28"/>
          <w:szCs w:val="28"/>
          <w:highlight w:val="none"/>
        </w:rPr>
        <w:t>3．</w:t>
      </w:r>
      <w:r>
        <w:rPr>
          <w:rFonts w:hint="eastAsia" w:ascii="仿宋_GB2312" w:hAnsi="仿宋_GB2312" w:eastAsia="仿宋_GB2312" w:cs="仿宋_GB2312"/>
          <w:sz w:val="28"/>
          <w:szCs w:val="28"/>
          <w:highlight w:val="none"/>
          <w:lang w:val="en-US" w:eastAsia="zh-CN"/>
        </w:rPr>
        <w:t>部分项目存在付款审批签字不全、</w:t>
      </w:r>
      <w:r>
        <w:rPr>
          <w:rFonts w:hint="eastAsia" w:ascii="仿宋_GB2312" w:hAnsi="仿宋_GB2312" w:eastAsia="仿宋_GB2312" w:cs="仿宋_GB2312"/>
          <w:sz w:val="28"/>
          <w:szCs w:val="28"/>
          <w:highlight w:val="none"/>
        </w:rPr>
        <w:t>竣工结算审定表发包人未签字盖章</w:t>
      </w:r>
      <w:r>
        <w:rPr>
          <w:rFonts w:hint="eastAsia" w:ascii="仿宋_GB2312" w:hAnsi="仿宋_GB2312" w:eastAsia="仿宋_GB2312" w:cs="仿宋_GB2312"/>
          <w:sz w:val="28"/>
          <w:szCs w:val="28"/>
          <w:highlight w:val="none"/>
          <w:lang w:val="en-US" w:eastAsia="zh-CN"/>
        </w:rPr>
        <w:t>等现象。</w:t>
      </w:r>
      <w:bookmarkEnd w:id="259"/>
      <w:bookmarkEnd w:id="260"/>
      <w:bookmarkEnd w:id="261"/>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262" w:name="_Toc136935390"/>
      <w:bookmarkStart w:id="263" w:name="_Toc136856283"/>
      <w:bookmarkStart w:id="264" w:name="_Toc136701302"/>
      <w:bookmarkStart w:id="265" w:name="_Toc136699566"/>
      <w:bookmarkStart w:id="266" w:name="_Toc15749"/>
      <w:bookmarkStart w:id="267" w:name="_Toc6049"/>
      <w:r>
        <w:rPr>
          <w:rFonts w:hint="eastAsia" w:ascii="仿宋_GB2312" w:hAnsi="仿宋_GB2312" w:eastAsia="仿宋_GB2312" w:cs="仿宋_GB2312"/>
          <w:b/>
          <w:bCs/>
          <w:sz w:val="28"/>
          <w:szCs w:val="28"/>
          <w:highlight w:val="none"/>
        </w:rPr>
        <w:t>（七）合同签订内容不完整</w:t>
      </w:r>
      <w:bookmarkEnd w:id="262"/>
      <w:bookmarkEnd w:id="263"/>
      <w:bookmarkEnd w:id="264"/>
      <w:bookmarkEnd w:id="265"/>
      <w:bookmarkEnd w:id="266"/>
      <w:bookmarkEnd w:id="267"/>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68" w:name="_Toc136935391"/>
      <w:bookmarkStart w:id="269" w:name="_Toc136699567"/>
      <w:bookmarkStart w:id="270" w:name="_Toc136856284"/>
      <w:bookmarkStart w:id="271" w:name="_Toc136700306"/>
      <w:bookmarkStart w:id="272" w:name="_Toc136701303"/>
      <w:bookmarkStart w:id="273" w:name="_Toc4963"/>
      <w:bookmarkStart w:id="274" w:name="_Toc30675"/>
      <w:r>
        <w:rPr>
          <w:rFonts w:hint="eastAsia" w:ascii="仿宋_GB2312" w:hAnsi="仿宋_GB2312" w:eastAsia="仿宋_GB2312" w:cs="仿宋_GB2312"/>
          <w:sz w:val="28"/>
          <w:szCs w:val="28"/>
          <w:highlight w:val="none"/>
        </w:rPr>
        <w:t>1．为老服务中心建设项目,无定河镇人民政府与靖边县力博广告有限公司签订的河南社区为老服务中心装修改造协议和与鄂尔多斯市鑫屿装饰工程有限公司签订的河园社区为老服务中心装修改造合同均未约定质保金。</w:t>
      </w:r>
      <w:bookmarkEnd w:id="268"/>
      <w:bookmarkEnd w:id="269"/>
      <w:bookmarkEnd w:id="270"/>
      <w:bookmarkEnd w:id="271"/>
      <w:bookmarkEnd w:id="272"/>
      <w:bookmarkEnd w:id="273"/>
      <w:bookmarkEnd w:id="274"/>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75" w:name="_Toc136700307"/>
      <w:bookmarkStart w:id="276" w:name="_Toc31304"/>
      <w:bookmarkStart w:id="277" w:name="_Toc136856285"/>
      <w:bookmarkStart w:id="278" w:name="_Toc9201"/>
      <w:bookmarkStart w:id="279" w:name="_Toc136935392"/>
      <w:bookmarkStart w:id="280" w:name="_Toc136701304"/>
      <w:bookmarkStart w:id="281" w:name="_Toc136699568"/>
      <w:r>
        <w:rPr>
          <w:rFonts w:hint="eastAsia" w:ascii="仿宋_GB2312" w:hAnsi="仿宋_GB2312" w:eastAsia="仿宋_GB2312" w:cs="仿宋_GB2312"/>
          <w:sz w:val="28"/>
          <w:szCs w:val="28"/>
          <w:highlight w:val="none"/>
        </w:rPr>
        <w:t>2．8km社社通工程，巴图湾村民委员会与靖边县九桥机砖厂签订的采购合同签订日期等未填写。</w:t>
      </w:r>
      <w:bookmarkEnd w:id="275"/>
      <w:bookmarkEnd w:id="276"/>
      <w:bookmarkEnd w:id="277"/>
      <w:bookmarkEnd w:id="278"/>
      <w:bookmarkEnd w:id="279"/>
      <w:bookmarkEnd w:id="280"/>
      <w:bookmarkEnd w:id="281"/>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82" w:name="_Toc136935393"/>
      <w:bookmarkStart w:id="283" w:name="_Toc136699569"/>
      <w:bookmarkStart w:id="284" w:name="_Toc136701305"/>
      <w:bookmarkStart w:id="285" w:name="_Toc136856286"/>
      <w:bookmarkStart w:id="286" w:name="_Toc426"/>
      <w:bookmarkStart w:id="287" w:name="_Toc136700308"/>
      <w:bookmarkStart w:id="288" w:name="_Toc4426"/>
      <w:r>
        <w:rPr>
          <w:rFonts w:hint="eastAsia" w:ascii="仿宋_GB2312" w:hAnsi="仿宋_GB2312" w:eastAsia="仿宋_GB2312" w:cs="仿宋_GB2312"/>
          <w:sz w:val="28"/>
          <w:szCs w:val="28"/>
          <w:highlight w:val="none"/>
        </w:rPr>
        <w:t>3．河南学校硬化绿化项目，镇政府与内蒙古中盈建设有限公司签订的施工合同封面未注明签订日期，未注明开户行，账号及联系电话。</w:t>
      </w:r>
      <w:bookmarkEnd w:id="282"/>
      <w:bookmarkEnd w:id="283"/>
      <w:bookmarkEnd w:id="284"/>
      <w:bookmarkEnd w:id="285"/>
      <w:bookmarkEnd w:id="286"/>
      <w:bookmarkEnd w:id="287"/>
      <w:bookmarkEnd w:id="288"/>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89" w:name="_Toc136700309"/>
      <w:bookmarkStart w:id="290" w:name="_Toc136701306"/>
      <w:bookmarkStart w:id="291" w:name="_Toc10676"/>
      <w:bookmarkStart w:id="292" w:name="_Toc136856287"/>
      <w:bookmarkStart w:id="293" w:name="_Toc136935394"/>
      <w:bookmarkStart w:id="294" w:name="_Toc136699570"/>
      <w:bookmarkStart w:id="295" w:name="_Toc6560"/>
      <w:r>
        <w:rPr>
          <w:rFonts w:hint="eastAsia" w:ascii="仿宋_GB2312" w:hAnsi="仿宋_GB2312" w:eastAsia="仿宋_GB2312" w:cs="仿宋_GB2312"/>
          <w:sz w:val="28"/>
          <w:szCs w:val="28"/>
          <w:highlight w:val="none"/>
        </w:rPr>
        <w:t>4．河南社区为老服务中心项目，造价咨询委托协议书部分内容空白，收费大小写金额不一致，金额相差十倍。</w:t>
      </w:r>
      <w:bookmarkEnd w:id="289"/>
      <w:bookmarkEnd w:id="290"/>
      <w:bookmarkEnd w:id="291"/>
      <w:bookmarkEnd w:id="292"/>
      <w:bookmarkEnd w:id="293"/>
      <w:bookmarkEnd w:id="294"/>
      <w:bookmarkEnd w:id="295"/>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296" w:name="_Toc136699571"/>
      <w:bookmarkStart w:id="297" w:name="_Toc136935395"/>
      <w:bookmarkStart w:id="298" w:name="_Toc136856288"/>
      <w:bookmarkStart w:id="299" w:name="_Toc136701307"/>
      <w:bookmarkStart w:id="300" w:name="_Toc136700310"/>
      <w:bookmarkStart w:id="301" w:name="_Toc30627"/>
      <w:bookmarkStart w:id="302" w:name="_Toc18234"/>
      <w:r>
        <w:rPr>
          <w:rFonts w:hint="eastAsia" w:ascii="仿宋_GB2312" w:hAnsi="仿宋_GB2312" w:eastAsia="仿宋_GB2312" w:cs="仿宋_GB2312"/>
          <w:sz w:val="28"/>
          <w:szCs w:val="28"/>
          <w:highlight w:val="none"/>
        </w:rPr>
        <w:t>5．巴图湾节水灌溉项目，无定河镇人民政府与中水京林建设有限公司签订的建设项目工程总承包合同，未填写合同订立时间等</w:t>
      </w:r>
      <w:bookmarkEnd w:id="296"/>
      <w:bookmarkEnd w:id="297"/>
      <w:bookmarkEnd w:id="298"/>
      <w:bookmarkEnd w:id="299"/>
      <w:bookmarkEnd w:id="300"/>
      <w:bookmarkStart w:id="303" w:name="_Toc136856289"/>
      <w:bookmarkStart w:id="304" w:name="_Toc136935396"/>
      <w:bookmarkStart w:id="305" w:name="_Toc136700311"/>
      <w:bookmarkStart w:id="306" w:name="_Toc136699572"/>
      <w:bookmarkStart w:id="307" w:name="_Toc136701308"/>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无定河镇巴图湾镇村民委员会与建基工程咨询有限公司签订的建设工程监理合同，合同订立时间和订立地点均未填写等。</w:t>
      </w:r>
      <w:bookmarkEnd w:id="301"/>
      <w:bookmarkEnd w:id="302"/>
      <w:bookmarkEnd w:id="303"/>
      <w:bookmarkEnd w:id="304"/>
      <w:bookmarkEnd w:id="305"/>
      <w:bookmarkEnd w:id="306"/>
      <w:bookmarkEnd w:id="307"/>
    </w:p>
    <w:p>
      <w:pPr>
        <w:pStyle w:val="19"/>
        <w:spacing w:before="0" w:beforeAutospacing="0" w:after="0" w:afterAutospacing="0" w:line="360" w:lineRule="auto"/>
        <w:ind w:firstLine="562" w:firstLineChars="200"/>
        <w:jc w:val="both"/>
        <w:outlineLvl w:val="1"/>
        <w:rPr>
          <w:rFonts w:ascii="仿宋_GB2312" w:hAnsi="仿宋_GB2312" w:eastAsia="仿宋_GB2312" w:cs="仿宋_GB2312"/>
          <w:b/>
          <w:bCs/>
          <w:sz w:val="28"/>
          <w:szCs w:val="28"/>
          <w:highlight w:val="none"/>
        </w:rPr>
      </w:pPr>
      <w:bookmarkStart w:id="308" w:name="_Toc136701309"/>
      <w:bookmarkStart w:id="309" w:name="_Toc136935397"/>
      <w:bookmarkStart w:id="310" w:name="_Toc24226"/>
      <w:bookmarkStart w:id="311" w:name="_Toc136699573"/>
      <w:bookmarkStart w:id="312" w:name="_Toc7816"/>
      <w:bookmarkStart w:id="313" w:name="_Toc136856290"/>
      <w:r>
        <w:rPr>
          <w:rFonts w:hint="eastAsia" w:ascii="仿宋_GB2312" w:hAnsi="仿宋_GB2312" w:eastAsia="仿宋_GB2312" w:cs="仿宋_GB2312"/>
          <w:b/>
          <w:bCs/>
          <w:sz w:val="28"/>
          <w:szCs w:val="28"/>
          <w:highlight w:val="none"/>
        </w:rPr>
        <w:t>（八）项目实际成本高于计划成本</w:t>
      </w:r>
      <w:bookmarkEnd w:id="308"/>
      <w:bookmarkEnd w:id="309"/>
      <w:bookmarkEnd w:id="310"/>
      <w:bookmarkEnd w:id="311"/>
      <w:bookmarkEnd w:id="312"/>
      <w:bookmarkEnd w:id="313"/>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w:t>
      </w:r>
      <w:bookmarkStart w:id="314" w:name="_Toc136701310"/>
      <w:bookmarkStart w:id="315" w:name="_Toc136699574"/>
      <w:bookmarkStart w:id="316" w:name="_Toc136935398"/>
      <w:bookmarkStart w:id="317" w:name="_Toc3695"/>
      <w:bookmarkStart w:id="318" w:name="_Toc7293"/>
      <w:bookmarkStart w:id="319" w:name="_Toc136856291"/>
      <w:bookmarkStart w:id="320" w:name="_Toc136700313"/>
      <w:r>
        <w:rPr>
          <w:rFonts w:hint="eastAsia" w:ascii="仿宋_GB2312" w:hAnsi="仿宋_GB2312" w:eastAsia="仿宋_GB2312" w:cs="仿宋_GB2312"/>
          <w:sz w:val="28"/>
          <w:szCs w:val="28"/>
          <w:highlight w:val="none"/>
        </w:rPr>
        <w:t>河南社区为老服务中心建设项目，概算资金50万元，审定结算造价512,065.15元，超概算投资12,065.15元。</w:t>
      </w:r>
      <w:bookmarkEnd w:id="314"/>
      <w:bookmarkEnd w:id="315"/>
      <w:bookmarkEnd w:id="316"/>
      <w:bookmarkEnd w:id="317"/>
      <w:bookmarkEnd w:id="318"/>
      <w:bookmarkEnd w:id="319"/>
      <w:bookmarkEnd w:id="320"/>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ascii="仿宋_GB2312" w:hAnsi="仿宋_GB2312" w:eastAsia="仿宋_GB2312" w:cs="仿宋_GB2312"/>
          <w:sz w:val="28"/>
          <w:szCs w:val="28"/>
          <w:highlight w:val="none"/>
        </w:rPr>
      </w:pP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ascii="仿宋_GB2312" w:hAnsi="仿宋_GB2312" w:eastAsia="仿宋_GB2312" w:cs="仿宋_GB2312"/>
          <w:sz w:val="28"/>
          <w:szCs w:val="28"/>
          <w:highlight w:val="none"/>
        </w:rPr>
      </w:pPr>
    </w:p>
    <w:p>
      <w:pPr>
        <w:pStyle w:val="19"/>
        <w:spacing w:before="0" w:beforeAutospacing="0" w:after="0" w:afterAutospacing="0" w:line="360" w:lineRule="auto"/>
        <w:jc w:val="both"/>
        <w:rPr>
          <w:rFonts w:hint="eastAsia" w:ascii="仿宋_GB2312" w:hAnsi="仿宋_GB2312" w:eastAsia="仿宋_GB2312" w:cs="仿宋_GB2312"/>
          <w:sz w:val="28"/>
          <w:szCs w:val="28"/>
          <w:highlight w:val="none"/>
        </w:rPr>
      </w:pPr>
    </w:p>
    <w:p>
      <w:pPr>
        <w:rPr>
          <w:rFonts w:hint="eastAsia" w:ascii="宋体" w:hAnsi="宋体"/>
          <w:kern w:val="0"/>
          <w:sz w:val="24"/>
          <w:highlight w:val="none"/>
        </w:rPr>
      </w:pPr>
    </w:p>
    <w:p>
      <w:pPr>
        <w:spacing w:before="0" w:beforeAutospacing="0" w:after="0" w:afterAutospacing="0" w:line="240" w:lineRule="auto"/>
        <w:ind w:leftChars="0" w:firstLine="0" w:firstLineChars="0"/>
        <w:jc w:val="center"/>
        <w:rPr>
          <w:rFonts w:hint="eastAsia" w:ascii="仿宋_GB2312" w:hAnsi="仿宋_GB2312" w:eastAsia="仿宋_GB2312" w:cs="仿宋_GB2312"/>
          <w:spacing w:val="2"/>
          <w:kern w:val="2"/>
          <w:sz w:val="21"/>
          <w:szCs w:val="28"/>
          <w:highlight w:val="none"/>
          <w:lang w:val="en-US" w:eastAsia="zh-CN" w:bidi="ar-SA"/>
        </w:rPr>
      </w:pPr>
      <w:r>
        <w:rPr>
          <w:rFonts w:ascii="宋体" w:hAnsi="宋体"/>
          <w:highlight w:val="none"/>
        </w:rPr>
        <w:t>目录</w:t>
      </w:r>
      <w:r>
        <w:rPr>
          <w:rFonts w:hint="eastAsia" w:ascii="仿宋_GB2312" w:hAnsi="仿宋_GB2312" w:eastAsia="仿宋_GB2312" w:cs="仿宋_GB2312"/>
          <w:spacing w:val="2"/>
          <w:sz w:val="28"/>
          <w:szCs w:val="28"/>
          <w:highlight w:val="none"/>
        </w:rPr>
        <w:fldChar w:fldCharType="begin"/>
      </w:r>
      <w:r>
        <w:rPr>
          <w:rFonts w:hint="eastAsia" w:ascii="仿宋_GB2312" w:hAnsi="仿宋_GB2312" w:eastAsia="仿宋_GB2312" w:cs="仿宋_GB2312"/>
          <w:spacing w:val="2"/>
          <w:sz w:val="28"/>
          <w:szCs w:val="28"/>
          <w:highlight w:val="none"/>
        </w:rPr>
        <w:instrText xml:space="preserve">TOC \o "1-3" \h \u </w:instrText>
      </w:r>
      <w:r>
        <w:rPr>
          <w:rFonts w:hint="eastAsia" w:ascii="仿宋_GB2312" w:hAnsi="仿宋_GB2312" w:eastAsia="仿宋_GB2312" w:cs="仿宋_GB2312"/>
          <w:spacing w:val="2"/>
          <w:sz w:val="28"/>
          <w:szCs w:val="28"/>
          <w:highlight w:val="none"/>
        </w:rPr>
        <w:fldChar w:fldCharType="separate"/>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_Toc4080 </w:instrText>
      </w:r>
      <w:r>
        <w:rPr>
          <w:rFonts w:hint="eastAsia" w:ascii="仿宋_GB2312" w:hAnsi="仿宋_GB2312" w:eastAsia="仿宋_GB2312" w:cs="仿宋_GB2312"/>
          <w:spacing w:val="2"/>
          <w:szCs w:val="28"/>
          <w:highlight w:val="none"/>
        </w:rPr>
        <w:fldChar w:fldCharType="separate"/>
      </w:r>
      <w:r>
        <w:rPr>
          <w:rFonts w:ascii="仿宋" w:hAnsi="仿宋" w:eastAsia="仿宋" w:cs="仿宋"/>
          <w:bCs/>
          <w:spacing w:val="10"/>
          <w:szCs w:val="43"/>
          <w:highlight w:val="none"/>
        </w:rPr>
        <w:t>摘</w:t>
      </w:r>
      <w:r>
        <w:rPr>
          <w:rFonts w:ascii="仿宋" w:hAnsi="仿宋" w:eastAsia="仿宋" w:cs="仿宋"/>
          <w:bCs/>
          <w:spacing w:val="9"/>
          <w:szCs w:val="43"/>
          <w:highlight w:val="none"/>
        </w:rPr>
        <w:t xml:space="preserve">  要</w:t>
      </w:r>
      <w:r>
        <w:tab/>
      </w:r>
      <w:r>
        <w:fldChar w:fldCharType="begin"/>
      </w:r>
      <w:r>
        <w:instrText xml:space="preserve"> PAGEREF _Toc4080 \h </w:instrText>
      </w:r>
      <w:r>
        <w:fldChar w:fldCharType="separate"/>
      </w:r>
      <w:r>
        <w:t>2</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_Toc21523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一、项目概况</w:t>
      </w:r>
      <w:r>
        <w:tab/>
      </w:r>
      <w:r>
        <w:fldChar w:fldCharType="begin"/>
      </w:r>
      <w:r>
        <w:instrText xml:space="preserve"> PAGEREF _Toc21523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_Toc13042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（一）基本情况</w:t>
      </w:r>
      <w:r>
        <w:tab/>
      </w:r>
      <w:r>
        <w:fldChar w:fldCharType="begin"/>
      </w:r>
      <w:r>
        <w:instrText xml:space="preserve"> PAGEREF _Toc13042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_Toc5629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（二）项目资金投入及使用情况</w:t>
      </w:r>
      <w:r>
        <w:tab/>
      </w:r>
      <w:r>
        <w:fldChar w:fldCharType="begin"/>
      </w:r>
      <w:r>
        <w:instrText xml:space="preserve"> PAGEREF _Toc5629 \h </w:instrText>
      </w:r>
      <w:r>
        <w:fldChar w:fldCharType="separate"/>
      </w:r>
      <w:r>
        <w:t>3</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_Toc28946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（三）项目实施情况</w:t>
      </w:r>
      <w:r>
        <w:tab/>
      </w:r>
      <w:r>
        <w:fldChar w:fldCharType="begin"/>
      </w:r>
      <w:r>
        <w:instrText xml:space="preserve"> PAGEREF _Toc28946 \h </w:instrText>
      </w:r>
      <w:r>
        <w:fldChar w:fldCharType="separate"/>
      </w:r>
      <w:r>
        <w:t>3</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_Toc4255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二、评价工作开展情况</w:t>
      </w:r>
      <w:r>
        <w:tab/>
      </w:r>
      <w:r>
        <w:fldChar w:fldCharType="begin"/>
      </w:r>
      <w:r>
        <w:instrText xml:space="preserve"> PAGEREF _Toc4255 \h </w:instrText>
      </w:r>
      <w:r>
        <w:fldChar w:fldCharType="separate"/>
      </w:r>
      <w:r>
        <w:t>6</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_Toc25904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（一）评价目的和评价对象</w:t>
      </w:r>
      <w:r>
        <w:tab/>
      </w:r>
      <w:r>
        <w:fldChar w:fldCharType="begin"/>
      </w:r>
      <w:r>
        <w:instrText xml:space="preserve"> PAGEREF _Toc25904 \h </w:instrText>
      </w:r>
      <w:r>
        <w:fldChar w:fldCharType="separate"/>
      </w:r>
      <w:r>
        <w:t>6</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_Toc31929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（二）评价原则与方法</w:t>
      </w:r>
      <w:r>
        <w:tab/>
      </w:r>
      <w:r>
        <w:fldChar w:fldCharType="begin"/>
      </w:r>
      <w:r>
        <w:instrText xml:space="preserve"> PAGEREF _Toc31929 \h </w:instrText>
      </w:r>
      <w:r>
        <w:fldChar w:fldCharType="separate"/>
      </w:r>
      <w:r>
        <w:t>7</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_Toc21379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（三）评价依据</w:t>
      </w:r>
      <w:r>
        <w:tab/>
      </w:r>
      <w:r>
        <w:fldChar w:fldCharType="begin"/>
      </w:r>
      <w:r>
        <w:instrText xml:space="preserve"> PAGEREF _Toc21379 \h </w:instrText>
      </w:r>
      <w:r>
        <w:fldChar w:fldCharType="separate"/>
      </w:r>
      <w:r>
        <w:t>7</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_Toc3499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（四）评价内容及指标</w:t>
      </w:r>
      <w:r>
        <w:tab/>
      </w:r>
      <w:r>
        <w:fldChar w:fldCharType="begin"/>
      </w:r>
      <w:r>
        <w:instrText xml:space="preserve"> PAGEREF _Toc3499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_Toc15581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（五）评价标准</w:t>
      </w:r>
      <w:r>
        <w:tab/>
      </w:r>
      <w:r>
        <w:fldChar w:fldCharType="begin"/>
      </w:r>
      <w:r>
        <w:instrText xml:space="preserve"> PAGEREF _Toc15581 \h </w:instrText>
      </w:r>
      <w:r>
        <w:fldChar w:fldCharType="separate"/>
      </w:r>
      <w:r>
        <w:t>9</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_Toc12936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（六）评价组织实施</w:t>
      </w:r>
      <w:r>
        <w:tab/>
      </w:r>
      <w:r>
        <w:fldChar w:fldCharType="begin"/>
      </w:r>
      <w:r>
        <w:instrText xml:space="preserve"> PAGEREF _Toc12936 \h </w:instrText>
      </w:r>
      <w:r>
        <w:fldChar w:fldCharType="separate"/>
      </w:r>
      <w:r>
        <w:t>9</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_Toc25295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三、综合评价结论及指标分析</w:t>
      </w:r>
      <w:r>
        <w:tab/>
      </w:r>
      <w:r>
        <w:fldChar w:fldCharType="begin"/>
      </w:r>
      <w:r>
        <w:instrText xml:space="preserve"> PAGEREF _Toc25295 \h </w:instrText>
      </w:r>
      <w:r>
        <w:fldChar w:fldCharType="separate"/>
      </w:r>
      <w:r>
        <w:t>11</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_Toc32356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（一）决策情况分析</w:t>
      </w:r>
      <w:r>
        <w:tab/>
      </w:r>
      <w:r>
        <w:fldChar w:fldCharType="begin"/>
      </w:r>
      <w:r>
        <w:instrText xml:space="preserve"> PAGEREF _Toc32356 \h </w:instrText>
      </w:r>
      <w:r>
        <w:fldChar w:fldCharType="separate"/>
      </w:r>
      <w:r>
        <w:t>11</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_Toc19065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（二）过程情况分析</w:t>
      </w:r>
      <w:r>
        <w:tab/>
      </w:r>
      <w:r>
        <w:fldChar w:fldCharType="begin"/>
      </w:r>
      <w:r>
        <w:instrText xml:space="preserve"> PAGEREF _Toc19065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_Toc12812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（三）产出情况分析</w:t>
      </w:r>
      <w:r>
        <w:tab/>
      </w:r>
      <w:r>
        <w:fldChar w:fldCharType="begin"/>
      </w:r>
      <w:r>
        <w:instrText xml:space="preserve"> PAGEREF _Toc12812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_Toc22292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四、主要经验及做法</w:t>
      </w:r>
      <w:r>
        <w:tab/>
      </w:r>
      <w:r>
        <w:fldChar w:fldCharType="begin"/>
      </w:r>
      <w:r>
        <w:instrText xml:space="preserve"> PAGEREF _Toc22292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_Toc24654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（一）扎实推进民生实事项目建设</w:t>
      </w:r>
      <w:r>
        <w:tab/>
      </w:r>
      <w:r>
        <w:fldChar w:fldCharType="begin"/>
      </w:r>
      <w:r>
        <w:instrText xml:space="preserve"> PAGEREF _Toc24654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_Toc32357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（二）办好办实民生工程</w:t>
      </w:r>
      <w:r>
        <w:tab/>
      </w:r>
      <w:r>
        <w:fldChar w:fldCharType="begin"/>
      </w:r>
      <w:r>
        <w:instrText xml:space="preserve"> PAGEREF _Toc32357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_Toc23285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（三）全心全意惠民生</w:t>
      </w:r>
      <w:r>
        <w:tab/>
      </w:r>
      <w:r>
        <w:fldChar w:fldCharType="begin"/>
      </w:r>
      <w:r>
        <w:instrText xml:space="preserve"> PAGEREF _Toc23285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_Toc11651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highlight w:val="none"/>
        </w:rPr>
        <w:t>（四）结合实际各具特色</w:t>
      </w:r>
      <w:r>
        <w:tab/>
      </w:r>
      <w:r>
        <w:fldChar w:fldCharType="begin"/>
      </w:r>
      <w:r>
        <w:instrText xml:space="preserve"> PAGEREF _Toc11651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_Toc24650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六、存在的问题</w:t>
      </w:r>
      <w:r>
        <w:tab/>
      </w:r>
      <w:r>
        <w:fldChar w:fldCharType="begin"/>
      </w:r>
      <w:r>
        <w:instrText xml:space="preserve"> PAGEREF _Toc24650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_Toc24335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（一）未按计划完成目标任务</w:t>
      </w:r>
      <w:r>
        <w:tab/>
      </w:r>
      <w:r>
        <w:fldChar w:fldCharType="begin"/>
      </w:r>
      <w:r>
        <w:instrText xml:space="preserve"> PAGEREF _Toc24335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_Toc3212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（二）财政资金支出率较低</w:t>
      </w:r>
      <w:r>
        <w:tab/>
      </w:r>
      <w:r>
        <w:fldChar w:fldCharType="begin"/>
      </w:r>
      <w:r>
        <w:instrText xml:space="preserve"> PAGEREF _Toc3212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_Toc11388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w:t>
      </w:r>
      <w:r>
        <w:rPr>
          <w:rFonts w:ascii="仿宋_GB2312" w:hAnsi="仿宋_GB2312" w:eastAsia="仿宋_GB2312" w:cs="仿宋_GB2312"/>
          <w:bCs/>
          <w:szCs w:val="28"/>
          <w:highlight w:val="none"/>
        </w:rPr>
        <w:t>绩效目标细化、量化程度不足</w:t>
      </w:r>
      <w:r>
        <w:tab/>
      </w:r>
      <w:r>
        <w:fldChar w:fldCharType="begin"/>
      </w:r>
      <w:r>
        <w:instrText xml:space="preserve"> PAGEREF _Toc11388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_Toc23299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（四）绩效理念不强，绩效管理工作有待提高</w:t>
      </w:r>
      <w:r>
        <w:tab/>
      </w:r>
      <w:r>
        <w:fldChar w:fldCharType="begin"/>
      </w:r>
      <w:r>
        <w:instrText xml:space="preserve"> PAGEREF _Toc23299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_Toc11445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（五）资金支付不规范，内控建设有待加强</w:t>
      </w:r>
      <w:r>
        <w:tab/>
      </w:r>
      <w:r>
        <w:fldChar w:fldCharType="begin"/>
      </w:r>
      <w:r>
        <w:instrText xml:space="preserve"> PAGEREF _Toc11445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_Toc11836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（六）相关制度未得到有效执行</w:t>
      </w:r>
      <w:r>
        <w:tab/>
      </w:r>
      <w:r>
        <w:fldChar w:fldCharType="begin"/>
      </w:r>
      <w:r>
        <w:instrText xml:space="preserve"> PAGEREF _Toc11836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_Toc18149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（七）合同签订内容不完整</w:t>
      </w:r>
      <w:r>
        <w:tab/>
      </w:r>
      <w:r>
        <w:fldChar w:fldCharType="begin"/>
      </w:r>
      <w:r>
        <w:instrText xml:space="preserve"> PAGEREF _Toc18149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_Toc25866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（八）项目实际成本高于计划成本</w:t>
      </w:r>
      <w:r>
        <w:tab/>
      </w:r>
      <w:r>
        <w:fldChar w:fldCharType="begin"/>
      </w:r>
      <w:r>
        <w:instrText xml:space="preserve"> PAGEREF _Toc25866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_Toc31988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七、有关建议</w:t>
      </w:r>
      <w:r>
        <w:tab/>
      </w:r>
      <w:r>
        <w:fldChar w:fldCharType="begin"/>
      </w:r>
      <w:r>
        <w:instrText xml:space="preserve"> PAGEREF _Toc31988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_Toc20084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（一）强化绩效管理理念，规范设置绩效目标</w:t>
      </w:r>
      <w:r>
        <w:tab/>
      </w:r>
      <w:r>
        <w:fldChar w:fldCharType="begin"/>
      </w:r>
      <w:r>
        <w:instrText xml:space="preserve"> PAGEREF _Toc20084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_Toc11065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（二）科学编制预算，提高预算执行率</w:t>
      </w:r>
      <w:r>
        <w:tab/>
      </w:r>
      <w:r>
        <w:fldChar w:fldCharType="begin"/>
      </w:r>
      <w:r>
        <w:instrText xml:space="preserve"> PAGEREF _Toc11065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_Toc27978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（三）加强项目宣传，切实发挥项目效益</w:t>
      </w:r>
      <w:r>
        <w:tab/>
      </w:r>
      <w:r>
        <w:fldChar w:fldCharType="begin"/>
      </w:r>
      <w:r>
        <w:instrText xml:space="preserve"> PAGEREF _Toc27978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_Toc31079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（四）严格资金管理，规范资金支付</w:t>
      </w:r>
      <w:r>
        <w:tab/>
      </w:r>
      <w:r>
        <w:fldChar w:fldCharType="begin"/>
      </w:r>
      <w:r>
        <w:instrText xml:space="preserve"> PAGEREF _Toc31079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_Toc3026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（五）加强项目跟踪管理，重视绩效自评工作</w:t>
      </w:r>
      <w:r>
        <w:tab/>
      </w:r>
      <w:r>
        <w:fldChar w:fldCharType="begin"/>
      </w:r>
      <w:r>
        <w:instrText xml:space="preserve"> PAGEREF _Toc3026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4"/>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_Toc26428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kern w:val="0"/>
          <w:szCs w:val="28"/>
          <w:highlight w:val="none"/>
        </w:rPr>
        <w:t>八、其他需要说明的情况</w:t>
      </w:r>
      <w:r>
        <w:tab/>
      </w:r>
      <w:r>
        <w:fldChar w:fldCharType="begin"/>
      </w:r>
      <w:r>
        <w:instrText xml:space="preserve"> PAGEREF _Toc26428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_Toc14376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kern w:val="0"/>
          <w:szCs w:val="28"/>
          <w:highlight w:val="none"/>
        </w:rPr>
        <w:t>附件：1.2022年乌审旗无定河镇民生实事人大代表票决制项目绩效评价指标体系及打分表</w:t>
      </w:r>
      <w:r>
        <w:tab/>
      </w:r>
      <w:r>
        <w:fldChar w:fldCharType="begin"/>
      </w:r>
      <w:r>
        <w:instrText xml:space="preserve"> PAGEREF _Toc14376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7"/>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_Toc2649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kern w:val="0"/>
          <w:szCs w:val="28"/>
          <w:highlight w:val="none"/>
        </w:rPr>
        <w:t>2.专家意见汇总书</w:t>
      </w:r>
      <w:r>
        <w:tab/>
      </w:r>
      <w:r>
        <w:fldChar w:fldCharType="begin"/>
      </w:r>
      <w:r>
        <w:instrText xml:space="preserve"> PAGEREF _Toc2649 \h </w:instrText>
      </w:r>
      <w:r>
        <w:fldChar w:fldCharType="separate"/>
      </w:r>
      <w:r>
        <w:t>19</w:t>
      </w:r>
      <w:r>
        <w:fldChar w:fldCharType="end"/>
      </w:r>
      <w:r>
        <w:rPr>
          <w:rFonts w:hint="eastAsia" w:ascii="仿宋_GB2312" w:hAnsi="仿宋_GB2312" w:eastAsia="仿宋_GB2312" w:cs="仿宋_GB2312"/>
          <w:spacing w:val="2"/>
          <w:szCs w:val="28"/>
          <w:highlight w:val="none"/>
        </w:rPr>
        <w:fldChar w:fldCharType="end"/>
      </w:r>
    </w:p>
    <w:p>
      <w:pPr>
        <w:pStyle w:val="19"/>
        <w:spacing w:before="0" w:beforeAutospacing="0" w:after="0" w:afterAutospacing="0" w:line="240" w:lineRule="auto"/>
        <w:ind w:leftChars="0" w:firstLine="0" w:firstLineChars="0"/>
        <w:jc w:val="center"/>
        <w:rPr>
          <w:rFonts w:ascii="仿宋_GB2312" w:hAnsi="仿宋_GB2312" w:eastAsia="仿宋_GB2312" w:cs="仿宋_GB2312"/>
          <w:spacing w:val="2"/>
          <w:sz w:val="28"/>
          <w:szCs w:val="28"/>
          <w:highlight w:val="none"/>
        </w:rPr>
        <w:sectPr>
          <w:headerReference r:id="rId4" w:type="default"/>
          <w:footerReference r:id="rId5" w:type="default"/>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spacing w:val="2"/>
          <w:szCs w:val="28"/>
          <w:highlight w:val="none"/>
        </w:rPr>
        <w:fldChar w:fldCharType="end"/>
      </w:r>
    </w:p>
    <w:p>
      <w:pPr>
        <w:pStyle w:val="19"/>
        <w:widowControl/>
        <w:jc w:val="center"/>
        <w:outlineLvl w:val="0"/>
        <w:rPr>
          <w:rFonts w:ascii="仿宋" w:hAnsi="仿宋" w:eastAsia="仿宋" w:cs="仿宋"/>
          <w:b/>
          <w:bCs/>
          <w:spacing w:val="-20"/>
          <w:sz w:val="44"/>
          <w:szCs w:val="44"/>
          <w:highlight w:val="none"/>
        </w:rPr>
      </w:pPr>
      <w:bookmarkStart w:id="321" w:name="_Toc8430"/>
      <w:bookmarkStart w:id="322" w:name="_Toc136856300"/>
      <w:bookmarkStart w:id="323" w:name="_Toc136935405"/>
      <w:bookmarkStart w:id="324" w:name="_Toc136102872"/>
      <w:bookmarkStart w:id="325" w:name="_Toc11300"/>
      <w:bookmarkStart w:id="326" w:name="_Toc136699581"/>
      <w:bookmarkStart w:id="327" w:name="_Toc136701317"/>
      <w:bookmarkStart w:id="328" w:name="_Toc11135"/>
      <w:bookmarkStart w:id="329" w:name="_Toc136700320"/>
      <w:bookmarkStart w:id="330" w:name="_Toc13495"/>
      <w:r>
        <w:rPr>
          <w:rFonts w:hint="eastAsia" w:ascii="仿宋" w:hAnsi="仿宋" w:eastAsia="仿宋" w:cs="仿宋"/>
          <w:b/>
          <w:bCs/>
          <w:spacing w:val="-20"/>
          <w:sz w:val="44"/>
          <w:szCs w:val="44"/>
          <w:highlight w:val="none"/>
        </w:rPr>
        <w:t>2022年度乌审旗无定河镇五件民生实事</w:t>
      </w:r>
      <w:bookmarkEnd w:id="321"/>
      <w:bookmarkEnd w:id="322"/>
      <w:bookmarkEnd w:id="323"/>
      <w:bookmarkEnd w:id="324"/>
      <w:bookmarkEnd w:id="325"/>
      <w:bookmarkEnd w:id="326"/>
      <w:bookmarkEnd w:id="327"/>
      <w:bookmarkEnd w:id="328"/>
      <w:bookmarkEnd w:id="329"/>
      <w:bookmarkEnd w:id="330"/>
    </w:p>
    <w:p>
      <w:pPr>
        <w:pStyle w:val="19"/>
        <w:widowControl/>
        <w:jc w:val="center"/>
        <w:rPr>
          <w:rFonts w:ascii="仿宋" w:hAnsi="仿宋" w:eastAsia="仿宋" w:cs="仿宋"/>
          <w:b/>
          <w:bCs/>
          <w:spacing w:val="-20"/>
          <w:sz w:val="44"/>
          <w:szCs w:val="44"/>
          <w:highlight w:val="none"/>
        </w:rPr>
      </w:pPr>
      <w:r>
        <w:rPr>
          <w:rFonts w:hint="eastAsia" w:ascii="仿宋" w:hAnsi="仿宋" w:eastAsia="仿宋" w:cs="仿宋"/>
          <w:b/>
          <w:bCs/>
          <w:spacing w:val="-20"/>
          <w:sz w:val="44"/>
          <w:szCs w:val="44"/>
          <w:highlight w:val="none"/>
        </w:rPr>
        <w:t>人大代表票决制项目</w:t>
      </w:r>
    </w:p>
    <w:p>
      <w:pPr>
        <w:pStyle w:val="19"/>
        <w:widowControl/>
        <w:jc w:val="center"/>
        <w:rPr>
          <w:rFonts w:ascii="仿宋" w:hAnsi="仿宋" w:eastAsia="仿宋" w:cs="仿宋"/>
          <w:b/>
          <w:bCs/>
          <w:sz w:val="44"/>
          <w:szCs w:val="44"/>
          <w:highlight w:val="none"/>
        </w:rPr>
      </w:pPr>
      <w:r>
        <w:rPr>
          <w:rFonts w:hint="eastAsia" w:ascii="仿宋" w:hAnsi="仿宋" w:eastAsia="仿宋" w:cs="仿宋"/>
          <w:b/>
          <w:bCs/>
          <w:spacing w:val="-20"/>
          <w:sz w:val="44"/>
          <w:szCs w:val="44"/>
          <w:highlight w:val="none"/>
        </w:rPr>
        <w:t>绩效评价报告</w:t>
      </w:r>
    </w:p>
    <w:p>
      <w:pPr>
        <w:pStyle w:val="19"/>
        <w:spacing w:line="360" w:lineRule="auto"/>
        <w:ind w:firstLine="480" w:firstLineChars="200"/>
        <w:jc w:val="right"/>
        <w:rPr>
          <w:rFonts w:ascii="仿宋_GB2312" w:hAnsi="仿宋_GB2312" w:eastAsia="仿宋_GB2312" w:cs="仿宋_GB2312"/>
          <w:sz w:val="28"/>
          <w:szCs w:val="28"/>
          <w:highlight w:val="none"/>
        </w:rPr>
      </w:pPr>
      <w:r>
        <w:rPr>
          <w:rFonts w:hint="eastAsia" w:ascii="仿宋_GB2312" w:hAnsi="仿宋_GB2312" w:eastAsia="仿宋_GB2312" w:cs="仿宋_GB2312"/>
          <w:highlight w:val="none"/>
        </w:rPr>
        <w:t>星舟绩评字[2023]第5004号</w:t>
      </w:r>
      <w:r>
        <w:rPr>
          <w:rFonts w:hint="eastAsia" w:ascii="仿宋_GB2312" w:hAnsi="仿宋_GB2312" w:eastAsia="仿宋_GB2312" w:cs="仿宋_GB2312"/>
          <w:sz w:val="28"/>
          <w:szCs w:val="28"/>
          <w:highlight w:val="none"/>
        </w:rPr>
        <w:t xml:space="preserve"> </w:t>
      </w:r>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根据</w:t>
      </w:r>
      <w:r>
        <w:rPr>
          <w:rFonts w:hint="eastAsia" w:ascii="仿宋_GB2312" w:hAnsi="仿宋_GB2312" w:eastAsia="仿宋_GB2312" w:cs="仿宋_GB2312"/>
          <w:spacing w:val="6"/>
          <w:sz w:val="28"/>
          <w:szCs w:val="28"/>
          <w:highlight w:val="none"/>
        </w:rPr>
        <w:t>《鄂尔多斯市人民政府关于全面实施预算绩效管理的</w:t>
      </w:r>
      <w:r>
        <w:rPr>
          <w:rFonts w:hint="eastAsia" w:ascii="仿宋_GB2312" w:hAnsi="仿宋_GB2312" w:eastAsia="仿宋_GB2312" w:cs="仿宋_GB2312"/>
          <w:spacing w:val="-5"/>
          <w:sz w:val="28"/>
          <w:szCs w:val="28"/>
          <w:highlight w:val="none"/>
        </w:rPr>
        <w:t>意</w:t>
      </w:r>
      <w:r>
        <w:rPr>
          <w:rFonts w:hint="eastAsia" w:ascii="仿宋_GB2312" w:hAnsi="仿宋_GB2312" w:eastAsia="仿宋_GB2312" w:cs="仿宋_GB2312"/>
          <w:spacing w:val="-4"/>
          <w:sz w:val="28"/>
          <w:szCs w:val="28"/>
          <w:highlight w:val="none"/>
        </w:rPr>
        <w:t>见》(鄂府发〔2020〕52号)和</w:t>
      </w:r>
      <w:r>
        <w:rPr>
          <w:rFonts w:hint="eastAsia" w:ascii="仿宋_GB2312" w:hAnsi="仿宋_GB2312" w:eastAsia="仿宋_GB2312" w:cs="仿宋_GB2312"/>
          <w:spacing w:val="6"/>
          <w:sz w:val="28"/>
          <w:szCs w:val="28"/>
          <w:highlight w:val="none"/>
        </w:rPr>
        <w:t>《鄂尔多斯市财政局关于印发&lt;鄂尔多斯市预算绩效管理实施办法</w:t>
      </w:r>
      <w:r>
        <w:rPr>
          <w:rFonts w:hint="eastAsia" w:ascii="仿宋_GB2312" w:hAnsi="仿宋_GB2312" w:eastAsia="仿宋_GB2312" w:cs="仿宋_GB2312"/>
          <w:spacing w:val="-4"/>
          <w:sz w:val="28"/>
          <w:szCs w:val="28"/>
          <w:highlight w:val="none"/>
        </w:rPr>
        <w:t>&gt;的通知》(鄂财绩规发〔2020〕2号)</w:t>
      </w:r>
      <w:r>
        <w:rPr>
          <w:rFonts w:hint="eastAsia" w:ascii="仿宋_GB2312" w:hAnsi="仿宋_GB2312" w:eastAsia="仿宋_GB2312" w:cs="仿宋_GB2312"/>
          <w:sz w:val="28"/>
          <w:szCs w:val="28"/>
          <w:highlight w:val="none"/>
        </w:rPr>
        <w:t>等文件要求，星舟事务所受乌审旗财政局委托，于2023 年4月25日至5月30日，对</w:t>
      </w:r>
      <w:r>
        <w:rPr>
          <w:rFonts w:hint="eastAsia" w:ascii="仿宋_GB2312" w:hAnsi="仿宋_GB2312" w:eastAsia="仿宋_GB2312" w:cs="仿宋_GB2312"/>
          <w:spacing w:val="5"/>
          <w:sz w:val="28"/>
          <w:szCs w:val="28"/>
          <w:highlight w:val="none"/>
        </w:rPr>
        <w:t>2022年度乌审旗无定河镇五件民生实事人大代表票决制项目财政资金使用情况</w:t>
      </w:r>
      <w:r>
        <w:rPr>
          <w:rFonts w:hint="eastAsia" w:ascii="仿宋_GB2312" w:hAnsi="仿宋_GB2312" w:eastAsia="仿宋_GB2312" w:cs="仿宋_GB2312"/>
          <w:sz w:val="28"/>
          <w:szCs w:val="28"/>
          <w:highlight w:val="none"/>
        </w:rPr>
        <w:t>实施绩效评价，形成了本绩效评价报告。</w:t>
      </w:r>
    </w:p>
    <w:p>
      <w:pPr>
        <w:pStyle w:val="19"/>
        <w:spacing w:before="0" w:beforeAutospacing="0" w:after="0" w:afterAutospacing="0" w:line="360" w:lineRule="auto"/>
        <w:ind w:firstLine="562" w:firstLineChars="200"/>
        <w:jc w:val="both"/>
        <w:outlineLvl w:val="0"/>
        <w:rPr>
          <w:rFonts w:ascii="仿宋_GB2312" w:hAnsi="仿宋_GB2312" w:eastAsia="仿宋_GB2312" w:cs="仿宋_GB2312"/>
          <w:sz w:val="28"/>
          <w:szCs w:val="28"/>
          <w:highlight w:val="none"/>
        </w:rPr>
      </w:pPr>
      <w:bookmarkStart w:id="331" w:name="_Toc4733"/>
      <w:bookmarkStart w:id="332" w:name="_Toc10548"/>
      <w:bookmarkStart w:id="333" w:name="_Toc21523"/>
      <w:bookmarkStart w:id="334" w:name="_Toc8938"/>
      <w:r>
        <w:rPr>
          <w:rFonts w:hint="eastAsia" w:ascii="仿宋_GB2312" w:hAnsi="仿宋_GB2312" w:eastAsia="仿宋_GB2312" w:cs="仿宋_GB2312"/>
          <w:b/>
          <w:bCs/>
          <w:sz w:val="28"/>
          <w:szCs w:val="28"/>
          <w:highlight w:val="none"/>
        </w:rPr>
        <w:t>一、</w:t>
      </w:r>
      <w:bookmarkEnd w:id="331"/>
      <w:r>
        <w:rPr>
          <w:rFonts w:hint="eastAsia" w:ascii="仿宋_GB2312" w:hAnsi="仿宋_GB2312" w:eastAsia="仿宋_GB2312" w:cs="仿宋_GB2312"/>
          <w:b/>
          <w:bCs/>
          <w:sz w:val="28"/>
          <w:szCs w:val="28"/>
          <w:highlight w:val="none"/>
        </w:rPr>
        <w:t>项目概况</w:t>
      </w:r>
      <w:bookmarkEnd w:id="332"/>
      <w:bookmarkEnd w:id="333"/>
      <w:bookmarkEnd w:id="334"/>
      <w:r>
        <w:rPr>
          <w:rFonts w:hint="eastAsia" w:ascii="仿宋_GB2312" w:hAnsi="仿宋_GB2312" w:eastAsia="仿宋_GB2312" w:cs="仿宋_GB2312"/>
          <w:sz w:val="28"/>
          <w:szCs w:val="28"/>
          <w:highlight w:val="none"/>
        </w:rPr>
        <w:t xml:space="preserve"> </w:t>
      </w:r>
    </w:p>
    <w:p>
      <w:pPr>
        <w:pStyle w:val="19"/>
        <w:spacing w:before="0" w:beforeAutospacing="0" w:after="0" w:afterAutospacing="0" w:line="360" w:lineRule="auto"/>
        <w:ind w:firstLine="562" w:firstLineChars="200"/>
        <w:jc w:val="both"/>
        <w:outlineLvl w:val="1"/>
        <w:rPr>
          <w:rFonts w:ascii="仿宋_GB2312" w:hAnsi="仿宋_GB2312" w:eastAsia="仿宋_GB2312" w:cs="仿宋_GB2312"/>
          <w:sz w:val="28"/>
          <w:szCs w:val="28"/>
          <w:highlight w:val="none"/>
        </w:rPr>
      </w:pPr>
      <w:bookmarkStart w:id="335" w:name="_Toc3716"/>
      <w:bookmarkStart w:id="336" w:name="_Toc3624"/>
      <w:bookmarkStart w:id="337" w:name="_Toc20284"/>
      <w:bookmarkStart w:id="338" w:name="_Toc13042"/>
      <w:r>
        <w:rPr>
          <w:rFonts w:hint="eastAsia" w:ascii="仿宋_GB2312" w:hAnsi="仿宋_GB2312" w:eastAsia="仿宋_GB2312" w:cs="仿宋_GB2312"/>
          <w:b/>
          <w:bCs/>
          <w:sz w:val="28"/>
          <w:szCs w:val="28"/>
          <w:highlight w:val="none"/>
        </w:rPr>
        <w:t>（一）</w:t>
      </w:r>
      <w:bookmarkEnd w:id="335"/>
      <w:r>
        <w:rPr>
          <w:rFonts w:hint="eastAsia" w:ascii="仿宋_GB2312" w:hAnsi="仿宋_GB2312" w:eastAsia="仿宋_GB2312" w:cs="仿宋_GB2312"/>
          <w:b/>
          <w:bCs/>
          <w:sz w:val="28"/>
          <w:szCs w:val="28"/>
          <w:highlight w:val="none"/>
        </w:rPr>
        <w:t>基本情况</w:t>
      </w:r>
      <w:bookmarkEnd w:id="336"/>
      <w:bookmarkEnd w:id="337"/>
      <w:bookmarkEnd w:id="338"/>
      <w:r>
        <w:rPr>
          <w:rFonts w:hint="eastAsia" w:ascii="仿宋_GB2312" w:hAnsi="仿宋_GB2312" w:eastAsia="仿宋_GB2312" w:cs="仿宋_GB2312"/>
          <w:sz w:val="28"/>
          <w:szCs w:val="28"/>
          <w:highlight w:val="none"/>
        </w:rPr>
        <w:t xml:space="preserve"> </w:t>
      </w:r>
    </w:p>
    <w:p>
      <w:pPr>
        <w:pStyle w:val="19"/>
        <w:spacing w:before="0" w:beforeAutospacing="0" w:after="0" w:afterAutospacing="0" w:line="360" w:lineRule="auto"/>
        <w:ind w:firstLine="560" w:firstLineChars="200"/>
        <w:jc w:val="both"/>
        <w:outlineLvl w:val="2"/>
        <w:rPr>
          <w:rFonts w:ascii="仿宋_GB2312" w:hAnsi="仿宋_GB2312" w:eastAsia="仿宋_GB2312" w:cs="仿宋_GB2312"/>
          <w:b w:val="0"/>
          <w:bCs w:val="0"/>
          <w:sz w:val="28"/>
          <w:szCs w:val="28"/>
          <w:highlight w:val="none"/>
        </w:rPr>
      </w:pPr>
      <w:bookmarkStart w:id="339" w:name="_Toc136935408"/>
      <w:bookmarkStart w:id="340" w:name="_Toc136701320"/>
      <w:bookmarkStart w:id="341" w:name="_Toc5631"/>
      <w:bookmarkStart w:id="342" w:name="_Toc136856303"/>
      <w:bookmarkStart w:id="343" w:name="_Toc26407"/>
      <w:bookmarkStart w:id="344" w:name="_Toc136699584"/>
      <w:bookmarkStart w:id="345" w:name="_Toc13083"/>
      <w:bookmarkStart w:id="346" w:name="_Toc136700323"/>
      <w:bookmarkStart w:id="347" w:name="_Toc31977"/>
      <w:r>
        <w:rPr>
          <w:rFonts w:hint="eastAsia" w:ascii="仿宋_GB2312" w:hAnsi="仿宋_GB2312" w:eastAsia="仿宋_GB2312" w:cs="仿宋_GB2312"/>
          <w:b w:val="0"/>
          <w:bCs w:val="0"/>
          <w:sz w:val="28"/>
          <w:szCs w:val="28"/>
          <w:highlight w:val="none"/>
        </w:rPr>
        <w:t>1.项目背景</w:t>
      </w:r>
      <w:bookmarkEnd w:id="339"/>
      <w:bookmarkEnd w:id="340"/>
      <w:bookmarkEnd w:id="341"/>
      <w:bookmarkEnd w:id="342"/>
      <w:bookmarkEnd w:id="343"/>
      <w:bookmarkEnd w:id="344"/>
      <w:bookmarkEnd w:id="345"/>
      <w:bookmarkEnd w:id="346"/>
      <w:bookmarkEnd w:id="347"/>
    </w:p>
    <w:p>
      <w:pPr>
        <w:pStyle w:val="19"/>
        <w:spacing w:before="0" w:beforeAutospacing="0" w:after="0" w:afterAutospacing="0" w:line="360" w:lineRule="auto"/>
        <w:ind w:firstLine="560" w:firstLineChars="200"/>
        <w:jc w:val="both"/>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乌审旗政府历来高度重视民生工作，在推进全旗经济发展的同时，着力解决一批人民群众关注的民生问题。2020年4月20日，乌审旗人民政府办公室印发《乌审旗人大代表票决制民生实事项目征集暂行办法的通知》（乌政办发〔2020〕24号），民生实事项目主要以政府财政性资金投入为主，由政府在全旗范围内实施具有普惠性、公益性且社会效益较为突出的民生类公共事业项目。涵盖教育、医疗、就业、交通、社保、住房、环保、社会治安等群众高度关注的热点问题，实施以来民生建设水平整体不断提升，市民群众的获得感、幸福感和安全感不断增强。 </w:t>
      </w:r>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348" w:name="_Toc136856304"/>
      <w:bookmarkStart w:id="349" w:name="_Toc16325"/>
      <w:bookmarkStart w:id="350" w:name="_Toc8910"/>
      <w:bookmarkStart w:id="351" w:name="_Toc9074"/>
      <w:bookmarkStart w:id="352" w:name="_Toc136700324"/>
      <w:bookmarkStart w:id="353" w:name="_Toc136701321"/>
      <w:bookmarkStart w:id="354" w:name="_Toc136102876"/>
      <w:bookmarkStart w:id="355" w:name="_Toc6171"/>
      <w:bookmarkStart w:id="356" w:name="_Toc136699585"/>
      <w:bookmarkStart w:id="357" w:name="_Toc15940"/>
      <w:bookmarkStart w:id="358" w:name="_Toc136935409"/>
      <w:bookmarkStart w:id="359" w:name="_Toc8960"/>
      <w:bookmarkStart w:id="360" w:name="_Toc29786"/>
      <w:r>
        <w:rPr>
          <w:rFonts w:hint="eastAsia" w:ascii="仿宋_GB2312" w:hAnsi="仿宋_GB2312" w:eastAsia="仿宋_GB2312" w:cs="仿宋_GB2312"/>
          <w:sz w:val="28"/>
          <w:szCs w:val="28"/>
          <w:highlight w:val="none"/>
        </w:rPr>
        <w:t>2022年4月</w:t>
      </w:r>
      <w:r>
        <w:rPr>
          <w:rFonts w:ascii="仿宋_GB2312" w:hAnsi="仿宋_GB2312" w:eastAsia="仿宋_GB2312" w:cs="仿宋_GB2312"/>
          <w:sz w:val="28"/>
          <w:szCs w:val="28"/>
          <w:highlight w:val="none"/>
        </w:rPr>
        <w:t>18</w:t>
      </w:r>
      <w:r>
        <w:rPr>
          <w:rFonts w:hint="eastAsia" w:ascii="仿宋_GB2312" w:hAnsi="仿宋_GB2312" w:eastAsia="仿宋_GB2312" w:cs="仿宋_GB2312"/>
          <w:sz w:val="28"/>
          <w:szCs w:val="28"/>
          <w:highlight w:val="none"/>
        </w:rPr>
        <w:t>日，无定河镇第四届人民代表大会第二次会议票决确定镇级民生实事项目5项，5月30日，乌审旗人民政府文件《乌审旗人民政府关于备案确认苏木镇2022 年民生实事票决制项目的通知》（乌政发〔2022〕15 号）予以备案确认。包括</w:t>
      </w:r>
      <w:bookmarkStart w:id="361" w:name="_Hlk135662209"/>
      <w:r>
        <w:rPr>
          <w:rFonts w:hint="eastAsia" w:ascii="仿宋_GB2312" w:hAnsi="仿宋_GB2312" w:eastAsia="仿宋_GB2312" w:cs="仿宋_GB2312"/>
          <w:sz w:val="28"/>
          <w:szCs w:val="28"/>
          <w:highlight w:val="none"/>
        </w:rPr>
        <w:t>8km社社通工程</w:t>
      </w:r>
      <w:bookmarkEnd w:id="361"/>
      <w:r>
        <w:rPr>
          <w:rFonts w:hint="eastAsia" w:ascii="仿宋_GB2312" w:hAnsi="仿宋_GB2312" w:eastAsia="仿宋_GB2312" w:cs="仿宋_GB2312"/>
          <w:sz w:val="28"/>
          <w:szCs w:val="28"/>
          <w:highlight w:val="none"/>
        </w:rPr>
        <w:t>、河南学校硬化绿化项目、巴图湾节水灌溉项目、为老服务中心建设项目、排子湾土地整合项目。</w:t>
      </w:r>
      <w:bookmarkEnd w:id="348"/>
      <w:bookmarkEnd w:id="349"/>
      <w:bookmarkEnd w:id="350"/>
      <w:bookmarkEnd w:id="351"/>
      <w:bookmarkEnd w:id="352"/>
      <w:bookmarkEnd w:id="353"/>
      <w:bookmarkEnd w:id="354"/>
      <w:bookmarkEnd w:id="355"/>
      <w:bookmarkEnd w:id="356"/>
      <w:bookmarkEnd w:id="357"/>
      <w:bookmarkEnd w:id="358"/>
      <w:bookmarkEnd w:id="359"/>
    </w:p>
    <w:p>
      <w:pPr>
        <w:pStyle w:val="19"/>
        <w:spacing w:before="0" w:beforeAutospacing="0" w:after="0" w:afterAutospacing="0" w:line="360" w:lineRule="auto"/>
        <w:ind w:firstLine="560" w:firstLineChars="200"/>
        <w:jc w:val="both"/>
        <w:outlineLvl w:val="2"/>
        <w:rPr>
          <w:rFonts w:ascii="仿宋_GB2312" w:hAnsi="仿宋_GB2312" w:eastAsia="仿宋_GB2312" w:cs="仿宋_GB2312"/>
          <w:b w:val="0"/>
          <w:bCs w:val="0"/>
          <w:sz w:val="28"/>
          <w:szCs w:val="28"/>
          <w:highlight w:val="none"/>
        </w:rPr>
      </w:pPr>
      <w:bookmarkStart w:id="362" w:name="_Toc136935410"/>
      <w:bookmarkStart w:id="363" w:name="_Toc136700325"/>
      <w:bookmarkStart w:id="364" w:name="_Toc4905"/>
      <w:bookmarkStart w:id="365" w:name="_Toc136699586"/>
      <w:bookmarkStart w:id="366" w:name="_Toc136856305"/>
      <w:bookmarkStart w:id="367" w:name="_Toc17261"/>
      <w:bookmarkStart w:id="368" w:name="_Toc17864"/>
      <w:bookmarkStart w:id="369" w:name="_Toc21642"/>
      <w:bookmarkStart w:id="370" w:name="_Toc136701322"/>
      <w:bookmarkStart w:id="371" w:name="_Toc31661"/>
      <w:bookmarkStart w:id="372" w:name="_Toc13613"/>
      <w:r>
        <w:rPr>
          <w:rFonts w:hint="eastAsia" w:ascii="仿宋_GB2312" w:hAnsi="仿宋_GB2312" w:eastAsia="仿宋_GB2312" w:cs="仿宋_GB2312"/>
          <w:b w:val="0"/>
          <w:bCs w:val="0"/>
          <w:sz w:val="28"/>
          <w:szCs w:val="28"/>
          <w:highlight w:val="none"/>
        </w:rPr>
        <w:t>2.主要内容</w:t>
      </w:r>
      <w:bookmarkEnd w:id="360"/>
      <w:bookmarkEnd w:id="362"/>
      <w:bookmarkEnd w:id="363"/>
      <w:bookmarkEnd w:id="364"/>
      <w:bookmarkEnd w:id="365"/>
      <w:bookmarkEnd w:id="366"/>
      <w:bookmarkEnd w:id="367"/>
      <w:bookmarkEnd w:id="368"/>
      <w:bookmarkEnd w:id="369"/>
      <w:bookmarkEnd w:id="370"/>
      <w:bookmarkEnd w:id="371"/>
      <w:bookmarkEnd w:id="372"/>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373" w:name="_Toc136935411"/>
      <w:bookmarkStart w:id="374" w:name="_Toc136700326"/>
      <w:bookmarkStart w:id="375" w:name="_Toc136856306"/>
      <w:bookmarkStart w:id="376" w:name="_Toc136102878"/>
      <w:bookmarkStart w:id="377" w:name="_Toc136701323"/>
      <w:bookmarkStart w:id="378" w:name="_Toc7722"/>
      <w:bookmarkStart w:id="379" w:name="_Toc1232"/>
      <w:bookmarkStart w:id="380" w:name="_Toc136699587"/>
      <w:bookmarkStart w:id="381" w:name="_Toc20380"/>
      <w:bookmarkStart w:id="382" w:name="_Toc32298"/>
      <w:bookmarkStart w:id="383" w:name="_Toc22365"/>
      <w:bookmarkStart w:id="384" w:name="_Toc8533"/>
      <w:bookmarkStart w:id="385" w:name="_Toc5128"/>
      <w:r>
        <w:rPr>
          <w:rFonts w:hint="eastAsia" w:ascii="仿宋_GB2312" w:hAnsi="仿宋_GB2312" w:eastAsia="仿宋_GB2312" w:cs="仿宋_GB2312"/>
          <w:sz w:val="28"/>
          <w:szCs w:val="28"/>
          <w:highlight w:val="none"/>
        </w:rPr>
        <w:t>2022年度无定河镇民生实事人大代表票决制项目共5项，投资额度</w:t>
      </w:r>
      <w:r>
        <w:rPr>
          <w:rFonts w:ascii="仿宋_GB2312" w:hAnsi="仿宋_GB2312" w:eastAsia="仿宋_GB2312" w:cs="仿宋_GB2312"/>
          <w:sz w:val="28"/>
          <w:szCs w:val="28"/>
          <w:highlight w:val="none"/>
        </w:rPr>
        <w:t>1043</w:t>
      </w:r>
      <w:r>
        <w:rPr>
          <w:rFonts w:hint="eastAsia" w:ascii="仿宋_GB2312" w:hAnsi="仿宋_GB2312" w:eastAsia="仿宋_GB2312" w:cs="仿宋_GB2312"/>
          <w:sz w:val="28"/>
          <w:szCs w:val="28"/>
          <w:highlight w:val="none"/>
        </w:rPr>
        <w:t>万元。</w:t>
      </w:r>
      <w:bookmarkEnd w:id="373"/>
      <w:bookmarkEnd w:id="374"/>
      <w:bookmarkEnd w:id="375"/>
      <w:bookmarkEnd w:id="376"/>
      <w:bookmarkEnd w:id="377"/>
      <w:bookmarkEnd w:id="378"/>
      <w:bookmarkEnd w:id="379"/>
      <w:bookmarkEnd w:id="380"/>
      <w:bookmarkEnd w:id="381"/>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386" w:name="_Toc136856307"/>
      <w:bookmarkStart w:id="387" w:name="_Toc136935412"/>
      <w:bookmarkStart w:id="388" w:name="_Toc136700327"/>
      <w:bookmarkStart w:id="389" w:name="_Toc136699588"/>
      <w:bookmarkStart w:id="390" w:name="_Toc25309"/>
      <w:bookmarkStart w:id="391" w:name="_Toc15895"/>
      <w:bookmarkStart w:id="392" w:name="_Toc9354"/>
      <w:bookmarkStart w:id="393" w:name="_Toc136701324"/>
      <w:bookmarkStart w:id="394" w:name="_Toc136102879"/>
      <w:r>
        <w:rPr>
          <w:rFonts w:hint="eastAsia" w:ascii="仿宋_GB2312" w:hAnsi="仿宋_GB2312" w:eastAsia="仿宋_GB2312" w:cs="仿宋_GB2312"/>
          <w:sz w:val="28"/>
          <w:szCs w:val="28"/>
          <w:highlight w:val="none"/>
        </w:rPr>
        <w:t>（1）8km社社通工程。</w:t>
      </w:r>
      <w:bookmarkEnd w:id="382"/>
      <w:bookmarkEnd w:id="383"/>
      <w:bookmarkEnd w:id="384"/>
      <w:r>
        <w:rPr>
          <w:rFonts w:hint="eastAsia" w:ascii="仿宋_GB2312" w:hAnsi="仿宋_GB2312" w:eastAsia="仿宋_GB2312" w:cs="仿宋_GB2312"/>
          <w:sz w:val="28"/>
          <w:szCs w:val="28"/>
          <w:highlight w:val="none"/>
        </w:rPr>
        <w:t>为完善基础设施建设，改善村民出行条件，方便农产品外运销售。拟通过政府出资，群众投劳的方式，建设8KM社社通匝砖路。概算资金101万元。</w:t>
      </w:r>
      <w:bookmarkEnd w:id="386"/>
      <w:bookmarkEnd w:id="387"/>
      <w:bookmarkEnd w:id="388"/>
      <w:bookmarkEnd w:id="389"/>
      <w:bookmarkEnd w:id="390"/>
      <w:bookmarkEnd w:id="391"/>
      <w:bookmarkEnd w:id="392"/>
      <w:bookmarkEnd w:id="393"/>
      <w:bookmarkEnd w:id="394"/>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395" w:name="_Toc21235"/>
      <w:bookmarkStart w:id="396" w:name="_Toc23361"/>
      <w:bookmarkStart w:id="397" w:name="_Toc32305"/>
      <w:bookmarkStart w:id="398" w:name="_Toc136935413"/>
      <w:bookmarkStart w:id="399" w:name="_Toc27988"/>
      <w:bookmarkStart w:id="400" w:name="_Toc22079"/>
      <w:bookmarkStart w:id="401" w:name="_Toc136699589"/>
      <w:bookmarkStart w:id="402" w:name="_Toc136856308"/>
      <w:bookmarkStart w:id="403" w:name="_Toc15326"/>
      <w:bookmarkStart w:id="404" w:name="_Toc136700328"/>
      <w:bookmarkStart w:id="405" w:name="_Toc136701325"/>
      <w:bookmarkStart w:id="406" w:name="_Toc136102880"/>
      <w:r>
        <w:rPr>
          <w:rFonts w:hint="eastAsia" w:ascii="仿宋_GB2312" w:hAnsi="仿宋_GB2312" w:eastAsia="仿宋_GB2312" w:cs="仿宋_GB2312"/>
          <w:sz w:val="28"/>
          <w:szCs w:val="28"/>
          <w:highlight w:val="none"/>
        </w:rPr>
        <w:t>（2）河南学校硬化绿化项目。</w:t>
      </w:r>
      <w:bookmarkEnd w:id="395"/>
      <w:bookmarkEnd w:id="396"/>
      <w:bookmarkEnd w:id="397"/>
      <w:r>
        <w:rPr>
          <w:rFonts w:hint="eastAsia" w:ascii="仿宋_GB2312" w:hAnsi="仿宋_GB2312" w:eastAsia="仿宋_GB2312" w:cs="仿宋_GB2312"/>
          <w:sz w:val="28"/>
          <w:szCs w:val="28"/>
          <w:highlight w:val="none"/>
        </w:rPr>
        <w:t>学校周围没有硬化绿化，严重影响社区区容区貌，为改善社区居民生活生产水平。拟对无定河镇河南学校周围进行硬化绿化，共3500平方米，概算资金200万元。</w:t>
      </w:r>
      <w:bookmarkEnd w:id="398"/>
      <w:bookmarkEnd w:id="399"/>
      <w:bookmarkEnd w:id="400"/>
      <w:bookmarkEnd w:id="401"/>
      <w:bookmarkEnd w:id="402"/>
      <w:bookmarkEnd w:id="403"/>
      <w:bookmarkEnd w:id="404"/>
      <w:bookmarkEnd w:id="405"/>
      <w:bookmarkEnd w:id="406"/>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407" w:name="_Toc14341"/>
      <w:bookmarkStart w:id="408" w:name="_Toc25514"/>
      <w:bookmarkStart w:id="409" w:name="_Toc23366"/>
      <w:bookmarkStart w:id="410" w:name="_Toc136700329"/>
      <w:bookmarkStart w:id="411" w:name="_Toc136699590"/>
      <w:bookmarkStart w:id="412" w:name="_Toc136856309"/>
      <w:bookmarkStart w:id="413" w:name="_Toc4993"/>
      <w:bookmarkStart w:id="414" w:name="_Toc30915"/>
      <w:bookmarkStart w:id="415" w:name="_Toc136102881"/>
      <w:bookmarkStart w:id="416" w:name="_Toc422"/>
      <w:bookmarkStart w:id="417" w:name="_Toc136935414"/>
      <w:bookmarkStart w:id="418" w:name="_Toc136701326"/>
      <w:r>
        <w:rPr>
          <w:rFonts w:hint="eastAsia" w:ascii="仿宋_GB2312" w:hAnsi="仿宋_GB2312" w:eastAsia="仿宋_GB2312" w:cs="仿宋_GB2312"/>
          <w:sz w:val="28"/>
          <w:szCs w:val="28"/>
          <w:highlight w:val="none"/>
        </w:rPr>
        <w:t>（3）巴图湾节水灌溉项目。</w:t>
      </w:r>
      <w:bookmarkEnd w:id="407"/>
      <w:bookmarkEnd w:id="408"/>
      <w:bookmarkEnd w:id="409"/>
      <w:r>
        <w:rPr>
          <w:rFonts w:hint="eastAsia" w:ascii="仿宋_GB2312" w:hAnsi="仿宋_GB2312" w:eastAsia="仿宋_GB2312" w:cs="仿宋_GB2312"/>
          <w:sz w:val="28"/>
          <w:szCs w:val="28"/>
          <w:highlight w:val="none"/>
        </w:rPr>
        <w:t>为提高农业灌溉用水的利用率，推动本地区农业经济快速发展。无定河镇巴图湾高标准农田灌溉项目设计节水灌溉面积3200亩（520户，1700余人），工程建设形式为低压管道输水灌溉。概算资金 633万元。</w:t>
      </w:r>
      <w:bookmarkEnd w:id="410"/>
      <w:bookmarkEnd w:id="411"/>
      <w:bookmarkEnd w:id="412"/>
      <w:bookmarkEnd w:id="413"/>
      <w:bookmarkEnd w:id="414"/>
      <w:bookmarkEnd w:id="415"/>
      <w:bookmarkEnd w:id="416"/>
      <w:bookmarkEnd w:id="417"/>
      <w:bookmarkEnd w:id="418"/>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419" w:name="_Toc8014"/>
      <w:bookmarkStart w:id="420" w:name="_Toc32719"/>
      <w:bookmarkStart w:id="421" w:name="_Toc11572"/>
      <w:bookmarkStart w:id="422" w:name="_Toc136102882"/>
      <w:bookmarkStart w:id="423" w:name="_Toc8827"/>
      <w:bookmarkStart w:id="424" w:name="_Toc136935415"/>
      <w:bookmarkStart w:id="425" w:name="_Toc136856310"/>
      <w:bookmarkStart w:id="426" w:name="_Toc136699591"/>
      <w:bookmarkStart w:id="427" w:name="_Toc136700330"/>
      <w:bookmarkStart w:id="428" w:name="_Toc136701327"/>
      <w:bookmarkStart w:id="429" w:name="_Toc9293"/>
      <w:bookmarkStart w:id="430" w:name="_Toc10696"/>
      <w:r>
        <w:rPr>
          <w:rFonts w:hint="eastAsia" w:ascii="仿宋_GB2312" w:hAnsi="仿宋_GB2312" w:eastAsia="仿宋_GB2312" w:cs="仿宋_GB2312"/>
          <w:sz w:val="28"/>
          <w:szCs w:val="28"/>
          <w:highlight w:val="none"/>
        </w:rPr>
        <w:t>（4）为老服务中心建设项目。</w:t>
      </w:r>
      <w:bookmarkEnd w:id="419"/>
      <w:bookmarkEnd w:id="420"/>
      <w:bookmarkEnd w:id="421"/>
      <w:r>
        <w:rPr>
          <w:rFonts w:hint="eastAsia" w:ascii="仿宋_GB2312" w:hAnsi="仿宋_GB2312" w:eastAsia="仿宋_GB2312" w:cs="仿宋_GB2312"/>
          <w:sz w:val="28"/>
          <w:szCs w:val="28"/>
          <w:highlight w:val="none"/>
        </w:rPr>
        <w:t>为积极应对人口老龄化，不断满足老年人养老服务需求，拟实施河南社区、河园社区为老服务中心建设项目。概算资金共93万元（河南社区为老服务中心建筑总面积为350平方米，概算资金50万元。河园社区为老服务中心建筑总面积为252平方米，概算资金43万元。)</w:t>
      </w:r>
      <w:bookmarkEnd w:id="422"/>
      <w:bookmarkEnd w:id="423"/>
      <w:r>
        <w:rPr>
          <w:rFonts w:hint="eastAsia" w:ascii="仿宋_GB2312" w:hAnsi="仿宋_GB2312" w:eastAsia="仿宋_GB2312" w:cs="仿宋_GB2312"/>
          <w:sz w:val="28"/>
          <w:szCs w:val="28"/>
          <w:highlight w:val="none"/>
        </w:rPr>
        <w:t>。</w:t>
      </w:r>
      <w:bookmarkEnd w:id="424"/>
      <w:bookmarkEnd w:id="425"/>
      <w:bookmarkEnd w:id="426"/>
      <w:bookmarkEnd w:id="427"/>
      <w:bookmarkEnd w:id="428"/>
      <w:bookmarkEnd w:id="429"/>
      <w:bookmarkEnd w:id="430"/>
    </w:p>
    <w:p>
      <w:pPr>
        <w:pStyle w:val="19"/>
        <w:spacing w:before="0" w:beforeAutospacing="0" w:after="0" w:afterAutospacing="0" w:line="360" w:lineRule="auto"/>
        <w:ind w:firstLine="560" w:firstLineChars="200"/>
        <w:jc w:val="both"/>
        <w:outlineLvl w:val="1"/>
        <w:rPr>
          <w:rFonts w:ascii="仿宋_GB2312" w:hAnsi="仿宋_GB2312" w:eastAsia="仿宋_GB2312" w:cs="仿宋_GB2312"/>
          <w:sz w:val="28"/>
          <w:szCs w:val="28"/>
          <w:highlight w:val="none"/>
        </w:rPr>
      </w:pPr>
      <w:bookmarkStart w:id="431" w:name="_Toc8097"/>
      <w:bookmarkStart w:id="432" w:name="_Toc28519"/>
      <w:bookmarkStart w:id="433" w:name="_Toc31336"/>
      <w:bookmarkStart w:id="434" w:name="_Toc22909"/>
      <w:bookmarkStart w:id="435" w:name="_Toc136856311"/>
      <w:bookmarkStart w:id="436" w:name="_Toc24907"/>
      <w:bookmarkStart w:id="437" w:name="_Toc23157"/>
      <w:bookmarkStart w:id="438" w:name="_Toc136102883"/>
      <w:bookmarkStart w:id="439" w:name="_Toc136700331"/>
      <w:bookmarkStart w:id="440" w:name="_Toc136935416"/>
      <w:bookmarkStart w:id="441" w:name="_Toc136699592"/>
      <w:bookmarkStart w:id="442" w:name="_Toc136701328"/>
      <w:r>
        <w:rPr>
          <w:rFonts w:hint="eastAsia" w:ascii="仿宋_GB2312" w:hAnsi="仿宋_GB2312" w:eastAsia="仿宋_GB2312" w:cs="仿宋_GB2312"/>
          <w:sz w:val="28"/>
          <w:szCs w:val="28"/>
          <w:highlight w:val="none"/>
        </w:rPr>
        <w:t>（5）</w:t>
      </w:r>
      <w:bookmarkStart w:id="443" w:name="_Hlk136162897"/>
      <w:r>
        <w:rPr>
          <w:rFonts w:hint="eastAsia" w:ascii="仿宋_GB2312" w:hAnsi="仿宋_GB2312" w:eastAsia="仿宋_GB2312" w:cs="仿宋_GB2312"/>
          <w:sz w:val="28"/>
          <w:szCs w:val="28"/>
          <w:highlight w:val="none"/>
        </w:rPr>
        <w:t>排子湾村土地整合项目</w:t>
      </w:r>
      <w:bookmarkEnd w:id="443"/>
      <w:r>
        <w:rPr>
          <w:rFonts w:hint="eastAsia" w:ascii="仿宋_GB2312" w:hAnsi="仿宋_GB2312" w:eastAsia="仿宋_GB2312" w:cs="仿宋_GB2312"/>
          <w:sz w:val="28"/>
          <w:szCs w:val="28"/>
          <w:highlight w:val="none"/>
        </w:rPr>
        <w:t>。</w:t>
      </w:r>
      <w:bookmarkEnd w:id="431"/>
      <w:bookmarkEnd w:id="432"/>
      <w:bookmarkEnd w:id="433"/>
      <w:r>
        <w:rPr>
          <w:rFonts w:hint="eastAsia" w:ascii="仿宋_GB2312" w:hAnsi="仿宋_GB2312" w:eastAsia="仿宋_GB2312" w:cs="仿宋_GB2312"/>
          <w:sz w:val="28"/>
          <w:szCs w:val="28"/>
          <w:highlight w:val="none"/>
        </w:rPr>
        <w:t>排子湾村沿河村庄耕地零散，大型农机具无法进行耕作，现需对符合条件的排子湾村沿河村庄的205亩(121户，293人）零散耕地进行土地整合，以提高农业资源的利用率。概算资金16万元。</w:t>
      </w:r>
      <w:bookmarkEnd w:id="434"/>
      <w:bookmarkEnd w:id="435"/>
      <w:bookmarkEnd w:id="436"/>
      <w:bookmarkEnd w:id="437"/>
      <w:bookmarkEnd w:id="438"/>
      <w:bookmarkEnd w:id="439"/>
      <w:bookmarkEnd w:id="440"/>
      <w:bookmarkEnd w:id="441"/>
      <w:bookmarkEnd w:id="442"/>
    </w:p>
    <w:bookmarkEnd w:id="385"/>
    <w:p/>
    <w:sectPr>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pBdr>
        <w:top w:val="single" w:color="auto" w:sz="4" w:space="1"/>
        <w:left w:val="none" w:color="auto" w:sz="0" w:space="4"/>
        <w:bottom w:val="none" w:color="auto" w:sz="0" w:space="1"/>
        <w:right w:val="none" w:color="auto" w:sz="0" w:space="4"/>
      </w:pBdr>
    </w:pPr>
    <w:r>
      <w:rPr>
        <w:rFonts w:hint="eastAsia"/>
      </w:rPr>
      <w:t>内蒙古星舟会计师事务所（普通合伙）</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2"/>
      <w:pBdr>
        <w:top w:val="single" w:color="auto" w:sz="4" w:space="1"/>
        <w:left w:val="none" w:color="auto" w:sz="0" w:space="4"/>
        <w:bottom w:val="none" w:color="auto" w:sz="0" w:space="1"/>
        <w:right w:val="none" w:color="auto" w:sz="0" w:space="4"/>
      </w:pBdr>
    </w:pPr>
    <w:r>
      <w:rPr>
        <w:rFonts w:ascii="Calibri" w:hAnsi="Calibri" w:eastAsia="宋体" w:cs="Times New Roman"/>
        <w:kern w:val="2"/>
        <w:sz w:val="18"/>
        <w:szCs w:val="24"/>
        <w:lang w:val="en-US" w:eastAsia="zh-CN" w:bidi="ar-SA"/>
      </w:rPr>
      <w:pict>
        <v:rect id="文本框 2"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12"/>
                </w:pPr>
                <w:r>
                  <w:fldChar w:fldCharType="begin"/>
                </w:r>
                <w:r>
                  <w:instrText xml:space="preserve"> PAGE  \* MERGEFORMAT </w:instrText>
                </w:r>
                <w:r>
                  <w:fldChar w:fldCharType="separate"/>
                </w:r>
                <w:r>
                  <w:t>1</w:t>
                </w:r>
                <w:r>
                  <w:fldChar w:fldCharType="end"/>
                </w:r>
              </w:p>
            </w:txbxContent>
          </v:textbox>
        </v:rect>
      </w:pict>
    </w:r>
    <w:r>
      <w:rPr>
        <w:rFonts w:hint="eastAsia"/>
      </w:rPr>
      <w:t>内蒙古星舟会计师事务所（普通合伙）</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13"/>
      <w:rPr>
        <w:i/>
        <w:iCs/>
      </w:rPr>
    </w:pPr>
    <w:r>
      <w:rPr>
        <w:rFonts w:hint="eastAsia"/>
        <w:i/>
        <w:iCs/>
        <w:u w:val="single"/>
      </w:rPr>
      <w:t xml:space="preserve">                           2022年度乌审旗无定河镇五件民生实事人大代表票决制项目绩效评价报告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Y2MxZGNmZDA0M2FkY2IwNTliYmRlNmViYTk3NWRjZDkifQ=="/>
  </w:docVars>
  <w:rsids>
    <w:rsidRoot w:val="00341E73"/>
    <w:rsid w:val="0000249C"/>
    <w:rsid w:val="00002D74"/>
    <w:rsid w:val="00003E20"/>
    <w:rsid w:val="00006397"/>
    <w:rsid w:val="00006C18"/>
    <w:rsid w:val="00007A63"/>
    <w:rsid w:val="0001138B"/>
    <w:rsid w:val="00011587"/>
    <w:rsid w:val="000155D2"/>
    <w:rsid w:val="00016C3E"/>
    <w:rsid w:val="00023805"/>
    <w:rsid w:val="00027F5F"/>
    <w:rsid w:val="000320A3"/>
    <w:rsid w:val="0003405F"/>
    <w:rsid w:val="00046977"/>
    <w:rsid w:val="0005011F"/>
    <w:rsid w:val="00066D99"/>
    <w:rsid w:val="0007004A"/>
    <w:rsid w:val="00071C0F"/>
    <w:rsid w:val="0007423E"/>
    <w:rsid w:val="00080FC4"/>
    <w:rsid w:val="00083090"/>
    <w:rsid w:val="0008500A"/>
    <w:rsid w:val="000917C4"/>
    <w:rsid w:val="00093B51"/>
    <w:rsid w:val="000965F0"/>
    <w:rsid w:val="000A2D83"/>
    <w:rsid w:val="000A4251"/>
    <w:rsid w:val="000A5BE5"/>
    <w:rsid w:val="000B4EBA"/>
    <w:rsid w:val="000B7328"/>
    <w:rsid w:val="000B7E0F"/>
    <w:rsid w:val="000C642A"/>
    <w:rsid w:val="000D5746"/>
    <w:rsid w:val="000D6EE3"/>
    <w:rsid w:val="000D7F0C"/>
    <w:rsid w:val="000E1765"/>
    <w:rsid w:val="000E1DBE"/>
    <w:rsid w:val="000E64A3"/>
    <w:rsid w:val="000E797D"/>
    <w:rsid w:val="000F2F51"/>
    <w:rsid w:val="000F6FB9"/>
    <w:rsid w:val="00105E79"/>
    <w:rsid w:val="00105F73"/>
    <w:rsid w:val="00112C1F"/>
    <w:rsid w:val="001214AB"/>
    <w:rsid w:val="00121636"/>
    <w:rsid w:val="00122EEB"/>
    <w:rsid w:val="00126591"/>
    <w:rsid w:val="00134E8B"/>
    <w:rsid w:val="00136FED"/>
    <w:rsid w:val="0015462A"/>
    <w:rsid w:val="00163362"/>
    <w:rsid w:val="00172366"/>
    <w:rsid w:val="0017438F"/>
    <w:rsid w:val="00180A96"/>
    <w:rsid w:val="00185430"/>
    <w:rsid w:val="00186FF6"/>
    <w:rsid w:val="001934A2"/>
    <w:rsid w:val="00197B1F"/>
    <w:rsid w:val="001A27E6"/>
    <w:rsid w:val="001A4004"/>
    <w:rsid w:val="001B049B"/>
    <w:rsid w:val="001B3594"/>
    <w:rsid w:val="001B4315"/>
    <w:rsid w:val="001C62CC"/>
    <w:rsid w:val="001C7702"/>
    <w:rsid w:val="001E066E"/>
    <w:rsid w:val="001E1BC3"/>
    <w:rsid w:val="001F0F1C"/>
    <w:rsid w:val="001F3073"/>
    <w:rsid w:val="001F54BE"/>
    <w:rsid w:val="00201993"/>
    <w:rsid w:val="002036FF"/>
    <w:rsid w:val="00204D34"/>
    <w:rsid w:val="00212897"/>
    <w:rsid w:val="00216380"/>
    <w:rsid w:val="002204BA"/>
    <w:rsid w:val="00220DB1"/>
    <w:rsid w:val="00223CF0"/>
    <w:rsid w:val="002274ED"/>
    <w:rsid w:val="00250C37"/>
    <w:rsid w:val="00251671"/>
    <w:rsid w:val="00260082"/>
    <w:rsid w:val="00265BC5"/>
    <w:rsid w:val="002666B9"/>
    <w:rsid w:val="00266B6C"/>
    <w:rsid w:val="00280F83"/>
    <w:rsid w:val="00281012"/>
    <w:rsid w:val="00285A84"/>
    <w:rsid w:val="002863EA"/>
    <w:rsid w:val="002901E3"/>
    <w:rsid w:val="002B1027"/>
    <w:rsid w:val="002B287A"/>
    <w:rsid w:val="002C3DF1"/>
    <w:rsid w:val="002C7E80"/>
    <w:rsid w:val="002D00B9"/>
    <w:rsid w:val="002D24F4"/>
    <w:rsid w:val="002D260B"/>
    <w:rsid w:val="002E4A9D"/>
    <w:rsid w:val="002E659C"/>
    <w:rsid w:val="002F7377"/>
    <w:rsid w:val="002F7F59"/>
    <w:rsid w:val="00300C4A"/>
    <w:rsid w:val="00313CC2"/>
    <w:rsid w:val="003174F3"/>
    <w:rsid w:val="00323A01"/>
    <w:rsid w:val="00324ECE"/>
    <w:rsid w:val="00327A7A"/>
    <w:rsid w:val="00331429"/>
    <w:rsid w:val="0033478E"/>
    <w:rsid w:val="00335DE2"/>
    <w:rsid w:val="00341E73"/>
    <w:rsid w:val="00351B51"/>
    <w:rsid w:val="003544A7"/>
    <w:rsid w:val="00365226"/>
    <w:rsid w:val="00365FAF"/>
    <w:rsid w:val="0036614C"/>
    <w:rsid w:val="00366412"/>
    <w:rsid w:val="00367AA8"/>
    <w:rsid w:val="00371307"/>
    <w:rsid w:val="003728B0"/>
    <w:rsid w:val="00377A3A"/>
    <w:rsid w:val="003801D1"/>
    <w:rsid w:val="0038208C"/>
    <w:rsid w:val="003862B9"/>
    <w:rsid w:val="00387245"/>
    <w:rsid w:val="003A39C6"/>
    <w:rsid w:val="003B395B"/>
    <w:rsid w:val="003B54A4"/>
    <w:rsid w:val="003B7097"/>
    <w:rsid w:val="003C2AE9"/>
    <w:rsid w:val="003C4C3E"/>
    <w:rsid w:val="003C6273"/>
    <w:rsid w:val="003C6F94"/>
    <w:rsid w:val="003C778C"/>
    <w:rsid w:val="003D0374"/>
    <w:rsid w:val="003D63FB"/>
    <w:rsid w:val="003E382C"/>
    <w:rsid w:val="003E5C80"/>
    <w:rsid w:val="003F0093"/>
    <w:rsid w:val="003F1325"/>
    <w:rsid w:val="003F47AE"/>
    <w:rsid w:val="00401C93"/>
    <w:rsid w:val="00401CB3"/>
    <w:rsid w:val="00402038"/>
    <w:rsid w:val="004048C1"/>
    <w:rsid w:val="00405BA2"/>
    <w:rsid w:val="00417144"/>
    <w:rsid w:val="004232B1"/>
    <w:rsid w:val="004263B7"/>
    <w:rsid w:val="00431300"/>
    <w:rsid w:val="00433AC7"/>
    <w:rsid w:val="00435019"/>
    <w:rsid w:val="00445B2D"/>
    <w:rsid w:val="004509C4"/>
    <w:rsid w:val="0045116B"/>
    <w:rsid w:val="004513E1"/>
    <w:rsid w:val="00453C10"/>
    <w:rsid w:val="00463F3E"/>
    <w:rsid w:val="00464950"/>
    <w:rsid w:val="00470ECC"/>
    <w:rsid w:val="00473E34"/>
    <w:rsid w:val="00481080"/>
    <w:rsid w:val="0048607C"/>
    <w:rsid w:val="00486524"/>
    <w:rsid w:val="0049267C"/>
    <w:rsid w:val="00495145"/>
    <w:rsid w:val="004A47C1"/>
    <w:rsid w:val="004A5BEF"/>
    <w:rsid w:val="004A6726"/>
    <w:rsid w:val="004A7025"/>
    <w:rsid w:val="004B637C"/>
    <w:rsid w:val="004B764D"/>
    <w:rsid w:val="004C1A90"/>
    <w:rsid w:val="004C274D"/>
    <w:rsid w:val="004C3AF8"/>
    <w:rsid w:val="004C657B"/>
    <w:rsid w:val="004D5F4C"/>
    <w:rsid w:val="004D6F14"/>
    <w:rsid w:val="004D7E08"/>
    <w:rsid w:val="004D7F60"/>
    <w:rsid w:val="004E1143"/>
    <w:rsid w:val="004E167A"/>
    <w:rsid w:val="004E41ED"/>
    <w:rsid w:val="004E7CA9"/>
    <w:rsid w:val="004F1C6B"/>
    <w:rsid w:val="004F2533"/>
    <w:rsid w:val="004F5C8F"/>
    <w:rsid w:val="004F7084"/>
    <w:rsid w:val="004F7BCC"/>
    <w:rsid w:val="0050738A"/>
    <w:rsid w:val="00507496"/>
    <w:rsid w:val="00507C03"/>
    <w:rsid w:val="00517E23"/>
    <w:rsid w:val="00517EEA"/>
    <w:rsid w:val="00520766"/>
    <w:rsid w:val="00525F3A"/>
    <w:rsid w:val="00526730"/>
    <w:rsid w:val="0052716B"/>
    <w:rsid w:val="00530F6E"/>
    <w:rsid w:val="00542C23"/>
    <w:rsid w:val="005441FA"/>
    <w:rsid w:val="00545112"/>
    <w:rsid w:val="00586CFB"/>
    <w:rsid w:val="00586FAB"/>
    <w:rsid w:val="00591109"/>
    <w:rsid w:val="005A2B0A"/>
    <w:rsid w:val="005A489E"/>
    <w:rsid w:val="005A59C7"/>
    <w:rsid w:val="005A639C"/>
    <w:rsid w:val="005B249C"/>
    <w:rsid w:val="005B76DC"/>
    <w:rsid w:val="005C6112"/>
    <w:rsid w:val="005C6719"/>
    <w:rsid w:val="005C7B1B"/>
    <w:rsid w:val="005D2BFB"/>
    <w:rsid w:val="005D338E"/>
    <w:rsid w:val="005D525B"/>
    <w:rsid w:val="005D591F"/>
    <w:rsid w:val="005E0E9C"/>
    <w:rsid w:val="005F02EC"/>
    <w:rsid w:val="005F1878"/>
    <w:rsid w:val="005F3286"/>
    <w:rsid w:val="005F5907"/>
    <w:rsid w:val="0060041B"/>
    <w:rsid w:val="00600DF6"/>
    <w:rsid w:val="00601620"/>
    <w:rsid w:val="00602486"/>
    <w:rsid w:val="00607FA9"/>
    <w:rsid w:val="006125B3"/>
    <w:rsid w:val="00625455"/>
    <w:rsid w:val="00633222"/>
    <w:rsid w:val="006376AE"/>
    <w:rsid w:val="00637E77"/>
    <w:rsid w:val="006404DF"/>
    <w:rsid w:val="00643235"/>
    <w:rsid w:val="0064409E"/>
    <w:rsid w:val="00646822"/>
    <w:rsid w:val="006618DE"/>
    <w:rsid w:val="006622BF"/>
    <w:rsid w:val="00670CF5"/>
    <w:rsid w:val="00672521"/>
    <w:rsid w:val="006739DB"/>
    <w:rsid w:val="00677A22"/>
    <w:rsid w:val="00683C97"/>
    <w:rsid w:val="00685D98"/>
    <w:rsid w:val="006866D6"/>
    <w:rsid w:val="00691FB4"/>
    <w:rsid w:val="00693566"/>
    <w:rsid w:val="0069414D"/>
    <w:rsid w:val="006A06E1"/>
    <w:rsid w:val="006A11B8"/>
    <w:rsid w:val="006A14A5"/>
    <w:rsid w:val="006A2EBA"/>
    <w:rsid w:val="006A426C"/>
    <w:rsid w:val="006A471C"/>
    <w:rsid w:val="006A4C74"/>
    <w:rsid w:val="006A4ECC"/>
    <w:rsid w:val="006B0F79"/>
    <w:rsid w:val="006B1FA6"/>
    <w:rsid w:val="006D4F36"/>
    <w:rsid w:val="006D7939"/>
    <w:rsid w:val="006E239B"/>
    <w:rsid w:val="006E25D9"/>
    <w:rsid w:val="006F1AB9"/>
    <w:rsid w:val="006F2C75"/>
    <w:rsid w:val="006F58D0"/>
    <w:rsid w:val="007038E3"/>
    <w:rsid w:val="00706744"/>
    <w:rsid w:val="00722835"/>
    <w:rsid w:val="00723A9C"/>
    <w:rsid w:val="00731108"/>
    <w:rsid w:val="00737059"/>
    <w:rsid w:val="00740856"/>
    <w:rsid w:val="00742D7E"/>
    <w:rsid w:val="007431DB"/>
    <w:rsid w:val="007435AC"/>
    <w:rsid w:val="00752522"/>
    <w:rsid w:val="00752EC3"/>
    <w:rsid w:val="00753CDB"/>
    <w:rsid w:val="007613A8"/>
    <w:rsid w:val="00763FAA"/>
    <w:rsid w:val="00764F74"/>
    <w:rsid w:val="00772A8F"/>
    <w:rsid w:val="00781610"/>
    <w:rsid w:val="00783477"/>
    <w:rsid w:val="00786B65"/>
    <w:rsid w:val="00795177"/>
    <w:rsid w:val="007A48A1"/>
    <w:rsid w:val="007A53DD"/>
    <w:rsid w:val="007B0978"/>
    <w:rsid w:val="007B4398"/>
    <w:rsid w:val="007B4E19"/>
    <w:rsid w:val="007D0312"/>
    <w:rsid w:val="007E26E9"/>
    <w:rsid w:val="007E6C83"/>
    <w:rsid w:val="007F1C15"/>
    <w:rsid w:val="00806E6B"/>
    <w:rsid w:val="008104E3"/>
    <w:rsid w:val="00820082"/>
    <w:rsid w:val="008219C9"/>
    <w:rsid w:val="00824AC6"/>
    <w:rsid w:val="00826EE7"/>
    <w:rsid w:val="00832FB6"/>
    <w:rsid w:val="0084218C"/>
    <w:rsid w:val="00846B58"/>
    <w:rsid w:val="00856D7D"/>
    <w:rsid w:val="008603DB"/>
    <w:rsid w:val="0086344D"/>
    <w:rsid w:val="00863C63"/>
    <w:rsid w:val="00864690"/>
    <w:rsid w:val="00871964"/>
    <w:rsid w:val="00873716"/>
    <w:rsid w:val="00885FBC"/>
    <w:rsid w:val="00893445"/>
    <w:rsid w:val="00897828"/>
    <w:rsid w:val="008A1623"/>
    <w:rsid w:val="008A6948"/>
    <w:rsid w:val="008C1A95"/>
    <w:rsid w:val="008C4EF4"/>
    <w:rsid w:val="008D5D5E"/>
    <w:rsid w:val="008D5ED5"/>
    <w:rsid w:val="008F4E8F"/>
    <w:rsid w:val="008F4FA3"/>
    <w:rsid w:val="00902D4C"/>
    <w:rsid w:val="00905B0D"/>
    <w:rsid w:val="00912BF5"/>
    <w:rsid w:val="00913739"/>
    <w:rsid w:val="00916231"/>
    <w:rsid w:val="00930D5E"/>
    <w:rsid w:val="00933B96"/>
    <w:rsid w:val="00940746"/>
    <w:rsid w:val="009450BD"/>
    <w:rsid w:val="00946A27"/>
    <w:rsid w:val="00956736"/>
    <w:rsid w:val="00962739"/>
    <w:rsid w:val="009633AE"/>
    <w:rsid w:val="00973FA5"/>
    <w:rsid w:val="009758E1"/>
    <w:rsid w:val="00980337"/>
    <w:rsid w:val="00982144"/>
    <w:rsid w:val="00982C94"/>
    <w:rsid w:val="00984357"/>
    <w:rsid w:val="00984CD4"/>
    <w:rsid w:val="00987D1D"/>
    <w:rsid w:val="00994752"/>
    <w:rsid w:val="009950E6"/>
    <w:rsid w:val="009A0119"/>
    <w:rsid w:val="009A0602"/>
    <w:rsid w:val="009A14EC"/>
    <w:rsid w:val="009A5820"/>
    <w:rsid w:val="009B1453"/>
    <w:rsid w:val="009B2530"/>
    <w:rsid w:val="009C249F"/>
    <w:rsid w:val="009C448E"/>
    <w:rsid w:val="009C4AB9"/>
    <w:rsid w:val="009C77C9"/>
    <w:rsid w:val="009D0AB3"/>
    <w:rsid w:val="009D2CD4"/>
    <w:rsid w:val="009D69C3"/>
    <w:rsid w:val="009E2254"/>
    <w:rsid w:val="009E2402"/>
    <w:rsid w:val="009E619F"/>
    <w:rsid w:val="009F4B86"/>
    <w:rsid w:val="009F61C7"/>
    <w:rsid w:val="00A02FDF"/>
    <w:rsid w:val="00A030FE"/>
    <w:rsid w:val="00A0479F"/>
    <w:rsid w:val="00A05DC8"/>
    <w:rsid w:val="00A0774C"/>
    <w:rsid w:val="00A1034E"/>
    <w:rsid w:val="00A14417"/>
    <w:rsid w:val="00A153AA"/>
    <w:rsid w:val="00A21287"/>
    <w:rsid w:val="00A21E7D"/>
    <w:rsid w:val="00A22DFE"/>
    <w:rsid w:val="00A27982"/>
    <w:rsid w:val="00A2799D"/>
    <w:rsid w:val="00A34C6E"/>
    <w:rsid w:val="00A36395"/>
    <w:rsid w:val="00A423B2"/>
    <w:rsid w:val="00A425CE"/>
    <w:rsid w:val="00A45A94"/>
    <w:rsid w:val="00A45F42"/>
    <w:rsid w:val="00A46050"/>
    <w:rsid w:val="00A56004"/>
    <w:rsid w:val="00A56499"/>
    <w:rsid w:val="00A56EB0"/>
    <w:rsid w:val="00A57EB4"/>
    <w:rsid w:val="00A601A0"/>
    <w:rsid w:val="00A61D38"/>
    <w:rsid w:val="00A8165D"/>
    <w:rsid w:val="00A91F57"/>
    <w:rsid w:val="00AA2F60"/>
    <w:rsid w:val="00AA353F"/>
    <w:rsid w:val="00AA413F"/>
    <w:rsid w:val="00AA4A0D"/>
    <w:rsid w:val="00AA6511"/>
    <w:rsid w:val="00AA7270"/>
    <w:rsid w:val="00AB0C0E"/>
    <w:rsid w:val="00AB12EE"/>
    <w:rsid w:val="00AB45AB"/>
    <w:rsid w:val="00AB48BA"/>
    <w:rsid w:val="00AB545E"/>
    <w:rsid w:val="00AB5E7F"/>
    <w:rsid w:val="00AC4686"/>
    <w:rsid w:val="00AC4EA8"/>
    <w:rsid w:val="00AC53CD"/>
    <w:rsid w:val="00AC5521"/>
    <w:rsid w:val="00AE1410"/>
    <w:rsid w:val="00AE1ABE"/>
    <w:rsid w:val="00AE3617"/>
    <w:rsid w:val="00AE611B"/>
    <w:rsid w:val="00AF06D1"/>
    <w:rsid w:val="00AF2183"/>
    <w:rsid w:val="00B02B10"/>
    <w:rsid w:val="00B14CDA"/>
    <w:rsid w:val="00B167D9"/>
    <w:rsid w:val="00B203AA"/>
    <w:rsid w:val="00B23FF6"/>
    <w:rsid w:val="00B277F9"/>
    <w:rsid w:val="00B2783D"/>
    <w:rsid w:val="00B30986"/>
    <w:rsid w:val="00B34D06"/>
    <w:rsid w:val="00B3703E"/>
    <w:rsid w:val="00B37366"/>
    <w:rsid w:val="00B473A3"/>
    <w:rsid w:val="00B5259F"/>
    <w:rsid w:val="00B52DE5"/>
    <w:rsid w:val="00B64456"/>
    <w:rsid w:val="00B659B7"/>
    <w:rsid w:val="00B66699"/>
    <w:rsid w:val="00B73005"/>
    <w:rsid w:val="00B76086"/>
    <w:rsid w:val="00B91B63"/>
    <w:rsid w:val="00B92D6A"/>
    <w:rsid w:val="00B94B2D"/>
    <w:rsid w:val="00B972EE"/>
    <w:rsid w:val="00BA32BF"/>
    <w:rsid w:val="00BA65FC"/>
    <w:rsid w:val="00BB00DF"/>
    <w:rsid w:val="00BB26C0"/>
    <w:rsid w:val="00BB77FB"/>
    <w:rsid w:val="00BC5142"/>
    <w:rsid w:val="00BC73D9"/>
    <w:rsid w:val="00BC7AD7"/>
    <w:rsid w:val="00BD3A0E"/>
    <w:rsid w:val="00BD7294"/>
    <w:rsid w:val="00BE1FD0"/>
    <w:rsid w:val="00BE2B68"/>
    <w:rsid w:val="00BE2D9B"/>
    <w:rsid w:val="00BE31C5"/>
    <w:rsid w:val="00BE5739"/>
    <w:rsid w:val="00BF1336"/>
    <w:rsid w:val="00BF2F58"/>
    <w:rsid w:val="00BF30B3"/>
    <w:rsid w:val="00BF4BB1"/>
    <w:rsid w:val="00C00420"/>
    <w:rsid w:val="00C01444"/>
    <w:rsid w:val="00C03058"/>
    <w:rsid w:val="00C102E8"/>
    <w:rsid w:val="00C10608"/>
    <w:rsid w:val="00C14AD6"/>
    <w:rsid w:val="00C15746"/>
    <w:rsid w:val="00C204D2"/>
    <w:rsid w:val="00C22F02"/>
    <w:rsid w:val="00C25494"/>
    <w:rsid w:val="00C34551"/>
    <w:rsid w:val="00C347D3"/>
    <w:rsid w:val="00C35519"/>
    <w:rsid w:val="00C359FD"/>
    <w:rsid w:val="00C37F7F"/>
    <w:rsid w:val="00C41AEE"/>
    <w:rsid w:val="00C43785"/>
    <w:rsid w:val="00C52987"/>
    <w:rsid w:val="00C55534"/>
    <w:rsid w:val="00C56027"/>
    <w:rsid w:val="00C65F3C"/>
    <w:rsid w:val="00C70EFE"/>
    <w:rsid w:val="00C72D68"/>
    <w:rsid w:val="00C8021C"/>
    <w:rsid w:val="00C80D7E"/>
    <w:rsid w:val="00C810C2"/>
    <w:rsid w:val="00C82E49"/>
    <w:rsid w:val="00C842B5"/>
    <w:rsid w:val="00C86C31"/>
    <w:rsid w:val="00C95D00"/>
    <w:rsid w:val="00CB00C2"/>
    <w:rsid w:val="00CB0B71"/>
    <w:rsid w:val="00CB4772"/>
    <w:rsid w:val="00CB5728"/>
    <w:rsid w:val="00CB65A3"/>
    <w:rsid w:val="00CB7345"/>
    <w:rsid w:val="00CC0B6D"/>
    <w:rsid w:val="00CC363F"/>
    <w:rsid w:val="00CC39BE"/>
    <w:rsid w:val="00CD2083"/>
    <w:rsid w:val="00CD5E2C"/>
    <w:rsid w:val="00CD5EBB"/>
    <w:rsid w:val="00CD7CFC"/>
    <w:rsid w:val="00CE755D"/>
    <w:rsid w:val="00CE7591"/>
    <w:rsid w:val="00CF547A"/>
    <w:rsid w:val="00D01F3E"/>
    <w:rsid w:val="00D02F46"/>
    <w:rsid w:val="00D03C50"/>
    <w:rsid w:val="00D04B82"/>
    <w:rsid w:val="00D054D3"/>
    <w:rsid w:val="00D05814"/>
    <w:rsid w:val="00D11C70"/>
    <w:rsid w:val="00D17A49"/>
    <w:rsid w:val="00D2345C"/>
    <w:rsid w:val="00D3420B"/>
    <w:rsid w:val="00D379D6"/>
    <w:rsid w:val="00D42330"/>
    <w:rsid w:val="00D449C0"/>
    <w:rsid w:val="00D47ECB"/>
    <w:rsid w:val="00D51326"/>
    <w:rsid w:val="00D665D9"/>
    <w:rsid w:val="00D66DC8"/>
    <w:rsid w:val="00D72084"/>
    <w:rsid w:val="00D83981"/>
    <w:rsid w:val="00D83AFA"/>
    <w:rsid w:val="00D97707"/>
    <w:rsid w:val="00DA3DC2"/>
    <w:rsid w:val="00DA5DD4"/>
    <w:rsid w:val="00DB1DA1"/>
    <w:rsid w:val="00DB4E22"/>
    <w:rsid w:val="00DB556F"/>
    <w:rsid w:val="00DC3E95"/>
    <w:rsid w:val="00DC4860"/>
    <w:rsid w:val="00DD315D"/>
    <w:rsid w:val="00DD4B3C"/>
    <w:rsid w:val="00DD77B5"/>
    <w:rsid w:val="00DE13AE"/>
    <w:rsid w:val="00DE2D1E"/>
    <w:rsid w:val="00DE5206"/>
    <w:rsid w:val="00DE7CB9"/>
    <w:rsid w:val="00DF2087"/>
    <w:rsid w:val="00DF2184"/>
    <w:rsid w:val="00DF2376"/>
    <w:rsid w:val="00DF765A"/>
    <w:rsid w:val="00E0206F"/>
    <w:rsid w:val="00E07720"/>
    <w:rsid w:val="00E10558"/>
    <w:rsid w:val="00E118A8"/>
    <w:rsid w:val="00E13E08"/>
    <w:rsid w:val="00E16525"/>
    <w:rsid w:val="00E24335"/>
    <w:rsid w:val="00E2795F"/>
    <w:rsid w:val="00E37CD0"/>
    <w:rsid w:val="00E405E7"/>
    <w:rsid w:val="00E42A18"/>
    <w:rsid w:val="00E47B81"/>
    <w:rsid w:val="00E54454"/>
    <w:rsid w:val="00E64171"/>
    <w:rsid w:val="00E66DE1"/>
    <w:rsid w:val="00E81E14"/>
    <w:rsid w:val="00E8702F"/>
    <w:rsid w:val="00E96039"/>
    <w:rsid w:val="00E97918"/>
    <w:rsid w:val="00EA0ACC"/>
    <w:rsid w:val="00EB1E01"/>
    <w:rsid w:val="00EB2207"/>
    <w:rsid w:val="00EB255D"/>
    <w:rsid w:val="00EB3038"/>
    <w:rsid w:val="00EB32B3"/>
    <w:rsid w:val="00EB5C38"/>
    <w:rsid w:val="00EB61D9"/>
    <w:rsid w:val="00EB7789"/>
    <w:rsid w:val="00ED2C6B"/>
    <w:rsid w:val="00ED30A9"/>
    <w:rsid w:val="00ED57B0"/>
    <w:rsid w:val="00EE0A45"/>
    <w:rsid w:val="00EE5C3D"/>
    <w:rsid w:val="00EF3505"/>
    <w:rsid w:val="00EF4901"/>
    <w:rsid w:val="00EF7298"/>
    <w:rsid w:val="00F03FD5"/>
    <w:rsid w:val="00F0584E"/>
    <w:rsid w:val="00F05EA9"/>
    <w:rsid w:val="00F1143F"/>
    <w:rsid w:val="00F15BD3"/>
    <w:rsid w:val="00F17B8F"/>
    <w:rsid w:val="00F200EB"/>
    <w:rsid w:val="00F20AD3"/>
    <w:rsid w:val="00F22081"/>
    <w:rsid w:val="00F23037"/>
    <w:rsid w:val="00F30625"/>
    <w:rsid w:val="00F42CB0"/>
    <w:rsid w:val="00F4697E"/>
    <w:rsid w:val="00F67224"/>
    <w:rsid w:val="00F67BB9"/>
    <w:rsid w:val="00F67D48"/>
    <w:rsid w:val="00F800E7"/>
    <w:rsid w:val="00F869D4"/>
    <w:rsid w:val="00F92728"/>
    <w:rsid w:val="00F97B17"/>
    <w:rsid w:val="00FA4E6B"/>
    <w:rsid w:val="00FB7F66"/>
    <w:rsid w:val="00FC2309"/>
    <w:rsid w:val="00FC2480"/>
    <w:rsid w:val="00FC3206"/>
    <w:rsid w:val="00FC7BA6"/>
    <w:rsid w:val="00FD53E7"/>
    <w:rsid w:val="00FD79EC"/>
    <w:rsid w:val="00FE0930"/>
    <w:rsid w:val="00FE3A29"/>
    <w:rsid w:val="00FE74E8"/>
    <w:rsid w:val="00FF2E19"/>
    <w:rsid w:val="00FF2F9B"/>
    <w:rsid w:val="010448E5"/>
    <w:rsid w:val="01536ECF"/>
    <w:rsid w:val="01922540"/>
    <w:rsid w:val="025739FF"/>
    <w:rsid w:val="026F32DD"/>
    <w:rsid w:val="02AA7405"/>
    <w:rsid w:val="02D23A8B"/>
    <w:rsid w:val="02EF1E8A"/>
    <w:rsid w:val="030E7406"/>
    <w:rsid w:val="03947371"/>
    <w:rsid w:val="046F095C"/>
    <w:rsid w:val="048260BF"/>
    <w:rsid w:val="04DA26C6"/>
    <w:rsid w:val="05706667"/>
    <w:rsid w:val="05A131E3"/>
    <w:rsid w:val="05D67331"/>
    <w:rsid w:val="06313C88"/>
    <w:rsid w:val="068C3E93"/>
    <w:rsid w:val="06972FAD"/>
    <w:rsid w:val="069873E3"/>
    <w:rsid w:val="06CD24E2"/>
    <w:rsid w:val="06DA4A0D"/>
    <w:rsid w:val="06FF4665"/>
    <w:rsid w:val="070303D0"/>
    <w:rsid w:val="071D689A"/>
    <w:rsid w:val="072B0FB7"/>
    <w:rsid w:val="07584BED"/>
    <w:rsid w:val="082C764A"/>
    <w:rsid w:val="08A72B38"/>
    <w:rsid w:val="08DA73E4"/>
    <w:rsid w:val="08DC4A98"/>
    <w:rsid w:val="0A0F2E11"/>
    <w:rsid w:val="0A15540C"/>
    <w:rsid w:val="0A5627EE"/>
    <w:rsid w:val="0A6E0072"/>
    <w:rsid w:val="0A960E3D"/>
    <w:rsid w:val="0AD86CB1"/>
    <w:rsid w:val="0B0706CB"/>
    <w:rsid w:val="0B6D5283"/>
    <w:rsid w:val="0B7A42BB"/>
    <w:rsid w:val="0B9B3C6F"/>
    <w:rsid w:val="0BD75BB1"/>
    <w:rsid w:val="0BEA5D53"/>
    <w:rsid w:val="0BF40511"/>
    <w:rsid w:val="0BF4406D"/>
    <w:rsid w:val="0C177D5B"/>
    <w:rsid w:val="0C4348A2"/>
    <w:rsid w:val="0CC12083"/>
    <w:rsid w:val="0CD67C16"/>
    <w:rsid w:val="0CEB53A6"/>
    <w:rsid w:val="0CF9285A"/>
    <w:rsid w:val="0D186481"/>
    <w:rsid w:val="0D2B7F62"/>
    <w:rsid w:val="0D664562"/>
    <w:rsid w:val="0D706C45"/>
    <w:rsid w:val="0D896A37"/>
    <w:rsid w:val="0E270D6F"/>
    <w:rsid w:val="0E4F5ED2"/>
    <w:rsid w:val="0E5C68B3"/>
    <w:rsid w:val="0E614954"/>
    <w:rsid w:val="0E911989"/>
    <w:rsid w:val="0E963B01"/>
    <w:rsid w:val="0E9953A0"/>
    <w:rsid w:val="0EC06B48"/>
    <w:rsid w:val="0ECE3678"/>
    <w:rsid w:val="0F234C69"/>
    <w:rsid w:val="101C21D7"/>
    <w:rsid w:val="102B0279"/>
    <w:rsid w:val="102F5FF2"/>
    <w:rsid w:val="1067266B"/>
    <w:rsid w:val="107741D4"/>
    <w:rsid w:val="10F03EEC"/>
    <w:rsid w:val="11244CFA"/>
    <w:rsid w:val="117D4B05"/>
    <w:rsid w:val="11803E55"/>
    <w:rsid w:val="11B83D8F"/>
    <w:rsid w:val="11F15720"/>
    <w:rsid w:val="11FD77E4"/>
    <w:rsid w:val="12086AC4"/>
    <w:rsid w:val="12137978"/>
    <w:rsid w:val="122F5644"/>
    <w:rsid w:val="12351E98"/>
    <w:rsid w:val="12937C8C"/>
    <w:rsid w:val="13132C80"/>
    <w:rsid w:val="136E6DFB"/>
    <w:rsid w:val="13B567D8"/>
    <w:rsid w:val="13D27907"/>
    <w:rsid w:val="13D54A41"/>
    <w:rsid w:val="13D6674E"/>
    <w:rsid w:val="13E07183"/>
    <w:rsid w:val="14805E6D"/>
    <w:rsid w:val="149D2C4F"/>
    <w:rsid w:val="14D47131"/>
    <w:rsid w:val="151237B6"/>
    <w:rsid w:val="15244E3B"/>
    <w:rsid w:val="15545B7C"/>
    <w:rsid w:val="15584704"/>
    <w:rsid w:val="15D078F9"/>
    <w:rsid w:val="16264FE5"/>
    <w:rsid w:val="167909DF"/>
    <w:rsid w:val="167A528E"/>
    <w:rsid w:val="16C1147B"/>
    <w:rsid w:val="16D61727"/>
    <w:rsid w:val="16EA2594"/>
    <w:rsid w:val="17031726"/>
    <w:rsid w:val="170D11CC"/>
    <w:rsid w:val="17261D73"/>
    <w:rsid w:val="17277036"/>
    <w:rsid w:val="17654071"/>
    <w:rsid w:val="17B60D70"/>
    <w:rsid w:val="17B943BD"/>
    <w:rsid w:val="17C2010E"/>
    <w:rsid w:val="185D6565"/>
    <w:rsid w:val="18CE20EA"/>
    <w:rsid w:val="18F759EF"/>
    <w:rsid w:val="18F95331"/>
    <w:rsid w:val="193D1F88"/>
    <w:rsid w:val="19792055"/>
    <w:rsid w:val="19BD63E6"/>
    <w:rsid w:val="1A101FB8"/>
    <w:rsid w:val="1A3B40D6"/>
    <w:rsid w:val="1A734CF7"/>
    <w:rsid w:val="1A876ABC"/>
    <w:rsid w:val="1AC53CC5"/>
    <w:rsid w:val="1AFD2549"/>
    <w:rsid w:val="1B08283A"/>
    <w:rsid w:val="1B49431C"/>
    <w:rsid w:val="1B80591D"/>
    <w:rsid w:val="1B854CE1"/>
    <w:rsid w:val="1C015E11"/>
    <w:rsid w:val="1C330BE1"/>
    <w:rsid w:val="1C35022F"/>
    <w:rsid w:val="1CA27B15"/>
    <w:rsid w:val="1CDA72AF"/>
    <w:rsid w:val="1CF2325C"/>
    <w:rsid w:val="1D4D7A81"/>
    <w:rsid w:val="1D514D9F"/>
    <w:rsid w:val="1D61352C"/>
    <w:rsid w:val="1DBA2C3C"/>
    <w:rsid w:val="1DD51824"/>
    <w:rsid w:val="1E05035C"/>
    <w:rsid w:val="1E0810EC"/>
    <w:rsid w:val="1E322924"/>
    <w:rsid w:val="1E6D7CAF"/>
    <w:rsid w:val="1E6F3A27"/>
    <w:rsid w:val="1EC94CBA"/>
    <w:rsid w:val="1F501AAA"/>
    <w:rsid w:val="205E30AE"/>
    <w:rsid w:val="20C31E08"/>
    <w:rsid w:val="20D050BE"/>
    <w:rsid w:val="2122535A"/>
    <w:rsid w:val="217E7584"/>
    <w:rsid w:val="218D4F30"/>
    <w:rsid w:val="21FB1267"/>
    <w:rsid w:val="22637127"/>
    <w:rsid w:val="22A21C9C"/>
    <w:rsid w:val="2378337E"/>
    <w:rsid w:val="23E956E6"/>
    <w:rsid w:val="23F7185D"/>
    <w:rsid w:val="240A4F17"/>
    <w:rsid w:val="242F4753"/>
    <w:rsid w:val="24370AE6"/>
    <w:rsid w:val="243C34B0"/>
    <w:rsid w:val="24F42ED8"/>
    <w:rsid w:val="250023CA"/>
    <w:rsid w:val="25164BFC"/>
    <w:rsid w:val="25270BB7"/>
    <w:rsid w:val="257007B0"/>
    <w:rsid w:val="25891872"/>
    <w:rsid w:val="25C64315"/>
    <w:rsid w:val="25D23BE2"/>
    <w:rsid w:val="2604714B"/>
    <w:rsid w:val="264B4D7A"/>
    <w:rsid w:val="26AD43FF"/>
    <w:rsid w:val="26ED755E"/>
    <w:rsid w:val="272E0923"/>
    <w:rsid w:val="273332C4"/>
    <w:rsid w:val="27514612"/>
    <w:rsid w:val="276E6F72"/>
    <w:rsid w:val="27931A9E"/>
    <w:rsid w:val="27B506FD"/>
    <w:rsid w:val="27B97EBF"/>
    <w:rsid w:val="284843E9"/>
    <w:rsid w:val="284D0E33"/>
    <w:rsid w:val="2868347B"/>
    <w:rsid w:val="28B208E1"/>
    <w:rsid w:val="28CD204F"/>
    <w:rsid w:val="2985406B"/>
    <w:rsid w:val="29A83EEC"/>
    <w:rsid w:val="29CC4423"/>
    <w:rsid w:val="2A1462B5"/>
    <w:rsid w:val="2A4144C9"/>
    <w:rsid w:val="2A6B463B"/>
    <w:rsid w:val="2AA46A7B"/>
    <w:rsid w:val="2AA94324"/>
    <w:rsid w:val="2AAA6513"/>
    <w:rsid w:val="2ADE7F6A"/>
    <w:rsid w:val="2AFA0B7E"/>
    <w:rsid w:val="2B3109E2"/>
    <w:rsid w:val="2B3C3255"/>
    <w:rsid w:val="2B64300E"/>
    <w:rsid w:val="2B6E487D"/>
    <w:rsid w:val="2B8D5F12"/>
    <w:rsid w:val="2B9530D5"/>
    <w:rsid w:val="2B9C671C"/>
    <w:rsid w:val="2BB05DAB"/>
    <w:rsid w:val="2BC204C8"/>
    <w:rsid w:val="2C2B7ED9"/>
    <w:rsid w:val="2C9114EC"/>
    <w:rsid w:val="2CDA58AA"/>
    <w:rsid w:val="2D300825"/>
    <w:rsid w:val="2D874EDD"/>
    <w:rsid w:val="2D9E0E9D"/>
    <w:rsid w:val="2EA77B32"/>
    <w:rsid w:val="2F107712"/>
    <w:rsid w:val="2F447837"/>
    <w:rsid w:val="2F752E85"/>
    <w:rsid w:val="2FA96B3D"/>
    <w:rsid w:val="30313232"/>
    <w:rsid w:val="304270A6"/>
    <w:rsid w:val="30514298"/>
    <w:rsid w:val="307A6E68"/>
    <w:rsid w:val="3090408B"/>
    <w:rsid w:val="31184A7B"/>
    <w:rsid w:val="318C0244"/>
    <w:rsid w:val="318E5797"/>
    <w:rsid w:val="31D5220F"/>
    <w:rsid w:val="32155665"/>
    <w:rsid w:val="321C3FF7"/>
    <w:rsid w:val="32363BE0"/>
    <w:rsid w:val="32382656"/>
    <w:rsid w:val="324F1498"/>
    <w:rsid w:val="32B4697B"/>
    <w:rsid w:val="32E37B4C"/>
    <w:rsid w:val="32F65818"/>
    <w:rsid w:val="335D7E9A"/>
    <w:rsid w:val="337D0794"/>
    <w:rsid w:val="33A04957"/>
    <w:rsid w:val="33B72294"/>
    <w:rsid w:val="33D44147"/>
    <w:rsid w:val="345C7860"/>
    <w:rsid w:val="34970980"/>
    <w:rsid w:val="349B511E"/>
    <w:rsid w:val="34C5273B"/>
    <w:rsid w:val="34CF24FB"/>
    <w:rsid w:val="34DB7A08"/>
    <w:rsid w:val="34F30AB6"/>
    <w:rsid w:val="34FF4321"/>
    <w:rsid w:val="351573BC"/>
    <w:rsid w:val="35525772"/>
    <w:rsid w:val="356653D8"/>
    <w:rsid w:val="356C0464"/>
    <w:rsid w:val="35936138"/>
    <w:rsid w:val="35FF0B2E"/>
    <w:rsid w:val="36187D6F"/>
    <w:rsid w:val="36274EBB"/>
    <w:rsid w:val="36910096"/>
    <w:rsid w:val="36C872FA"/>
    <w:rsid w:val="37225683"/>
    <w:rsid w:val="375B2943"/>
    <w:rsid w:val="377D6D5D"/>
    <w:rsid w:val="37CC5893"/>
    <w:rsid w:val="37CE1367"/>
    <w:rsid w:val="37DF30FF"/>
    <w:rsid w:val="3810372D"/>
    <w:rsid w:val="384A11A1"/>
    <w:rsid w:val="38833AFE"/>
    <w:rsid w:val="38FC1806"/>
    <w:rsid w:val="39553AED"/>
    <w:rsid w:val="396961AC"/>
    <w:rsid w:val="39AB4C98"/>
    <w:rsid w:val="39AC1B82"/>
    <w:rsid w:val="39BA4298"/>
    <w:rsid w:val="39BD1693"/>
    <w:rsid w:val="39DC5310"/>
    <w:rsid w:val="3A010045"/>
    <w:rsid w:val="3A8013C4"/>
    <w:rsid w:val="3AB335DE"/>
    <w:rsid w:val="3AE36337"/>
    <w:rsid w:val="3AEA4709"/>
    <w:rsid w:val="3AFE1F63"/>
    <w:rsid w:val="3B333430"/>
    <w:rsid w:val="3B33610C"/>
    <w:rsid w:val="3B3A4FD5"/>
    <w:rsid w:val="3B750F8B"/>
    <w:rsid w:val="3BC602CF"/>
    <w:rsid w:val="3C3E2E4B"/>
    <w:rsid w:val="3CB80047"/>
    <w:rsid w:val="3D102ED4"/>
    <w:rsid w:val="3D181988"/>
    <w:rsid w:val="3E8926E5"/>
    <w:rsid w:val="3E990920"/>
    <w:rsid w:val="3E9C5066"/>
    <w:rsid w:val="3EAF565D"/>
    <w:rsid w:val="3EE651E8"/>
    <w:rsid w:val="3EE8508C"/>
    <w:rsid w:val="3F4C5264"/>
    <w:rsid w:val="3F76656C"/>
    <w:rsid w:val="3FAF0018"/>
    <w:rsid w:val="4027498D"/>
    <w:rsid w:val="40597ACC"/>
    <w:rsid w:val="40707CC2"/>
    <w:rsid w:val="40934C22"/>
    <w:rsid w:val="41065E5A"/>
    <w:rsid w:val="411A40CF"/>
    <w:rsid w:val="41581D3B"/>
    <w:rsid w:val="41AD0100"/>
    <w:rsid w:val="41AE2D55"/>
    <w:rsid w:val="420C31B7"/>
    <w:rsid w:val="421166B1"/>
    <w:rsid w:val="421A58D4"/>
    <w:rsid w:val="426625F7"/>
    <w:rsid w:val="42915CB0"/>
    <w:rsid w:val="42BC4BDD"/>
    <w:rsid w:val="42D36040"/>
    <w:rsid w:val="42FC1DDF"/>
    <w:rsid w:val="430420E0"/>
    <w:rsid w:val="430B60A7"/>
    <w:rsid w:val="4318395D"/>
    <w:rsid w:val="435A32D3"/>
    <w:rsid w:val="435E6F8B"/>
    <w:rsid w:val="43AD49E6"/>
    <w:rsid w:val="43B53A55"/>
    <w:rsid w:val="43FB34E3"/>
    <w:rsid w:val="44371A52"/>
    <w:rsid w:val="44632C0C"/>
    <w:rsid w:val="44862374"/>
    <w:rsid w:val="449C2388"/>
    <w:rsid w:val="44A27907"/>
    <w:rsid w:val="44C6518C"/>
    <w:rsid w:val="453A1FFD"/>
    <w:rsid w:val="45C142B9"/>
    <w:rsid w:val="45D251D8"/>
    <w:rsid w:val="45D43D78"/>
    <w:rsid w:val="46AE0CE1"/>
    <w:rsid w:val="46D1677D"/>
    <w:rsid w:val="47176BCC"/>
    <w:rsid w:val="477F51F1"/>
    <w:rsid w:val="481C1C7A"/>
    <w:rsid w:val="4860600B"/>
    <w:rsid w:val="48D3748B"/>
    <w:rsid w:val="48ED6AC0"/>
    <w:rsid w:val="4903337D"/>
    <w:rsid w:val="4937303A"/>
    <w:rsid w:val="49470F79"/>
    <w:rsid w:val="49624AA9"/>
    <w:rsid w:val="49AF724A"/>
    <w:rsid w:val="49D009FC"/>
    <w:rsid w:val="49FF3A8D"/>
    <w:rsid w:val="4AF54FAE"/>
    <w:rsid w:val="4B0A29A6"/>
    <w:rsid w:val="4B777D1B"/>
    <w:rsid w:val="4BC82402"/>
    <w:rsid w:val="4C041D2D"/>
    <w:rsid w:val="4C3A59AB"/>
    <w:rsid w:val="4C5B7215"/>
    <w:rsid w:val="4C972C2F"/>
    <w:rsid w:val="4CB83E2C"/>
    <w:rsid w:val="4CE644AA"/>
    <w:rsid w:val="4D101E60"/>
    <w:rsid w:val="4D297313"/>
    <w:rsid w:val="4DC74263"/>
    <w:rsid w:val="4E33358C"/>
    <w:rsid w:val="4E392C8F"/>
    <w:rsid w:val="4E487C6D"/>
    <w:rsid w:val="4E5263F6"/>
    <w:rsid w:val="4F0943B9"/>
    <w:rsid w:val="4F16307D"/>
    <w:rsid w:val="4F5410B7"/>
    <w:rsid w:val="4FA07362"/>
    <w:rsid w:val="50195A97"/>
    <w:rsid w:val="502A3DCA"/>
    <w:rsid w:val="502D71CA"/>
    <w:rsid w:val="50360431"/>
    <w:rsid w:val="50401E81"/>
    <w:rsid w:val="50635C1F"/>
    <w:rsid w:val="506765BF"/>
    <w:rsid w:val="5076676F"/>
    <w:rsid w:val="509A317A"/>
    <w:rsid w:val="50B20C93"/>
    <w:rsid w:val="514364CA"/>
    <w:rsid w:val="51494DD6"/>
    <w:rsid w:val="51527FEC"/>
    <w:rsid w:val="515D57DD"/>
    <w:rsid w:val="51615C1A"/>
    <w:rsid w:val="517F72CD"/>
    <w:rsid w:val="522E2CD6"/>
    <w:rsid w:val="52727066"/>
    <w:rsid w:val="527A5F1B"/>
    <w:rsid w:val="531A22E7"/>
    <w:rsid w:val="537E1AF7"/>
    <w:rsid w:val="53832F0B"/>
    <w:rsid w:val="53E555F9"/>
    <w:rsid w:val="54284B61"/>
    <w:rsid w:val="54B75204"/>
    <w:rsid w:val="54CB0CB0"/>
    <w:rsid w:val="54D97E62"/>
    <w:rsid w:val="54EB1352"/>
    <w:rsid w:val="54EF2BF0"/>
    <w:rsid w:val="55200FFC"/>
    <w:rsid w:val="554051FA"/>
    <w:rsid w:val="557C2B86"/>
    <w:rsid w:val="55AD439F"/>
    <w:rsid w:val="55DE61F2"/>
    <w:rsid w:val="56343E9A"/>
    <w:rsid w:val="566118CC"/>
    <w:rsid w:val="56665336"/>
    <w:rsid w:val="567F102E"/>
    <w:rsid w:val="569021B1"/>
    <w:rsid w:val="56CD6F61"/>
    <w:rsid w:val="56D0674C"/>
    <w:rsid w:val="57664CC0"/>
    <w:rsid w:val="577028D8"/>
    <w:rsid w:val="57F4051E"/>
    <w:rsid w:val="581B3CFC"/>
    <w:rsid w:val="584414A5"/>
    <w:rsid w:val="585175C5"/>
    <w:rsid w:val="58680309"/>
    <w:rsid w:val="589E39E1"/>
    <w:rsid w:val="58B84316"/>
    <w:rsid w:val="58E57BB0"/>
    <w:rsid w:val="59002D7E"/>
    <w:rsid w:val="5935645A"/>
    <w:rsid w:val="595474C6"/>
    <w:rsid w:val="59A00552"/>
    <w:rsid w:val="59C4146C"/>
    <w:rsid w:val="59E84AB4"/>
    <w:rsid w:val="59EE5F00"/>
    <w:rsid w:val="59F00DCD"/>
    <w:rsid w:val="5A0C7DA1"/>
    <w:rsid w:val="5A2D257D"/>
    <w:rsid w:val="5A4E286A"/>
    <w:rsid w:val="5A5530DC"/>
    <w:rsid w:val="5B1333EE"/>
    <w:rsid w:val="5B1C0B9A"/>
    <w:rsid w:val="5B3F54BB"/>
    <w:rsid w:val="5B77068B"/>
    <w:rsid w:val="5B92254D"/>
    <w:rsid w:val="5BB6171E"/>
    <w:rsid w:val="5BFD2097"/>
    <w:rsid w:val="5C7A697C"/>
    <w:rsid w:val="5C927586"/>
    <w:rsid w:val="5C936557"/>
    <w:rsid w:val="5C9F6CAA"/>
    <w:rsid w:val="5CBB5B0C"/>
    <w:rsid w:val="5CE84AF5"/>
    <w:rsid w:val="5DA4141B"/>
    <w:rsid w:val="5DA4698F"/>
    <w:rsid w:val="5DCB0785"/>
    <w:rsid w:val="5DCB54F2"/>
    <w:rsid w:val="5DF70D68"/>
    <w:rsid w:val="5E4C10B3"/>
    <w:rsid w:val="5E7D74BF"/>
    <w:rsid w:val="5E9B16F3"/>
    <w:rsid w:val="5ED772C8"/>
    <w:rsid w:val="5F103E8F"/>
    <w:rsid w:val="5F180F96"/>
    <w:rsid w:val="5F2D4656"/>
    <w:rsid w:val="5F3E2C00"/>
    <w:rsid w:val="5F7C7776"/>
    <w:rsid w:val="5F7E031C"/>
    <w:rsid w:val="5F950838"/>
    <w:rsid w:val="5FCD3B2E"/>
    <w:rsid w:val="5FE3356B"/>
    <w:rsid w:val="600523D3"/>
    <w:rsid w:val="6040276C"/>
    <w:rsid w:val="60583D40"/>
    <w:rsid w:val="6094289E"/>
    <w:rsid w:val="60D73B86"/>
    <w:rsid w:val="60EB7F9D"/>
    <w:rsid w:val="613A3445"/>
    <w:rsid w:val="6161257D"/>
    <w:rsid w:val="618A0ACD"/>
    <w:rsid w:val="618B3CD0"/>
    <w:rsid w:val="619F14FA"/>
    <w:rsid w:val="61A35CAA"/>
    <w:rsid w:val="620C23EC"/>
    <w:rsid w:val="6220263B"/>
    <w:rsid w:val="622163B3"/>
    <w:rsid w:val="624D499C"/>
    <w:rsid w:val="62703343"/>
    <w:rsid w:val="62946B85"/>
    <w:rsid w:val="62DB7576"/>
    <w:rsid w:val="635A771C"/>
    <w:rsid w:val="637117AE"/>
    <w:rsid w:val="6379017B"/>
    <w:rsid w:val="639114B0"/>
    <w:rsid w:val="63C02316"/>
    <w:rsid w:val="63EB4ECB"/>
    <w:rsid w:val="643C3DFF"/>
    <w:rsid w:val="64504D2E"/>
    <w:rsid w:val="64AD1CEC"/>
    <w:rsid w:val="64B66E59"/>
    <w:rsid w:val="64F22562"/>
    <w:rsid w:val="65347D08"/>
    <w:rsid w:val="65537802"/>
    <w:rsid w:val="657333CA"/>
    <w:rsid w:val="65A5639C"/>
    <w:rsid w:val="65D42404"/>
    <w:rsid w:val="65F9138F"/>
    <w:rsid w:val="65FF4C5D"/>
    <w:rsid w:val="660051BA"/>
    <w:rsid w:val="66646BEB"/>
    <w:rsid w:val="668C0EA7"/>
    <w:rsid w:val="66C832A1"/>
    <w:rsid w:val="66E56677"/>
    <w:rsid w:val="67670D0C"/>
    <w:rsid w:val="678F1F66"/>
    <w:rsid w:val="67982FB2"/>
    <w:rsid w:val="67E8230A"/>
    <w:rsid w:val="68224AD1"/>
    <w:rsid w:val="68342FB3"/>
    <w:rsid w:val="683747AE"/>
    <w:rsid w:val="689E075E"/>
    <w:rsid w:val="68AF296B"/>
    <w:rsid w:val="68D47729"/>
    <w:rsid w:val="69205616"/>
    <w:rsid w:val="69287617"/>
    <w:rsid w:val="697B0A9F"/>
    <w:rsid w:val="69C5792F"/>
    <w:rsid w:val="69CF3DD6"/>
    <w:rsid w:val="69F00E5C"/>
    <w:rsid w:val="6A372C18"/>
    <w:rsid w:val="6A4F12CD"/>
    <w:rsid w:val="6A5F3F1C"/>
    <w:rsid w:val="6A72034D"/>
    <w:rsid w:val="6B37699B"/>
    <w:rsid w:val="6B417344"/>
    <w:rsid w:val="6B4550C8"/>
    <w:rsid w:val="6B582B0E"/>
    <w:rsid w:val="6B7E6624"/>
    <w:rsid w:val="6B9C06ED"/>
    <w:rsid w:val="6C2C6080"/>
    <w:rsid w:val="6C2E7500"/>
    <w:rsid w:val="6C96681E"/>
    <w:rsid w:val="6CD1741B"/>
    <w:rsid w:val="6D765805"/>
    <w:rsid w:val="6D91687F"/>
    <w:rsid w:val="6D94212F"/>
    <w:rsid w:val="6DC24EEE"/>
    <w:rsid w:val="6E2B159E"/>
    <w:rsid w:val="6E4C6094"/>
    <w:rsid w:val="6E6301AB"/>
    <w:rsid w:val="6E64249D"/>
    <w:rsid w:val="6E7D2BC3"/>
    <w:rsid w:val="6EF015E7"/>
    <w:rsid w:val="6F2324B1"/>
    <w:rsid w:val="6F657A9F"/>
    <w:rsid w:val="6F800BBD"/>
    <w:rsid w:val="6FD5657E"/>
    <w:rsid w:val="6FE32EFA"/>
    <w:rsid w:val="6FF11ABB"/>
    <w:rsid w:val="70383246"/>
    <w:rsid w:val="70811ABD"/>
    <w:rsid w:val="70B22023"/>
    <w:rsid w:val="70BC0958"/>
    <w:rsid w:val="710650F2"/>
    <w:rsid w:val="712627BF"/>
    <w:rsid w:val="71437A22"/>
    <w:rsid w:val="71744751"/>
    <w:rsid w:val="72094198"/>
    <w:rsid w:val="72C2329A"/>
    <w:rsid w:val="72F247EE"/>
    <w:rsid w:val="732B0E40"/>
    <w:rsid w:val="73571FD5"/>
    <w:rsid w:val="736D3206"/>
    <w:rsid w:val="737F2F3A"/>
    <w:rsid w:val="73D8488E"/>
    <w:rsid w:val="73DA3A6B"/>
    <w:rsid w:val="73EE4646"/>
    <w:rsid w:val="74044652"/>
    <w:rsid w:val="74052EA3"/>
    <w:rsid w:val="741A79D0"/>
    <w:rsid w:val="74545870"/>
    <w:rsid w:val="74C23A26"/>
    <w:rsid w:val="74C34C7C"/>
    <w:rsid w:val="7505560A"/>
    <w:rsid w:val="752738BD"/>
    <w:rsid w:val="758646C2"/>
    <w:rsid w:val="75D03F20"/>
    <w:rsid w:val="76127132"/>
    <w:rsid w:val="76DD68F5"/>
    <w:rsid w:val="770248B4"/>
    <w:rsid w:val="771E3A62"/>
    <w:rsid w:val="7746003F"/>
    <w:rsid w:val="774D4AD7"/>
    <w:rsid w:val="7759657C"/>
    <w:rsid w:val="777234E1"/>
    <w:rsid w:val="77A76B00"/>
    <w:rsid w:val="77FC4E60"/>
    <w:rsid w:val="78643617"/>
    <w:rsid w:val="788A03B6"/>
    <w:rsid w:val="789456D9"/>
    <w:rsid w:val="789B0816"/>
    <w:rsid w:val="790939D1"/>
    <w:rsid w:val="792B62DE"/>
    <w:rsid w:val="793628EE"/>
    <w:rsid w:val="794C096C"/>
    <w:rsid w:val="79CD24AA"/>
    <w:rsid w:val="79FC52E4"/>
    <w:rsid w:val="7A0128FA"/>
    <w:rsid w:val="7A263B8E"/>
    <w:rsid w:val="7A301431"/>
    <w:rsid w:val="7AA215C7"/>
    <w:rsid w:val="7AC85E24"/>
    <w:rsid w:val="7B5B202B"/>
    <w:rsid w:val="7BB40E7D"/>
    <w:rsid w:val="7C105077"/>
    <w:rsid w:val="7C1C4D7B"/>
    <w:rsid w:val="7C460A98"/>
    <w:rsid w:val="7C885555"/>
    <w:rsid w:val="7CE05912"/>
    <w:rsid w:val="7D152359"/>
    <w:rsid w:val="7D202E76"/>
    <w:rsid w:val="7D796C4C"/>
    <w:rsid w:val="7D9F4904"/>
    <w:rsid w:val="7E10135E"/>
    <w:rsid w:val="7E2E7CDF"/>
    <w:rsid w:val="7E9A75B5"/>
    <w:rsid w:val="7E9F0EEE"/>
    <w:rsid w:val="7ED00AED"/>
    <w:rsid w:val="7EDC40D5"/>
    <w:rsid w:val="7EE60D98"/>
    <w:rsid w:val="7EFA4C0F"/>
    <w:rsid w:val="7F1D4873"/>
    <w:rsid w:val="7F3472CE"/>
    <w:rsid w:val="7F4321BE"/>
    <w:rsid w:val="7F554D52"/>
    <w:rsid w:val="7F750A95"/>
    <w:rsid w:val="7F8A4E1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0"/>
    <w:pPr>
      <w:keepNext/>
      <w:keepLines/>
      <w:spacing w:before="260" w:after="260" w:line="416" w:lineRule="auto"/>
      <w:outlineLvl w:val="1"/>
    </w:pPr>
    <w:rPr>
      <w:rFonts w:ascii="Cambria" w:hAnsi="Cambria" w:eastAsia="宋体" w:cs="黑体"/>
      <w:b/>
      <w:bCs/>
      <w:sz w:val="32"/>
      <w:szCs w:val="32"/>
    </w:rPr>
  </w:style>
  <w:style w:type="paragraph" w:styleId="5">
    <w:name w:val="heading 3"/>
    <w:basedOn w:val="1"/>
    <w:next w:val="1"/>
    <w:link w:val="32"/>
    <w:unhideWhenUsed/>
    <w:qFormat/>
    <w:uiPriority w:val="0"/>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23">
    <w:name w:val="Normal Table"/>
    <w:unhideWhenUsed/>
    <w:qFormat/>
    <w:uiPriority w:val="99"/>
    <w:tblPr>
      <w:tblStyle w:val="23"/>
      <w:tblLayout w:type="fixed"/>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6">
    <w:name w:val="toc 7"/>
    <w:basedOn w:val="1"/>
    <w:next w:val="1"/>
    <w:unhideWhenUsed/>
    <w:qFormat/>
    <w:uiPriority w:val="39"/>
    <w:pPr>
      <w:ind w:left="2520" w:leftChars="1200"/>
    </w:pPr>
    <w:rPr>
      <w:rFonts w:ascii="Calibri" w:hAnsi="Calibri" w:eastAsia="宋体" w:cs="黑体"/>
      <w:szCs w:val="22"/>
    </w:rPr>
  </w:style>
  <w:style w:type="paragraph" w:styleId="7">
    <w:name w:val="index 8"/>
    <w:basedOn w:val="1"/>
    <w:next w:val="1"/>
    <w:qFormat/>
    <w:uiPriority w:val="0"/>
    <w:pPr>
      <w:autoSpaceDE w:val="0"/>
      <w:autoSpaceDN w:val="0"/>
      <w:ind w:left="1400" w:leftChars="1400"/>
      <w:jc w:val="left"/>
    </w:pPr>
    <w:rPr>
      <w:rFonts w:hint="eastAsia" w:ascii="仿宋_GB2312" w:eastAsia="仿宋_GB2312"/>
      <w:kern w:val="0"/>
      <w:sz w:val="22"/>
      <w:szCs w:val="22"/>
    </w:rPr>
  </w:style>
  <w:style w:type="paragraph" w:styleId="8">
    <w:name w:val="Normal Indent"/>
    <w:basedOn w:val="1"/>
    <w:unhideWhenUsed/>
    <w:qFormat/>
    <w:uiPriority w:val="0"/>
    <w:pPr>
      <w:ind w:firstLine="420" w:firstLineChars="200"/>
    </w:pPr>
  </w:style>
  <w:style w:type="paragraph" w:styleId="9">
    <w:name w:val="toc 5"/>
    <w:basedOn w:val="1"/>
    <w:next w:val="1"/>
    <w:unhideWhenUsed/>
    <w:qFormat/>
    <w:uiPriority w:val="39"/>
    <w:pPr>
      <w:ind w:left="1680" w:leftChars="800"/>
    </w:pPr>
    <w:rPr>
      <w:rFonts w:ascii="Calibri" w:hAnsi="Calibri" w:eastAsia="宋体" w:cs="黑体"/>
      <w:szCs w:val="22"/>
    </w:rPr>
  </w:style>
  <w:style w:type="paragraph" w:styleId="10">
    <w:name w:val="toc 3"/>
    <w:basedOn w:val="1"/>
    <w:next w:val="1"/>
    <w:qFormat/>
    <w:uiPriority w:val="39"/>
    <w:pPr>
      <w:ind w:left="840" w:leftChars="400"/>
    </w:pPr>
  </w:style>
  <w:style w:type="paragraph" w:styleId="11">
    <w:name w:val="toc 8"/>
    <w:basedOn w:val="1"/>
    <w:next w:val="1"/>
    <w:unhideWhenUsed/>
    <w:qFormat/>
    <w:uiPriority w:val="39"/>
    <w:pPr>
      <w:ind w:left="2940" w:leftChars="1400"/>
    </w:pPr>
    <w:rPr>
      <w:rFonts w:ascii="Calibri" w:hAnsi="Calibri" w:eastAsia="宋体" w:cs="黑体"/>
      <w:szCs w:val="22"/>
    </w:r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39"/>
  </w:style>
  <w:style w:type="paragraph" w:styleId="15">
    <w:name w:val="toc 4"/>
    <w:basedOn w:val="1"/>
    <w:next w:val="1"/>
    <w:unhideWhenUsed/>
    <w:qFormat/>
    <w:uiPriority w:val="39"/>
    <w:pPr>
      <w:ind w:left="1260" w:leftChars="600"/>
    </w:pPr>
    <w:rPr>
      <w:rFonts w:ascii="Calibri" w:hAnsi="Calibri" w:eastAsia="宋体" w:cs="黑体"/>
      <w:szCs w:val="22"/>
    </w:rPr>
  </w:style>
  <w:style w:type="paragraph" w:styleId="16">
    <w:name w:val="toc 6"/>
    <w:basedOn w:val="1"/>
    <w:next w:val="1"/>
    <w:unhideWhenUsed/>
    <w:qFormat/>
    <w:uiPriority w:val="39"/>
    <w:pPr>
      <w:ind w:left="2100" w:leftChars="1000"/>
    </w:pPr>
    <w:rPr>
      <w:rFonts w:ascii="Calibri" w:hAnsi="Calibri" w:eastAsia="宋体" w:cs="黑体"/>
      <w:szCs w:val="22"/>
    </w:rPr>
  </w:style>
  <w:style w:type="paragraph" w:styleId="17">
    <w:name w:val="toc 2"/>
    <w:basedOn w:val="1"/>
    <w:next w:val="1"/>
    <w:qFormat/>
    <w:uiPriority w:val="39"/>
    <w:pPr>
      <w:ind w:left="420" w:leftChars="200"/>
    </w:pPr>
  </w:style>
  <w:style w:type="paragraph" w:styleId="18">
    <w:name w:val="toc 9"/>
    <w:basedOn w:val="1"/>
    <w:next w:val="1"/>
    <w:unhideWhenUsed/>
    <w:qFormat/>
    <w:uiPriority w:val="39"/>
    <w:pPr>
      <w:ind w:left="3360" w:leftChars="1600"/>
    </w:pPr>
    <w:rPr>
      <w:rFonts w:ascii="Calibri" w:hAnsi="Calibri" w:eastAsia="宋体" w:cs="黑体"/>
      <w:szCs w:val="22"/>
    </w:rPr>
  </w:style>
  <w:style w:type="paragraph" w:styleId="19">
    <w:name w:val="Normal (Web)"/>
    <w:basedOn w:val="1"/>
    <w:qFormat/>
    <w:uiPriority w:val="99"/>
    <w:pPr>
      <w:spacing w:before="100" w:beforeAutospacing="1" w:after="100" w:afterAutospacing="1"/>
      <w:jc w:val="left"/>
    </w:pPr>
    <w:rPr>
      <w:kern w:val="0"/>
      <w:sz w:val="24"/>
    </w:rPr>
  </w:style>
  <w:style w:type="character" w:styleId="21">
    <w:name w:val="page number"/>
    <w:basedOn w:val="20"/>
    <w:qFormat/>
    <w:uiPriority w:val="0"/>
    <w:rPr/>
  </w:style>
  <w:style w:type="character" w:styleId="22">
    <w:name w:val="Hyperlink"/>
    <w:basedOn w:val="20"/>
    <w:qFormat/>
    <w:uiPriority w:val="99"/>
    <w:rPr>
      <w:color w:val="0000FF"/>
      <w:u w:val="single"/>
    </w:rPr>
  </w:style>
  <w:style w:type="paragraph" w:customStyle="1" w:styleId="24">
    <w:name w:val="正文文本首行缩进 21"/>
    <w:basedOn w:val="25"/>
    <w:qFormat/>
    <w:uiPriority w:val="0"/>
    <w:pPr>
      <w:ind w:firstLine="420" w:firstLineChars="200"/>
    </w:pPr>
  </w:style>
  <w:style w:type="paragraph" w:customStyle="1" w:styleId="25">
    <w:name w:val="正文文本缩进1"/>
    <w:basedOn w:val="1"/>
    <w:qFormat/>
    <w:uiPriority w:val="0"/>
    <w:pPr>
      <w:spacing w:after="120"/>
      <w:ind w:left="420" w:leftChars="200"/>
    </w:p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9">
    <w:name w:val="TOC 标题1"/>
    <w:basedOn w:val="3"/>
    <w:next w:val="1"/>
    <w:unhideWhenUsed/>
    <w:qFormat/>
    <w:uiPriority w:val="39"/>
    <w:pPr>
      <w:widowControl/>
      <w:spacing w:before="240" w:after="0" w:line="259" w:lineRule="auto"/>
      <w:jc w:val="left"/>
      <w:outlineLvl w:val="9"/>
    </w:pPr>
    <w:rPr>
      <w:rFonts w:ascii="Cambria" w:hAnsi="Cambria" w:eastAsia="宋体" w:cs="黑体"/>
      <w:b w:val="0"/>
      <w:bCs w:val="0"/>
      <w:color w:val="365F90"/>
      <w:kern w:val="0"/>
      <w:sz w:val="32"/>
      <w:szCs w:val="32"/>
    </w:rPr>
  </w:style>
  <w:style w:type="character" w:customStyle="1" w:styleId="30">
    <w:name w:val="未处理的提及1"/>
    <w:basedOn w:val="20"/>
    <w:unhideWhenUsed/>
    <w:qFormat/>
    <w:uiPriority w:val="99"/>
    <w:rPr>
      <w:color w:val="605E5C"/>
      <w:shd w:val="clear" w:color="auto" w:fill="E1DFDD"/>
    </w:rPr>
  </w:style>
  <w:style w:type="character" w:customStyle="1" w:styleId="31">
    <w:name w:val="标题 1 字符"/>
    <w:basedOn w:val="20"/>
    <w:link w:val="3"/>
    <w:qFormat/>
    <w:uiPriority w:val="0"/>
    <w:rPr>
      <w:rFonts w:ascii="Calibri" w:hAnsi="Calibri"/>
      <w:b/>
      <w:bCs/>
      <w:kern w:val="44"/>
      <w:sz w:val="44"/>
      <w:szCs w:val="44"/>
    </w:rPr>
  </w:style>
  <w:style w:type="character" w:customStyle="1" w:styleId="32">
    <w:name w:val="标题 3 字符"/>
    <w:basedOn w:val="20"/>
    <w:link w:val="5"/>
    <w:qFormat/>
    <w:uiPriority w:val="0"/>
    <w:rPr>
      <w:rFonts w:ascii="Calibri" w:hAnsi="Calibri"/>
      <w:b/>
      <w:bCs/>
      <w:kern w:val="2"/>
      <w:sz w:val="32"/>
      <w:szCs w:val="32"/>
    </w:rPr>
  </w:style>
  <w:style w:type="character" w:customStyle="1" w:styleId="33">
    <w:name w:val="标题 2 字符"/>
    <w:basedOn w:val="20"/>
    <w:link w:val="4"/>
    <w:semiHidden/>
    <w:qFormat/>
    <w:uiPriority w:val="0"/>
    <w:rPr>
      <w:rFonts w:ascii="Cambria" w:hAnsi="Cambria" w:eastAsia="宋体" w:cs="黑体"/>
      <w:b/>
      <w:bCs/>
      <w:kern w:val="2"/>
      <w:sz w:val="32"/>
      <w:szCs w:val="32"/>
    </w:rPr>
  </w:style>
  <w:style w:type="character" w:customStyle="1" w:styleId="34">
    <w:name w:val="未处理的提及2"/>
    <w:basedOn w:val="20"/>
    <w:unhideWhenUsed/>
    <w:qFormat/>
    <w:uiPriority w:val="99"/>
    <w:rPr>
      <w:color w:val="605E5C"/>
      <w:shd w:val="clear" w:color="auto" w:fill="E1DFDD"/>
    </w:rPr>
  </w:style>
  <w:style w:type="character" w:customStyle="1" w:styleId="35">
    <w:name w:val="未处理的提及3"/>
    <w:basedOn w:val="20"/>
    <w:unhideWhenUsed/>
    <w:qFormat/>
    <w:uiPriority w:val="99"/>
    <w:rPr>
      <w:color w:val="605E5C"/>
      <w:shd w:val="clear" w:color="auto" w:fill="E1DFDD"/>
    </w:rPr>
  </w:style>
  <w:style w:type="character" w:customStyle="1" w:styleId="36">
    <w:name w:val="Unresolved Mention"/>
    <w:basedOn w:val="20"/>
    <w:unhideWhenUsed/>
    <w:qFormat/>
    <w:uiPriority w:val="99"/>
    <w:rPr>
      <w:color w:val="605E5C"/>
      <w:shd w:val="clear" w:color="auto" w:fill="E1DFDD"/>
    </w:rPr>
  </w:style>
  <w:style w:type="table" w:customStyle="1" w:styleId="37">
    <w:name w:val="Table Normal"/>
    <w:unhideWhenUsed/>
    <w:qFormat/>
    <w:uiPriority w:val="0"/>
    <w:tblPr>
      <w:tblStyle w:val="23"/>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13264</Words>
  <Characters>14287</Characters>
  <Lines>126</Lines>
  <Paragraphs>35</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2023-03-11T10:21:00Z</dcterms:created>
  <dc:creator>Administrator</dc:creator>
  <cp:lastModifiedBy>LENOVO</cp:lastModifiedBy>
  <cp:lastPrinted>2023-03-29T01:10:00Z</cp:lastPrinted>
  <dcterms:modified xsi:type="dcterms:W3CDTF">2024-01-12T02:19:47Z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63EBDEEFA6A4405787CE225D4D14CF99</vt:lpwstr>
  </property>
</Properties>
</file>