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仿宋_GB2312" w:eastAsia="仿宋_GB2312" w:cs="仿宋_GB2312"/>
          <w:sz w:val="32"/>
          <w:szCs w:val="32"/>
        </w:rPr>
      </w:pPr>
    </w:p>
    <w:p>
      <w:pPr>
        <w:jc w:val="center"/>
        <w:rPr>
          <w:rFonts w:ascii="仿宋_GB2312" w:hAnsi="仿宋_GB2312" w:eastAsia="仿宋_GB2312" w:cs="仿宋_GB2312"/>
          <w:b/>
          <w:bCs/>
          <w:sz w:val="44"/>
          <w:szCs w:val="44"/>
        </w:rPr>
      </w:pPr>
    </w:p>
    <w:p>
      <w:pPr>
        <w:jc w:val="center"/>
        <w:rPr>
          <w:rFonts w:ascii="仿宋_GB2312" w:hAnsi="仿宋_GB2312" w:eastAsia="仿宋_GB2312" w:cs="仿宋_GB2312"/>
          <w:b/>
          <w:bCs/>
          <w:sz w:val="44"/>
          <w:szCs w:val="44"/>
        </w:rPr>
      </w:pPr>
      <w:r>
        <w:rPr>
          <w:rFonts w:hint="eastAsia" w:ascii="仿宋_GB2312" w:hAnsi="仿宋_GB2312" w:eastAsia="仿宋_GB2312" w:cs="仿宋_GB2312"/>
          <w:b/>
          <w:bCs/>
          <w:sz w:val="44"/>
          <w:szCs w:val="44"/>
        </w:rPr>
        <w:t>乌审旗201</w:t>
      </w:r>
      <w:r>
        <w:rPr>
          <w:rFonts w:hint="eastAsia" w:ascii="仿宋_GB2312" w:hAnsi="仿宋_GB2312" w:eastAsia="仿宋_GB2312" w:cs="仿宋_GB2312"/>
          <w:b/>
          <w:bCs/>
          <w:sz w:val="44"/>
          <w:szCs w:val="44"/>
          <w:lang w:val="en-US" w:eastAsia="zh-CN"/>
        </w:rPr>
        <w:t>9</w:t>
      </w:r>
      <w:r>
        <w:rPr>
          <w:rFonts w:hint="eastAsia" w:ascii="仿宋_GB2312" w:hAnsi="仿宋_GB2312" w:eastAsia="仿宋_GB2312" w:cs="仿宋_GB2312"/>
          <w:b/>
          <w:bCs/>
          <w:sz w:val="44"/>
          <w:szCs w:val="44"/>
        </w:rPr>
        <w:t>年预算绩效管理工作开展情况 说明</w:t>
      </w:r>
    </w:p>
    <w:p>
      <w:pPr>
        <w:keepNext w:val="0"/>
        <w:keepLines w:val="0"/>
        <w:pageBreakBefore w:val="0"/>
        <w:widowControl w:val="0"/>
        <w:kinsoku/>
        <w:wordWrap/>
        <w:overflowPunct/>
        <w:topLinePunct w:val="0"/>
        <w:autoSpaceDE/>
        <w:autoSpaceDN/>
        <w:bidi w:val="0"/>
        <w:adjustRightInd/>
        <w:spacing w:before="0" w:beforeLines="0" w:after="0" w:afterLines="0" w:line="579" w:lineRule="exact"/>
        <w:ind w:left="0" w:leftChars="0" w:right="0" w:rightChars="0" w:firstLine="640" w:firstLineChars="200"/>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pacing w:before="0" w:beforeLines="0" w:after="0" w:afterLines="0" w:line="579"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按照《中共中央国务院关于全面实施预算绩效管理的意见》</w:t>
      </w:r>
      <w:r>
        <w:rPr>
          <w:rFonts w:hint="eastAsia" w:ascii="仿宋" w:hAnsi="仿宋" w:eastAsia="仿宋" w:cs="仿宋"/>
          <w:sz w:val="32"/>
          <w:szCs w:val="32"/>
          <w:lang w:eastAsia="zh-CN"/>
        </w:rPr>
        <w:t>，</w:t>
      </w:r>
      <w:r>
        <w:rPr>
          <w:rFonts w:hint="eastAsia" w:ascii="仿宋" w:hAnsi="仿宋" w:eastAsia="仿宋" w:cs="仿宋"/>
          <w:sz w:val="32"/>
          <w:szCs w:val="32"/>
        </w:rPr>
        <w:t>《关于贯彻落实&lt;中共中央国务院关于全面实施预算绩效管理的意见&gt;的通知》有关要求,我局高度重视,认真组织全旗预算单位开展预算绩效评价工作</w:t>
      </w:r>
      <w:r>
        <w:rPr>
          <w:rFonts w:hint="eastAsia" w:ascii="仿宋" w:hAnsi="仿宋" w:eastAsia="仿宋" w:cs="仿宋"/>
          <w:sz w:val="32"/>
          <w:szCs w:val="32"/>
          <w:lang w:eastAsia="zh-CN"/>
        </w:rPr>
        <w:t>。</w:t>
      </w:r>
      <w:r>
        <w:rPr>
          <w:rFonts w:hint="eastAsia" w:ascii="仿宋" w:hAnsi="仿宋" w:eastAsia="仿宋" w:cs="仿宋"/>
          <w:sz w:val="32"/>
          <w:szCs w:val="32"/>
        </w:rPr>
        <w:t>一是成立专门工作机构,绩效管理工作进一步加强</w:t>
      </w:r>
      <w:r>
        <w:rPr>
          <w:rFonts w:hint="eastAsia" w:ascii="仿宋" w:hAnsi="仿宋" w:eastAsia="仿宋" w:cs="仿宋"/>
          <w:sz w:val="32"/>
          <w:szCs w:val="32"/>
          <w:lang w:eastAsia="zh-CN"/>
        </w:rPr>
        <w:t>。</w:t>
      </w:r>
      <w:r>
        <w:rPr>
          <w:rFonts w:hint="eastAsia" w:ascii="仿宋" w:hAnsi="仿宋" w:eastAsia="仿宋" w:cs="仿宋"/>
          <w:sz w:val="32"/>
          <w:szCs w:val="32"/>
        </w:rPr>
        <w:t>成立了乌审旗财政投资评审中心,核定职级和编制,配备专职工作人员。二是建立健全体制机制,高效落实重点任务。为贯彻落实《实施意见》,针对当前预算绩效管理中的薄弱环节,我局认真调查研究,充分征求意见,印发了《乌审旗财政性资金使用和管理办法》,办法提出了所有财政资金纳入预算绩效管理。将绩效理念和方法深度融入预算编制、执行、决算、监督全过程,构建事前、事中、事后“三位一体”的绩效管理闭环系统,不断提高预算绩效管理的权威性和约束力。三是加强培训,不断提高业务人员绩效管理水平。为提高各部门预算绩效管理的理念意识,我旗组织开展了2期预算绩效评价业务专题学习培训,全旗累计956人参加培训。培训中,各预算单位就绩效管理工作遇到的“瓶颈”和“短板”与培训老师进行面对面交流,通过组织预算单位集中培训,各部门对预算绩效评价工作的理解认识不断提升,为深入开展绩效评价工作奠定了坚实基础。四是扎实开展预算效评价工作,认真组织全旗各预算单位开展中央转移支付预算执行绩效自评和扶贫项目资金绩效自评。全面开展项目支出绩效目标管理工作,要求部门编制预算时,所有项目均编制绩效目标,严格按照“一项目、一评价,一报告”的要求,实现绩效目标管理全覆盖。五是财政扶贫项目支出绩效运行跟踪监控管理工作稳步实施,将财政扶贫资金全部纳入动态监控系统、通过预算绩效监控、及时掌握财政资金使用状况,跟踪查找薄弱环节,有效提高了财</w:t>
      </w:r>
      <w:bookmarkStart w:id="0" w:name="_GoBack"/>
      <w:bookmarkEnd w:id="0"/>
      <w:r>
        <w:rPr>
          <w:rFonts w:hint="eastAsia" w:ascii="仿宋" w:hAnsi="仿宋" w:eastAsia="仿宋" w:cs="仿宋"/>
          <w:sz w:val="32"/>
          <w:szCs w:val="32"/>
        </w:rPr>
        <w:t>政资金管理水平。</w:t>
      </w:r>
    </w:p>
    <w:p>
      <w:pPr>
        <w:keepNext w:val="0"/>
        <w:keepLines w:val="0"/>
        <w:pageBreakBefore w:val="0"/>
        <w:widowControl w:val="0"/>
        <w:kinsoku/>
        <w:wordWrap/>
        <w:overflowPunct/>
        <w:topLinePunct w:val="0"/>
        <w:autoSpaceDE/>
        <w:autoSpaceDN/>
        <w:bidi w:val="0"/>
        <w:adjustRightInd/>
        <w:spacing w:before="0" w:beforeLines="0" w:after="0" w:afterLines="0" w:line="579" w:lineRule="exact"/>
        <w:ind w:left="0" w:leftChars="0" w:right="0" w:rightChars="0" w:firstLine="640" w:firstLineChars="200"/>
        <w:textAlignment w:val="auto"/>
        <w:outlineLvl w:val="9"/>
        <w:rPr>
          <w:rFonts w:hint="eastAsia" w:ascii="仿宋" w:hAnsi="仿宋" w:eastAsia="仿宋" w:cs="仿宋"/>
          <w:sz w:val="32"/>
          <w:szCs w:val="32"/>
        </w:rPr>
      </w:pP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documentProtection w:enforcement="0"/>
  <w:defaultTabStop w:val="5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A9D"/>
    <w:rsid w:val="00282A9D"/>
    <w:rsid w:val="003F4BEF"/>
    <w:rsid w:val="00D4232A"/>
    <w:rsid w:val="00EE490C"/>
    <w:rsid w:val="068C7EEE"/>
    <w:rsid w:val="0CCF0565"/>
    <w:rsid w:val="2E785ADC"/>
    <w:rsid w:val="388720F9"/>
    <w:rsid w:val="40890258"/>
    <w:rsid w:val="5BD4130D"/>
    <w:rsid w:val="5F095462"/>
    <w:rsid w:val="636E614A"/>
    <w:rsid w:val="6CA546E7"/>
    <w:rsid w:val="73113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nhideWhenUsed="0" w:uiPriority="99" w:semiHidden="0" w:name="Table Professional"/>
    <w:lsdException w:uiPriority="99" w:name="Table Subtle 1"/>
    <w:lsdException w:uiPriority="99" w:name="Table Subtle 2"/>
    <w:lsdException w:unhideWhenUsed="0" w:uiPriority="99" w:semiHidden="0" w:name="Table Web 1"/>
    <w:lsdException w:unhideWhenUsed="0" w:uiPriority="99" w:semiHidden="0"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Words>
  <Characters>47</Characters>
  <Lines>1</Lines>
  <Paragraphs>1</Paragraphs>
  <TotalTime>14</TotalTime>
  <ScaleCrop>false</ScaleCrop>
  <LinksUpToDate>false</LinksUpToDate>
  <CharactersWithSpaces>54</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2019-02-18T00:53:00Z</dcterms:created>
  <dc:creator>BK</dc:creator>
  <cp:lastModifiedBy>ᠲᠤᠶᠠᠭ᠎ᠠ</cp:lastModifiedBy>
  <dcterms:modified xsi:type="dcterms:W3CDTF">2020-09-02T08:22:02Z</dcterms:modified>
  <dc:title>东胜区2017年预算绩效管理工作开展情况 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