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4238A">
      <w:pPr>
        <w:pStyle w:val="20"/>
        <w:keepNext w:val="0"/>
        <w:keepLines w:val="0"/>
        <w:widowControl/>
        <w:suppressLineNumbers w:val="0"/>
        <w:rPr>
          <w:color w:val="auto"/>
          <w:highlight w:val="none"/>
        </w:rPr>
      </w:pPr>
      <w:r>
        <w:rPr>
          <w:color w:val="auto"/>
          <w:highlight w:val="none"/>
        </w:rPr>
        <w:drawing>
          <wp:inline distT="0" distB="0" distL="114300" distR="114300">
            <wp:extent cx="6096635" cy="8627745"/>
            <wp:effectExtent l="0" t="0" r="18415" b="1905"/>
            <wp:docPr id="57" name="图片 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6" descr="IMG_256"/>
                    <pic:cNvPicPr>
                      <a:picLocks noChangeAspect="1"/>
                    </pic:cNvPicPr>
                  </pic:nvPicPr>
                  <pic:blipFill>
                    <a:blip r:embed="rId10"/>
                    <a:stretch>
                      <a:fillRect/>
                    </a:stretch>
                  </pic:blipFill>
                  <pic:spPr>
                    <a:xfrm>
                      <a:off x="0" y="0"/>
                      <a:ext cx="6096635" cy="8627745"/>
                    </a:xfrm>
                    <a:prstGeom prst="rect">
                      <a:avLst/>
                    </a:prstGeom>
                    <a:noFill/>
                    <a:ln>
                      <a:noFill/>
                    </a:ln>
                  </pic:spPr>
                </pic:pic>
              </a:graphicData>
            </a:graphic>
          </wp:inline>
        </w:drawing>
      </w:r>
    </w:p>
    <w:p w14:paraId="27ADE9A8">
      <w:pPr>
        <w:pStyle w:val="20"/>
        <w:keepNext w:val="0"/>
        <w:keepLines w:val="0"/>
        <w:widowControl/>
        <w:suppressLineNumbers w:val="0"/>
        <w:rPr>
          <w:color w:val="auto"/>
          <w:highlight w:val="none"/>
        </w:rPr>
      </w:pPr>
    </w:p>
    <w:p w14:paraId="079398B4">
      <w:pPr>
        <w:adjustRightInd w:val="0"/>
        <w:snapToGrid w:val="0"/>
        <w:spacing w:line="288" w:lineRule="auto"/>
        <w:ind w:firstLine="1040"/>
        <w:rPr>
          <w:rFonts w:ascii="仿宋_GB2312" w:eastAsia="仿宋_GB2312"/>
          <w:color w:val="auto"/>
          <w:sz w:val="36"/>
          <w:szCs w:val="36"/>
          <w:highlight w:val="none"/>
        </w:rPr>
        <w:sectPr>
          <w:footerReference r:id="rId3" w:type="default"/>
          <w:pgSz w:w="11906" w:h="16838"/>
          <w:pgMar w:top="1134" w:right="1134" w:bottom="1134" w:left="1134" w:header="851" w:footer="1077" w:gutter="0"/>
          <w:pgBorders>
            <w:top w:val="none" w:sz="0" w:space="0"/>
            <w:left w:val="none" w:sz="0" w:space="0"/>
            <w:bottom w:val="none" w:sz="0" w:space="0"/>
            <w:right w:val="none" w:sz="0" w:space="0"/>
          </w:pgBorders>
          <w:pgNumType w:start="21"/>
          <w:cols w:space="720" w:num="1"/>
          <w:rtlGutter w:val="0"/>
          <w:docGrid w:linePitch="312" w:charSpace="0"/>
        </w:sectPr>
      </w:pPr>
    </w:p>
    <w:p w14:paraId="7DB020CA">
      <w:pPr>
        <w:pStyle w:val="20"/>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一、建设项目基本情况</w:t>
      </w:r>
    </w:p>
    <w:tbl>
      <w:tblPr>
        <w:tblStyle w:val="24"/>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024"/>
        <w:gridCol w:w="2245"/>
        <w:gridCol w:w="2218"/>
        <w:gridCol w:w="10"/>
        <w:gridCol w:w="2542"/>
      </w:tblGrid>
      <w:tr w14:paraId="791651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024" w:type="dxa"/>
            <w:noWrap w:val="0"/>
            <w:tcMar>
              <w:top w:w="16" w:type="dxa"/>
              <w:left w:w="16" w:type="dxa"/>
              <w:right w:w="16" w:type="dxa"/>
            </w:tcMar>
            <w:vAlign w:val="center"/>
          </w:tcPr>
          <w:p w14:paraId="6DBF8D0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建设项目名称</w:t>
            </w:r>
          </w:p>
        </w:tc>
        <w:tc>
          <w:tcPr>
            <w:tcW w:w="7015" w:type="dxa"/>
            <w:gridSpan w:val="4"/>
            <w:noWrap w:val="0"/>
            <w:vAlign w:val="center"/>
          </w:tcPr>
          <w:p w14:paraId="7B3C8896">
            <w:pPr>
              <w:adjustRightInd w:val="0"/>
              <w:snapToGrid w:val="0"/>
              <w:jc w:val="center"/>
              <w:rPr>
                <w:rFonts w:ascii="宋体" w:hAnsi="宋体" w:cs="宋体"/>
                <w:color w:val="auto"/>
                <w:szCs w:val="21"/>
                <w:highlight w:val="none"/>
              </w:rPr>
            </w:pPr>
            <w:r>
              <w:rPr>
                <w:rFonts w:hint="default" w:ascii="Times New Roman" w:hAnsi="Times New Roman" w:eastAsia="宋体" w:cs="Times New Roman"/>
                <w:color w:val="auto"/>
                <w:kern w:val="21"/>
                <w:sz w:val="21"/>
                <w:szCs w:val="21"/>
                <w:highlight w:val="none"/>
                <w:u w:val="none"/>
                <w:lang w:val="en-US" w:eastAsia="zh-CN"/>
              </w:rPr>
              <w:t>鄂尔多斯现代煤化工创新技术中试基地基础设施建设项目</w:t>
            </w:r>
          </w:p>
        </w:tc>
      </w:tr>
      <w:tr w14:paraId="4BBDB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024" w:type="dxa"/>
            <w:noWrap w:val="0"/>
            <w:tcMar>
              <w:top w:w="16" w:type="dxa"/>
              <w:left w:w="16" w:type="dxa"/>
              <w:right w:w="16" w:type="dxa"/>
            </w:tcMar>
            <w:vAlign w:val="center"/>
          </w:tcPr>
          <w:p w14:paraId="64D41F81">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项目代码</w:t>
            </w:r>
          </w:p>
        </w:tc>
        <w:tc>
          <w:tcPr>
            <w:tcW w:w="7015" w:type="dxa"/>
            <w:gridSpan w:val="4"/>
            <w:noWrap w:val="0"/>
            <w:vAlign w:val="center"/>
          </w:tcPr>
          <w:p w14:paraId="0668E078">
            <w:pPr>
              <w:adjustRightInd w:val="0"/>
              <w:snapToGrid w:val="0"/>
              <w:jc w:val="center"/>
              <w:rPr>
                <w:rFonts w:hint="eastAsia" w:ascii="宋体" w:hAnsi="宋体" w:eastAsia="宋体" w:cs="宋体"/>
                <w:color w:val="auto"/>
                <w:szCs w:val="21"/>
                <w:highlight w:val="none"/>
                <w:lang w:val="en-US" w:eastAsia="zh-CN"/>
              </w:rPr>
            </w:pPr>
            <w:r>
              <w:rPr>
                <w:rFonts w:hint="eastAsia" w:eastAsia="宋体"/>
                <w:color w:val="auto"/>
                <w:kern w:val="21"/>
                <w:szCs w:val="21"/>
                <w:highlight w:val="none"/>
                <w:lang w:val="en-US" w:eastAsia="zh-CN"/>
              </w:rPr>
              <w:t>/</w:t>
            </w:r>
          </w:p>
        </w:tc>
      </w:tr>
      <w:tr w14:paraId="13ADF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024" w:type="dxa"/>
            <w:noWrap w:val="0"/>
            <w:tcMar>
              <w:top w:w="16" w:type="dxa"/>
              <w:left w:w="16" w:type="dxa"/>
              <w:right w:w="16" w:type="dxa"/>
            </w:tcMar>
            <w:vAlign w:val="center"/>
          </w:tcPr>
          <w:p w14:paraId="17231659">
            <w:pPr>
              <w:adjustRightInd w:val="0"/>
              <w:snapToGrid w:val="0"/>
              <w:jc w:val="center"/>
              <w:rPr>
                <w:rFonts w:ascii="宋体" w:hAnsi="宋体" w:cs="宋体"/>
                <w:color w:val="auto"/>
                <w:szCs w:val="21"/>
                <w:highlight w:val="none"/>
              </w:rPr>
            </w:pPr>
            <w:r>
              <w:rPr>
                <w:color w:val="auto"/>
                <w:kern w:val="21"/>
                <w:szCs w:val="21"/>
                <w:highlight w:val="none"/>
              </w:rPr>
              <w:t>建设单位联系人</w:t>
            </w:r>
          </w:p>
        </w:tc>
        <w:tc>
          <w:tcPr>
            <w:tcW w:w="2245" w:type="dxa"/>
            <w:noWrap w:val="0"/>
            <w:vAlign w:val="center"/>
          </w:tcPr>
          <w:p w14:paraId="546FF298">
            <w:pPr>
              <w:adjustRightInd w:val="0"/>
              <w:snapToGrid w:val="0"/>
              <w:jc w:val="center"/>
              <w:rPr>
                <w:rFonts w:ascii="宋体" w:hAnsi="宋体" w:cs="宋体"/>
                <w:color w:val="auto"/>
                <w:szCs w:val="21"/>
                <w:highlight w:val="none"/>
              </w:rPr>
            </w:pPr>
            <w:r>
              <w:rPr>
                <w:rFonts w:hint="default" w:eastAsia="宋体"/>
                <w:color w:val="auto"/>
                <w:kern w:val="21"/>
                <w:szCs w:val="21"/>
                <w:highlight w:val="none"/>
                <w:lang w:val="en-US" w:eastAsia="zh-CN"/>
              </w:rPr>
              <w:t>訾</w:t>
            </w:r>
            <w:r>
              <w:rPr>
                <w:rFonts w:hint="eastAsia" w:eastAsia="宋体"/>
                <w:color w:val="auto"/>
                <w:kern w:val="21"/>
                <w:szCs w:val="21"/>
                <w:highlight w:val="none"/>
                <w:lang w:val="en-US" w:eastAsia="zh-CN"/>
              </w:rPr>
              <w:t>雪</w:t>
            </w:r>
            <w:r>
              <w:rPr>
                <w:rFonts w:hint="default" w:eastAsia="宋体"/>
                <w:color w:val="auto"/>
                <w:kern w:val="21"/>
                <w:szCs w:val="21"/>
                <w:highlight w:val="none"/>
                <w:lang w:val="en-US" w:eastAsia="zh-CN"/>
              </w:rPr>
              <w:t>峰</w:t>
            </w:r>
          </w:p>
        </w:tc>
        <w:tc>
          <w:tcPr>
            <w:tcW w:w="2228" w:type="dxa"/>
            <w:gridSpan w:val="2"/>
            <w:noWrap w:val="0"/>
            <w:vAlign w:val="center"/>
          </w:tcPr>
          <w:p w14:paraId="2F2485B1">
            <w:pPr>
              <w:adjustRightInd w:val="0"/>
              <w:snapToGrid w:val="0"/>
              <w:jc w:val="center"/>
              <w:rPr>
                <w:rFonts w:ascii="宋体" w:hAnsi="宋体" w:cs="宋体"/>
                <w:color w:val="auto"/>
                <w:szCs w:val="21"/>
                <w:highlight w:val="none"/>
              </w:rPr>
            </w:pPr>
            <w:r>
              <w:rPr>
                <w:color w:val="auto"/>
                <w:kern w:val="21"/>
                <w:szCs w:val="21"/>
                <w:highlight w:val="none"/>
              </w:rPr>
              <w:t>联系方式</w:t>
            </w:r>
          </w:p>
        </w:tc>
        <w:tc>
          <w:tcPr>
            <w:tcW w:w="2542" w:type="dxa"/>
            <w:noWrap w:val="0"/>
            <w:vAlign w:val="center"/>
          </w:tcPr>
          <w:p w14:paraId="57893D85">
            <w:pPr>
              <w:adjustRightInd w:val="0"/>
              <w:snapToGrid w:val="0"/>
              <w:jc w:val="center"/>
              <w:rPr>
                <w:rFonts w:ascii="宋体" w:hAnsi="宋体" w:cs="宋体"/>
                <w:color w:val="auto"/>
                <w:szCs w:val="21"/>
                <w:highlight w:val="none"/>
              </w:rPr>
            </w:pPr>
            <w:r>
              <w:rPr>
                <w:rFonts w:hint="default" w:eastAsia="宋体"/>
                <w:color w:val="auto"/>
                <w:kern w:val="21"/>
                <w:szCs w:val="21"/>
                <w:highlight w:val="none"/>
                <w:lang w:val="en-US" w:eastAsia="zh-CN"/>
              </w:rPr>
              <w:t>18147715777</w:t>
            </w:r>
          </w:p>
        </w:tc>
      </w:tr>
      <w:tr w14:paraId="6433A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trPr>
        <w:tc>
          <w:tcPr>
            <w:tcW w:w="2024" w:type="dxa"/>
            <w:noWrap w:val="0"/>
            <w:tcMar>
              <w:top w:w="16" w:type="dxa"/>
              <w:left w:w="16" w:type="dxa"/>
              <w:right w:w="16" w:type="dxa"/>
            </w:tcMar>
            <w:vAlign w:val="center"/>
          </w:tcPr>
          <w:p w14:paraId="4741215A">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建设地点</w:t>
            </w:r>
          </w:p>
        </w:tc>
        <w:tc>
          <w:tcPr>
            <w:tcW w:w="7015" w:type="dxa"/>
            <w:gridSpan w:val="4"/>
            <w:noWrap w:val="0"/>
            <w:vAlign w:val="center"/>
          </w:tcPr>
          <w:p w14:paraId="75EC97B8">
            <w:pPr>
              <w:adjustRightInd w:val="0"/>
              <w:snapToGrid w:val="0"/>
              <w:jc w:val="center"/>
              <w:rPr>
                <w:rFonts w:ascii="宋体" w:hAnsi="宋体" w:cs="宋体"/>
                <w:color w:val="auto"/>
                <w:szCs w:val="21"/>
                <w:highlight w:val="none"/>
              </w:rPr>
            </w:pPr>
            <w:r>
              <w:rPr>
                <w:rFonts w:hint="eastAsia"/>
                <w:color w:val="auto"/>
                <w:kern w:val="21"/>
                <w:szCs w:val="21"/>
                <w:highlight w:val="none"/>
                <w:lang w:val="en-US" w:eastAsia="zh-CN"/>
              </w:rPr>
              <w:t>内蒙古自治区鄂尔多斯市乌审旗苏里格经济开发区图克工业项目区</w:t>
            </w:r>
          </w:p>
        </w:tc>
      </w:tr>
      <w:tr w14:paraId="0D65A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024" w:type="dxa"/>
            <w:noWrap w:val="0"/>
            <w:tcMar>
              <w:top w:w="16" w:type="dxa"/>
              <w:left w:w="16" w:type="dxa"/>
              <w:right w:w="16" w:type="dxa"/>
            </w:tcMar>
            <w:vAlign w:val="center"/>
          </w:tcPr>
          <w:p w14:paraId="5872173D">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地理坐标</w:t>
            </w:r>
          </w:p>
        </w:tc>
        <w:tc>
          <w:tcPr>
            <w:tcW w:w="7015" w:type="dxa"/>
            <w:gridSpan w:val="4"/>
            <w:noWrap w:val="0"/>
            <w:vAlign w:val="center"/>
          </w:tcPr>
          <w:p w14:paraId="4E5E3B0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eastAsia" w:ascii="Times New Roman" w:hAnsi="Times New Roman" w:cs="Times New Roman"/>
                <w:color w:val="auto"/>
                <w:szCs w:val="21"/>
                <w:highlight w:val="none"/>
                <w:u w:val="none"/>
                <w:lang w:eastAsia="zh-CN"/>
              </w:rPr>
            </w:pPr>
            <w:r>
              <w:rPr>
                <w:rFonts w:hint="eastAsia"/>
                <w:color w:val="auto"/>
                <w:kern w:val="21"/>
                <w:szCs w:val="21"/>
                <w:highlight w:val="none"/>
                <w:u w:val="none"/>
                <w:lang w:val="en-US" w:eastAsia="zh-CN"/>
              </w:rPr>
              <w:t>中试基地厂址中心坐标为（</w:t>
            </w:r>
            <w:r>
              <w:rPr>
                <w:rFonts w:hint="eastAsia" w:ascii="Times New Roman" w:hAnsi="Times New Roman" w:cs="Times New Roman"/>
                <w:color w:val="auto"/>
                <w:szCs w:val="21"/>
                <w:highlight w:val="none"/>
                <w:u w:val="none"/>
                <w:lang w:val="en-US" w:eastAsia="zh-CN"/>
              </w:rPr>
              <w:t>东经</w:t>
            </w:r>
            <w:r>
              <w:rPr>
                <w:rFonts w:hint="default" w:ascii="Times New Roman" w:hAnsi="Times New Roman" w:cs="Times New Roman"/>
                <w:color w:val="auto"/>
                <w:szCs w:val="21"/>
                <w:highlight w:val="none"/>
                <w:u w:val="none"/>
              </w:rPr>
              <w:t>1</w:t>
            </w:r>
            <w:r>
              <w:rPr>
                <w:rFonts w:hint="default" w:ascii="Times New Roman" w:hAnsi="Times New Roman" w:cs="Times New Roman"/>
                <w:color w:val="auto"/>
                <w:szCs w:val="21"/>
                <w:highlight w:val="none"/>
                <w:u w:val="none"/>
                <w:lang w:val="en-US" w:eastAsia="zh-CN"/>
              </w:rPr>
              <w:t>09</w:t>
            </w:r>
            <w:r>
              <w:rPr>
                <w:rFonts w:hint="default" w:ascii="Times New Roman" w:hAnsi="Times New Roman" w:cs="Times New Roman"/>
                <w:color w:val="auto"/>
                <w:szCs w:val="21"/>
                <w:highlight w:val="none"/>
                <w:u w:val="none"/>
              </w:rPr>
              <w:t>度</w:t>
            </w:r>
            <w:r>
              <w:rPr>
                <w:rFonts w:hint="default" w:ascii="Times New Roman" w:hAnsi="Times New Roman" w:cs="Times New Roman"/>
                <w:color w:val="auto"/>
                <w:szCs w:val="21"/>
                <w:highlight w:val="none"/>
                <w:u w:val="none"/>
                <w:lang w:val="en-US" w:eastAsia="zh-CN"/>
              </w:rPr>
              <w:t>2</w:t>
            </w:r>
            <w:r>
              <w:rPr>
                <w:rFonts w:hint="eastAsia"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57.654</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北纬</w:t>
            </w:r>
            <w:r>
              <w:rPr>
                <w:rFonts w:hint="default" w:ascii="Times New Roman" w:hAnsi="Times New Roman" w:cs="Times New Roman"/>
                <w:color w:val="auto"/>
                <w:szCs w:val="21"/>
                <w:highlight w:val="none"/>
                <w:u w:val="none"/>
              </w:rPr>
              <w:t>3</w:t>
            </w:r>
            <w:r>
              <w:rPr>
                <w:rFonts w:hint="default"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度</w:t>
            </w:r>
            <w:r>
              <w:rPr>
                <w:rFonts w:hint="eastAsia" w:ascii="Times New Roman" w:hAnsi="Times New Roman" w:cs="Times New Roman"/>
                <w:color w:val="auto"/>
                <w:szCs w:val="21"/>
                <w:highlight w:val="none"/>
                <w:u w:val="none"/>
                <w:lang w:val="en-US" w:eastAsia="zh-CN"/>
              </w:rPr>
              <w:t>5</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9.793</w:t>
            </w:r>
            <w:r>
              <w:rPr>
                <w:rFonts w:hint="default" w:ascii="Times New Roman" w:hAnsi="Times New Roman" w:cs="Times New Roman"/>
                <w:color w:val="auto"/>
                <w:szCs w:val="21"/>
                <w:highlight w:val="none"/>
                <w:u w:val="none"/>
              </w:rPr>
              <w:t>秒</w:t>
            </w:r>
            <w:r>
              <w:rPr>
                <w:rFonts w:hint="eastAsia"/>
                <w:color w:val="auto"/>
                <w:kern w:val="21"/>
                <w:szCs w:val="21"/>
                <w:highlight w:val="none"/>
                <w:u w:val="none"/>
                <w:lang w:val="en-US" w:eastAsia="zh-CN"/>
              </w:rPr>
              <w:t>）</w:t>
            </w:r>
            <w:r>
              <w:rPr>
                <w:rFonts w:hint="eastAsia" w:ascii="Times New Roman" w:hAnsi="Times New Roman" w:cs="Times New Roman"/>
                <w:color w:val="auto"/>
                <w:szCs w:val="21"/>
                <w:highlight w:val="none"/>
                <w:u w:val="none"/>
                <w:lang w:eastAsia="zh-CN"/>
              </w:rPr>
              <w:t>。</w:t>
            </w:r>
          </w:p>
          <w:p w14:paraId="314BED97">
            <w:pPr>
              <w:adjustRightInd w:val="0"/>
              <w:snapToGrid w:val="0"/>
              <w:ind w:firstLine="420" w:firstLineChars="200"/>
              <w:jc w:val="both"/>
              <w:rPr>
                <w:rFonts w:ascii="宋体" w:hAnsi="宋体" w:cs="宋体"/>
                <w:color w:val="auto"/>
                <w:szCs w:val="21"/>
                <w:highlight w:val="none"/>
              </w:rPr>
            </w:pPr>
            <w:r>
              <w:rPr>
                <w:rFonts w:hint="eastAsia" w:ascii="Times New Roman" w:hAnsi="Times New Roman" w:cs="Times New Roman"/>
                <w:color w:val="auto"/>
                <w:szCs w:val="21"/>
                <w:highlight w:val="none"/>
                <w:u w:val="none"/>
                <w:lang w:val="en-US" w:eastAsia="zh-CN"/>
              </w:rPr>
              <w:t>配套外部管廊工程全长215.5m，起点为中煤鄂尔多斯能源化工有限公司，坐标为（东经</w:t>
            </w:r>
            <w:r>
              <w:rPr>
                <w:rFonts w:hint="default" w:ascii="Times New Roman" w:hAnsi="Times New Roman" w:cs="Times New Roman"/>
                <w:color w:val="auto"/>
                <w:szCs w:val="21"/>
                <w:highlight w:val="none"/>
                <w:u w:val="none"/>
              </w:rPr>
              <w:t>1</w:t>
            </w:r>
            <w:r>
              <w:rPr>
                <w:rFonts w:hint="default" w:ascii="Times New Roman" w:hAnsi="Times New Roman" w:cs="Times New Roman"/>
                <w:color w:val="auto"/>
                <w:szCs w:val="21"/>
                <w:highlight w:val="none"/>
                <w:u w:val="none"/>
                <w:lang w:val="en-US" w:eastAsia="zh-CN"/>
              </w:rPr>
              <w:t>09</w:t>
            </w:r>
            <w:r>
              <w:rPr>
                <w:rFonts w:hint="default" w:ascii="Times New Roman" w:hAnsi="Times New Roman" w:cs="Times New Roman"/>
                <w:color w:val="auto"/>
                <w:szCs w:val="21"/>
                <w:highlight w:val="none"/>
                <w:u w:val="none"/>
              </w:rPr>
              <w:t>度</w:t>
            </w:r>
            <w:r>
              <w:rPr>
                <w:rFonts w:hint="default" w:ascii="Times New Roman" w:hAnsi="Times New Roman" w:cs="Times New Roman"/>
                <w:color w:val="auto"/>
                <w:szCs w:val="21"/>
                <w:highlight w:val="none"/>
                <w:u w:val="none"/>
                <w:lang w:val="en-US" w:eastAsia="zh-CN"/>
              </w:rPr>
              <w:t>2</w:t>
            </w:r>
            <w:r>
              <w:rPr>
                <w:rFonts w:hint="eastAsia"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38.683</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北纬</w:t>
            </w:r>
            <w:r>
              <w:rPr>
                <w:rFonts w:hint="default" w:ascii="Times New Roman" w:hAnsi="Times New Roman" w:cs="Times New Roman"/>
                <w:color w:val="auto"/>
                <w:szCs w:val="21"/>
                <w:highlight w:val="none"/>
                <w:u w:val="none"/>
              </w:rPr>
              <w:t>3</w:t>
            </w:r>
            <w:r>
              <w:rPr>
                <w:rFonts w:hint="default"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度</w:t>
            </w:r>
            <w:r>
              <w:rPr>
                <w:rFonts w:hint="eastAsia" w:ascii="Times New Roman" w:hAnsi="Times New Roman" w:cs="Times New Roman"/>
                <w:color w:val="auto"/>
                <w:szCs w:val="21"/>
                <w:highlight w:val="none"/>
                <w:u w:val="none"/>
                <w:lang w:val="en-US" w:eastAsia="zh-CN"/>
              </w:rPr>
              <w:t>5</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9.632</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），终点为本项目厂界西侧管廊对接点，坐标为（东经</w:t>
            </w:r>
            <w:r>
              <w:rPr>
                <w:rFonts w:hint="default" w:ascii="Times New Roman" w:hAnsi="Times New Roman" w:cs="Times New Roman"/>
                <w:color w:val="auto"/>
                <w:szCs w:val="21"/>
                <w:highlight w:val="none"/>
                <w:u w:val="none"/>
              </w:rPr>
              <w:t>1</w:t>
            </w:r>
            <w:r>
              <w:rPr>
                <w:rFonts w:hint="default" w:ascii="Times New Roman" w:hAnsi="Times New Roman" w:cs="Times New Roman"/>
                <w:color w:val="auto"/>
                <w:szCs w:val="21"/>
                <w:highlight w:val="none"/>
                <w:u w:val="none"/>
                <w:lang w:val="en-US" w:eastAsia="zh-CN"/>
              </w:rPr>
              <w:t>09</w:t>
            </w:r>
            <w:r>
              <w:rPr>
                <w:rFonts w:hint="default" w:ascii="Times New Roman" w:hAnsi="Times New Roman" w:cs="Times New Roman"/>
                <w:color w:val="auto"/>
                <w:szCs w:val="21"/>
                <w:highlight w:val="none"/>
                <w:u w:val="none"/>
              </w:rPr>
              <w:t>度</w:t>
            </w:r>
            <w:r>
              <w:rPr>
                <w:rFonts w:hint="default" w:ascii="Times New Roman" w:hAnsi="Times New Roman" w:cs="Times New Roman"/>
                <w:color w:val="auto"/>
                <w:szCs w:val="21"/>
                <w:highlight w:val="none"/>
                <w:u w:val="none"/>
                <w:lang w:val="en-US" w:eastAsia="zh-CN"/>
              </w:rPr>
              <w:t>2</w:t>
            </w:r>
            <w:r>
              <w:rPr>
                <w:rFonts w:hint="eastAsia"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47.943</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北纬</w:t>
            </w:r>
            <w:r>
              <w:rPr>
                <w:rFonts w:hint="default" w:ascii="Times New Roman" w:hAnsi="Times New Roman" w:cs="Times New Roman"/>
                <w:color w:val="auto"/>
                <w:szCs w:val="21"/>
                <w:highlight w:val="none"/>
                <w:u w:val="none"/>
              </w:rPr>
              <w:t>3</w:t>
            </w:r>
            <w:r>
              <w:rPr>
                <w:rFonts w:hint="default"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度</w:t>
            </w:r>
            <w:r>
              <w:rPr>
                <w:rFonts w:hint="eastAsia" w:ascii="Times New Roman" w:hAnsi="Times New Roman" w:cs="Times New Roman"/>
                <w:color w:val="auto"/>
                <w:szCs w:val="21"/>
                <w:highlight w:val="none"/>
                <w:u w:val="none"/>
                <w:lang w:val="en-US" w:eastAsia="zh-CN"/>
              </w:rPr>
              <w:t>5</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9.819</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w:t>
            </w:r>
          </w:p>
        </w:tc>
      </w:tr>
      <w:tr w14:paraId="16992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2024" w:type="dxa"/>
            <w:noWrap w:val="0"/>
            <w:tcMar>
              <w:top w:w="16" w:type="dxa"/>
              <w:left w:w="16" w:type="dxa"/>
              <w:right w:w="16" w:type="dxa"/>
            </w:tcMar>
            <w:vAlign w:val="center"/>
          </w:tcPr>
          <w:p w14:paraId="21DB1751">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建设项目</w:t>
            </w:r>
          </w:p>
          <w:p w14:paraId="15D1D7F6">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行业类别</w:t>
            </w:r>
          </w:p>
        </w:tc>
        <w:tc>
          <w:tcPr>
            <w:tcW w:w="2245" w:type="dxa"/>
            <w:noWrap w:val="0"/>
            <w:vAlign w:val="center"/>
          </w:tcPr>
          <w:p w14:paraId="047BE992">
            <w:pPr>
              <w:adjustRightInd w:val="0"/>
              <w:snapToGrid w:val="0"/>
              <w:jc w:val="center"/>
              <w:rPr>
                <w:rFonts w:hint="default" w:ascii="宋体" w:hAnsi="宋体" w:eastAsia="宋体" w:cs="宋体"/>
                <w:color w:val="auto"/>
                <w:szCs w:val="21"/>
                <w:highlight w:val="none"/>
                <w:lang w:val="en-US" w:eastAsia="zh-CN"/>
              </w:rPr>
            </w:pPr>
            <w:r>
              <w:rPr>
                <w:rFonts w:hint="eastAsia" w:ascii="Times New Roman" w:hAnsi="Times New Roman" w:cs="Times New Roman"/>
                <w:color w:val="auto"/>
                <w:szCs w:val="21"/>
                <w:highlight w:val="none"/>
                <w:lang w:val="en-US" w:eastAsia="zh-CN"/>
              </w:rPr>
              <w:t>四十七</w:t>
            </w:r>
            <w:r>
              <w:rPr>
                <w:rFonts w:hint="default" w:ascii="Times New Roman" w:hAnsi="Times New Roman"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t>生态环境保护和环境治理业-101危险废物（不含医疗废物）利用及处置-其他；</w:t>
            </w:r>
            <w:r>
              <w:rPr>
                <w:rFonts w:hint="default" w:ascii="Times New Roman" w:hAnsi="Times New Roman" w:cs="Times New Roman"/>
                <w:color w:val="auto"/>
                <w:szCs w:val="21"/>
                <w:highlight w:val="none"/>
                <w:lang w:val="en-US" w:eastAsia="zh-CN"/>
              </w:rPr>
              <w:t>五十二交通运输业、管道运输业，</w:t>
            </w:r>
            <w:r>
              <w:rPr>
                <w:rFonts w:hint="eastAsia" w:ascii="Times New Roman" w:hAnsi="Times New Roman" w:cs="Times New Roman"/>
                <w:color w:val="auto"/>
                <w:szCs w:val="21"/>
                <w:highlight w:val="none"/>
                <w:lang w:val="en-US" w:eastAsia="zh-CN"/>
              </w:rPr>
              <w:t>148</w:t>
            </w:r>
            <w:r>
              <w:rPr>
                <w:rFonts w:hint="default" w:ascii="Times New Roman" w:hAnsi="Times New Roman" w:cs="Times New Roman"/>
                <w:color w:val="auto"/>
                <w:szCs w:val="21"/>
                <w:highlight w:val="none"/>
                <w:lang w:val="en-US" w:eastAsia="zh-CN"/>
              </w:rPr>
              <w:t>危险化学品输送管线（不含企业厂区内管道）-其他</w:t>
            </w:r>
          </w:p>
        </w:tc>
        <w:tc>
          <w:tcPr>
            <w:tcW w:w="2218" w:type="dxa"/>
            <w:noWrap w:val="0"/>
            <w:vAlign w:val="center"/>
          </w:tcPr>
          <w:p w14:paraId="620FDD1E">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用地（用海）面积（</w:t>
            </w:r>
            <w:r>
              <w:rPr>
                <w:rFonts w:ascii="宋体" w:hAnsi="宋体" w:cs="宋体"/>
                <w:color w:val="auto"/>
                <w:szCs w:val="21"/>
                <w:highlight w:val="none"/>
              </w:rPr>
              <w:t>m</w:t>
            </w:r>
            <w:r>
              <w:rPr>
                <w:rFonts w:ascii="宋体" w:hAnsi="宋体" w:cs="宋体"/>
                <w:color w:val="auto"/>
                <w:szCs w:val="21"/>
                <w:highlight w:val="none"/>
                <w:vertAlign w:val="superscript"/>
              </w:rPr>
              <w:t>2</w:t>
            </w:r>
            <w:r>
              <w:rPr>
                <w:rFonts w:hint="eastAsia" w:ascii="宋体" w:hAnsi="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长度（</w:t>
            </w:r>
            <w:r>
              <w:rPr>
                <w:rFonts w:ascii="宋体" w:hAnsi="宋体" w:cs="宋体"/>
                <w:color w:val="auto"/>
                <w:szCs w:val="21"/>
                <w:highlight w:val="none"/>
              </w:rPr>
              <w:t>km</w:t>
            </w:r>
            <w:r>
              <w:rPr>
                <w:rFonts w:hint="eastAsia" w:ascii="宋体" w:hAnsi="宋体" w:cs="宋体"/>
                <w:color w:val="auto"/>
                <w:szCs w:val="21"/>
                <w:highlight w:val="none"/>
              </w:rPr>
              <w:t>）</w:t>
            </w:r>
          </w:p>
        </w:tc>
        <w:tc>
          <w:tcPr>
            <w:tcW w:w="2552" w:type="dxa"/>
            <w:gridSpan w:val="2"/>
            <w:noWrap w:val="0"/>
            <w:vAlign w:val="center"/>
          </w:tcPr>
          <w:p w14:paraId="5B17CC1F">
            <w:pPr>
              <w:adjustRightInd w:val="0"/>
              <w:snapToGrid w:val="0"/>
              <w:jc w:val="center"/>
              <w:rPr>
                <w:rFonts w:hint="default" w:ascii="宋体" w:hAnsi="宋体" w:eastAsia="宋体" w:cs="宋体"/>
                <w:color w:val="auto"/>
                <w:szCs w:val="21"/>
                <w:highlight w:val="none"/>
                <w:lang w:val="en-US" w:eastAsia="zh-CN"/>
              </w:rPr>
            </w:pPr>
            <w:r>
              <w:rPr>
                <w:rFonts w:hint="eastAsia" w:ascii="Times New Roman" w:hAnsi="Times New Roman" w:cs="Times New Roman"/>
                <w:color w:val="auto"/>
                <w:szCs w:val="21"/>
                <w:highlight w:val="none"/>
                <w:lang w:val="en-US" w:eastAsia="zh-CN"/>
              </w:rPr>
              <w:t>194532</w:t>
            </w:r>
            <w:r>
              <w:rPr>
                <w:rFonts w:hint="default" w:ascii="Times New Roman" w:hAnsi="Times New Roman" w:cs="Times New Roman"/>
                <w:color w:val="auto"/>
                <w:szCs w:val="21"/>
                <w:highlight w:val="none"/>
                <w:lang w:val="en-US" w:eastAsia="zh-CN"/>
              </w:rPr>
              <w:t>m</w:t>
            </w:r>
            <w:r>
              <w:rPr>
                <w:rFonts w:hint="default" w:ascii="Times New Roman" w:hAnsi="Times New Roman" w:cs="Times New Roman"/>
                <w:color w:val="auto"/>
                <w:szCs w:val="21"/>
                <w:highlight w:val="none"/>
                <w:vertAlign w:val="superscript"/>
                <w:lang w:val="en-US" w:eastAsia="zh-CN"/>
              </w:rPr>
              <w:t>2</w:t>
            </w:r>
          </w:p>
        </w:tc>
      </w:tr>
      <w:tr w14:paraId="74665A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2024" w:type="dxa"/>
            <w:noWrap w:val="0"/>
            <w:tcMar>
              <w:top w:w="16" w:type="dxa"/>
              <w:left w:w="16" w:type="dxa"/>
              <w:right w:w="16" w:type="dxa"/>
            </w:tcMar>
            <w:vAlign w:val="center"/>
          </w:tcPr>
          <w:p w14:paraId="36AE6EC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建设性质</w:t>
            </w:r>
          </w:p>
        </w:tc>
        <w:tc>
          <w:tcPr>
            <w:tcW w:w="2245" w:type="dxa"/>
            <w:noWrap w:val="0"/>
            <w:vAlign w:val="center"/>
          </w:tcPr>
          <w:p w14:paraId="61472320">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14:paraId="2107E646">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□改建</w:t>
            </w:r>
          </w:p>
          <w:p w14:paraId="10200A3C">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□扩建</w:t>
            </w:r>
          </w:p>
          <w:p w14:paraId="50C296B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□技术改造</w:t>
            </w:r>
          </w:p>
        </w:tc>
        <w:tc>
          <w:tcPr>
            <w:tcW w:w="2218" w:type="dxa"/>
            <w:noWrap w:val="0"/>
            <w:vAlign w:val="center"/>
          </w:tcPr>
          <w:p w14:paraId="248F1A57">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建设项目</w:t>
            </w:r>
          </w:p>
          <w:p w14:paraId="108C4D65">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申报情形</w:t>
            </w:r>
          </w:p>
        </w:tc>
        <w:tc>
          <w:tcPr>
            <w:tcW w:w="2552" w:type="dxa"/>
            <w:gridSpan w:val="2"/>
            <w:noWrap w:val="0"/>
            <w:vAlign w:val="center"/>
          </w:tcPr>
          <w:p w14:paraId="330EBD3B">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首次申报项目</w:t>
            </w:r>
          </w:p>
          <w:p w14:paraId="1C65FCB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□不予批准后再次申报项目</w:t>
            </w:r>
          </w:p>
          <w:p w14:paraId="7DBA6833">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□超五年重新审核项目</w:t>
            </w:r>
          </w:p>
          <w:p w14:paraId="072D275C">
            <w:pPr>
              <w:adjustRightInd w:val="0"/>
              <w:snapToGrid w:val="0"/>
              <w:rPr>
                <w:rFonts w:ascii="宋体" w:hAnsi="宋体" w:cs="宋体"/>
                <w:color w:val="auto"/>
                <w:szCs w:val="21"/>
                <w:highlight w:val="none"/>
              </w:rPr>
            </w:pPr>
            <w:r>
              <w:rPr>
                <w:rFonts w:hint="eastAsia" w:ascii="宋体" w:hAnsi="宋体" w:cs="宋体"/>
                <w:color w:val="auto"/>
                <w:szCs w:val="21"/>
                <w:highlight w:val="none"/>
              </w:rPr>
              <w:t>□重大变动重新报批项目</w:t>
            </w:r>
          </w:p>
        </w:tc>
      </w:tr>
      <w:tr w14:paraId="73B0D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2024" w:type="dxa"/>
            <w:noWrap w:val="0"/>
            <w:tcMar>
              <w:top w:w="16" w:type="dxa"/>
              <w:left w:w="16" w:type="dxa"/>
              <w:right w:w="16" w:type="dxa"/>
            </w:tcMar>
            <w:vAlign w:val="center"/>
          </w:tcPr>
          <w:p w14:paraId="152CEFB1">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项目审批（核准</w:t>
            </w:r>
            <w:r>
              <w:rPr>
                <w:rFonts w:ascii="宋体" w:hAnsi="宋体" w:cs="宋体"/>
                <w:color w:val="auto"/>
                <w:szCs w:val="21"/>
                <w:highlight w:val="none"/>
              </w:rPr>
              <w:t>/</w:t>
            </w:r>
          </w:p>
          <w:p w14:paraId="1E03BB6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备案）部门（选填）</w:t>
            </w:r>
          </w:p>
        </w:tc>
        <w:tc>
          <w:tcPr>
            <w:tcW w:w="2245" w:type="dxa"/>
            <w:noWrap w:val="0"/>
            <w:vAlign w:val="center"/>
          </w:tcPr>
          <w:p w14:paraId="3F9CFA8A">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2218" w:type="dxa"/>
            <w:noWrap w:val="0"/>
            <w:vAlign w:val="center"/>
          </w:tcPr>
          <w:p w14:paraId="1E82AF3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项目审批（核准</w:t>
            </w:r>
            <w:r>
              <w:rPr>
                <w:rFonts w:ascii="宋体" w:hAnsi="宋体" w:cs="宋体"/>
                <w:color w:val="auto"/>
                <w:szCs w:val="21"/>
                <w:highlight w:val="none"/>
              </w:rPr>
              <w:t>/</w:t>
            </w:r>
          </w:p>
          <w:p w14:paraId="4917841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备案）文号（选填）</w:t>
            </w:r>
          </w:p>
        </w:tc>
        <w:tc>
          <w:tcPr>
            <w:tcW w:w="2552" w:type="dxa"/>
            <w:gridSpan w:val="2"/>
            <w:noWrap w:val="0"/>
            <w:vAlign w:val="center"/>
          </w:tcPr>
          <w:p w14:paraId="74A9D4CA">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280403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2024" w:type="dxa"/>
            <w:noWrap w:val="0"/>
            <w:tcMar>
              <w:top w:w="16" w:type="dxa"/>
              <w:left w:w="16" w:type="dxa"/>
              <w:right w:w="16" w:type="dxa"/>
            </w:tcMar>
            <w:vAlign w:val="center"/>
          </w:tcPr>
          <w:p w14:paraId="7532FBA6">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总投资（万元）</w:t>
            </w:r>
          </w:p>
        </w:tc>
        <w:tc>
          <w:tcPr>
            <w:tcW w:w="2245" w:type="dxa"/>
            <w:noWrap w:val="0"/>
            <w:vAlign w:val="center"/>
          </w:tcPr>
          <w:p w14:paraId="0DDE50D3">
            <w:pPr>
              <w:adjustRightInd w:val="0"/>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45000</w:t>
            </w:r>
          </w:p>
        </w:tc>
        <w:tc>
          <w:tcPr>
            <w:tcW w:w="2218" w:type="dxa"/>
            <w:noWrap w:val="0"/>
            <w:tcMar>
              <w:top w:w="16" w:type="dxa"/>
              <w:left w:w="16" w:type="dxa"/>
              <w:right w:w="16" w:type="dxa"/>
            </w:tcMar>
            <w:vAlign w:val="center"/>
          </w:tcPr>
          <w:p w14:paraId="27C20B04">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环保投资（万元）</w:t>
            </w:r>
          </w:p>
        </w:tc>
        <w:tc>
          <w:tcPr>
            <w:tcW w:w="2552" w:type="dxa"/>
            <w:gridSpan w:val="2"/>
            <w:noWrap w:val="0"/>
            <w:vAlign w:val="center"/>
          </w:tcPr>
          <w:p w14:paraId="5734701A">
            <w:pPr>
              <w:adjustRightInd w:val="0"/>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4592</w:t>
            </w:r>
          </w:p>
        </w:tc>
      </w:tr>
      <w:tr w14:paraId="391594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2024" w:type="dxa"/>
            <w:noWrap w:val="0"/>
            <w:tcMar>
              <w:top w:w="16" w:type="dxa"/>
              <w:left w:w="16" w:type="dxa"/>
              <w:right w:w="16" w:type="dxa"/>
            </w:tcMar>
            <w:vAlign w:val="center"/>
          </w:tcPr>
          <w:p w14:paraId="6CAC13B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环保投资占比（</w:t>
            </w:r>
            <w:r>
              <w:rPr>
                <w:rFonts w:ascii="宋体" w:hAnsi="宋体" w:cs="宋体"/>
                <w:color w:val="auto"/>
                <w:szCs w:val="21"/>
                <w:highlight w:val="none"/>
              </w:rPr>
              <w:t>%</w:t>
            </w:r>
            <w:r>
              <w:rPr>
                <w:rFonts w:hint="eastAsia" w:ascii="宋体" w:hAnsi="宋体" w:cs="宋体"/>
                <w:color w:val="auto"/>
                <w:szCs w:val="21"/>
                <w:highlight w:val="none"/>
              </w:rPr>
              <w:t>）</w:t>
            </w:r>
          </w:p>
        </w:tc>
        <w:tc>
          <w:tcPr>
            <w:tcW w:w="2245" w:type="dxa"/>
            <w:noWrap w:val="0"/>
            <w:vAlign w:val="center"/>
          </w:tcPr>
          <w:p w14:paraId="01CCAF79">
            <w:pPr>
              <w:adjustRightInd w:val="0"/>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10.2</w:t>
            </w:r>
          </w:p>
        </w:tc>
        <w:tc>
          <w:tcPr>
            <w:tcW w:w="2218" w:type="dxa"/>
            <w:noWrap w:val="0"/>
            <w:tcMar>
              <w:top w:w="16" w:type="dxa"/>
              <w:left w:w="16" w:type="dxa"/>
              <w:right w:w="16" w:type="dxa"/>
            </w:tcMar>
            <w:vAlign w:val="center"/>
          </w:tcPr>
          <w:p w14:paraId="06DCAD85">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施工工期</w:t>
            </w:r>
          </w:p>
        </w:tc>
        <w:tc>
          <w:tcPr>
            <w:tcW w:w="2552" w:type="dxa"/>
            <w:gridSpan w:val="2"/>
            <w:noWrap w:val="0"/>
            <w:vAlign w:val="center"/>
          </w:tcPr>
          <w:p w14:paraId="3B9A705B">
            <w:pPr>
              <w:adjustRightInd w:val="0"/>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24个月</w:t>
            </w:r>
          </w:p>
        </w:tc>
      </w:tr>
      <w:tr w14:paraId="14FBD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024" w:type="dxa"/>
            <w:noWrap w:val="0"/>
            <w:tcMar>
              <w:top w:w="16" w:type="dxa"/>
              <w:left w:w="16" w:type="dxa"/>
              <w:right w:w="16" w:type="dxa"/>
            </w:tcMar>
            <w:vAlign w:val="center"/>
          </w:tcPr>
          <w:p w14:paraId="232E9302">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是否开工建设</w:t>
            </w:r>
          </w:p>
        </w:tc>
        <w:tc>
          <w:tcPr>
            <w:tcW w:w="7015" w:type="dxa"/>
            <w:gridSpan w:val="4"/>
            <w:noWrap w:val="0"/>
            <w:vAlign w:val="center"/>
          </w:tcPr>
          <w:p w14:paraId="48F3BC86">
            <w:pPr>
              <w:adjustRightInd w:val="0"/>
              <w:snapToGrid w:val="0"/>
              <w:ind w:firstLine="105"/>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否</w:t>
            </w:r>
          </w:p>
          <w:p w14:paraId="71984C9D">
            <w:pPr>
              <w:adjustRightInd w:val="0"/>
              <w:snapToGrid w:val="0"/>
              <w:ind w:firstLine="92"/>
              <w:jc w:val="left"/>
              <w:rPr>
                <w:rFonts w:ascii="宋体" w:hAnsi="宋体" w:cs="宋体"/>
                <w:color w:val="auto"/>
                <w:szCs w:val="21"/>
                <w:highlight w:val="none"/>
              </w:rPr>
            </w:pPr>
            <w:r>
              <w:rPr>
                <w:rFonts w:hint="eastAsia" w:ascii="宋体" w:hAnsi="宋体" w:cs="宋体"/>
                <w:color w:val="auto"/>
                <w:szCs w:val="21"/>
                <w:highlight w:val="none"/>
              </w:rPr>
              <w:t>□是：</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p>
        </w:tc>
      </w:tr>
      <w:tr w14:paraId="4045BF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024" w:type="dxa"/>
            <w:noWrap w:val="0"/>
            <w:tcMar>
              <w:top w:w="16" w:type="dxa"/>
              <w:left w:w="16" w:type="dxa"/>
              <w:right w:w="16" w:type="dxa"/>
            </w:tcMar>
            <w:vAlign w:val="center"/>
          </w:tcPr>
          <w:p w14:paraId="1F365233">
            <w:pPr>
              <w:autoSpaceDE w:val="0"/>
              <w:autoSpaceDN w:val="0"/>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专项评价设置情况</w:t>
            </w:r>
          </w:p>
        </w:tc>
        <w:tc>
          <w:tcPr>
            <w:tcW w:w="7015" w:type="dxa"/>
            <w:gridSpan w:val="4"/>
            <w:noWrap w:val="0"/>
            <w:tcMar>
              <w:top w:w="16" w:type="dxa"/>
              <w:left w:w="16" w:type="dxa"/>
              <w:right w:w="16" w:type="dxa"/>
            </w:tcMar>
            <w:vAlign w:val="center"/>
          </w:tcPr>
          <w:p w14:paraId="2B619ABA">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color w:val="auto"/>
                <w:highlight w:val="none"/>
                <w:lang w:val="en-US" w:eastAsia="zh-CN"/>
              </w:rPr>
            </w:pPr>
            <w:r>
              <w:rPr>
                <w:rFonts w:hint="eastAsia"/>
                <w:color w:val="auto"/>
                <w:highlight w:val="none"/>
                <w:lang w:val="en-US" w:eastAsia="zh-CN"/>
              </w:rPr>
              <w:t>根据《建设项目环境影响报告表编制技术指南（生态影响类）（试行）》表1专项评价设置原则表，本项目涉及基地外危险化学品（氢气管道、富一氧化碳气管道）输送管线建设，因此设置《</w:t>
            </w:r>
            <w:r>
              <w:rPr>
                <w:rFonts w:hint="default" w:ascii="Times New Roman" w:hAnsi="Times New Roman" w:eastAsia="宋体" w:cs="Times New Roman"/>
                <w:color w:val="auto"/>
                <w:kern w:val="21"/>
                <w:sz w:val="21"/>
                <w:szCs w:val="21"/>
                <w:highlight w:val="none"/>
                <w:u w:val="none"/>
                <w:lang w:val="en-US" w:eastAsia="zh-CN"/>
              </w:rPr>
              <w:t>鄂尔多斯现代煤化工创新技术中试基地基础设施建设项目</w:t>
            </w:r>
            <w:r>
              <w:rPr>
                <w:rFonts w:hint="eastAsia"/>
                <w:color w:val="auto"/>
                <w:highlight w:val="none"/>
                <w:lang w:val="en-US" w:eastAsia="zh-CN"/>
              </w:rPr>
              <w:t>环境风险专项评价报告》。专项设置判定依据见表1-1。</w:t>
            </w:r>
          </w:p>
          <w:p w14:paraId="73D0837E">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b/>
                <w:bCs/>
                <w:color w:val="auto"/>
                <w:highlight w:val="none"/>
                <w:lang w:val="en-US"/>
              </w:rPr>
            </w:pPr>
            <w:r>
              <w:rPr>
                <w:rFonts w:hint="eastAsia"/>
                <w:b/>
                <w:bCs/>
                <w:color w:val="auto"/>
                <w:highlight w:val="none"/>
                <w:lang w:val="en-US" w:eastAsia="zh-CN"/>
              </w:rPr>
              <w:t>表1-1    专项评价设置原则表</w:t>
            </w:r>
          </w:p>
          <w:tbl>
            <w:tblPr>
              <w:tblStyle w:val="25"/>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275"/>
              <w:gridCol w:w="1759"/>
            </w:tblGrid>
            <w:tr w14:paraId="346A90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9" w:type="dxa"/>
                  <w:tcBorders>
                    <w:tl2br w:val="nil"/>
                    <w:tr2bl w:val="nil"/>
                  </w:tcBorders>
                  <w:noWrap w:val="0"/>
                  <w:vAlign w:val="center"/>
                </w:tcPr>
                <w:p w14:paraId="628B4FCB">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rPr>
                  </w:pPr>
                  <w:r>
                    <w:rPr>
                      <w:rFonts w:hint="default" w:ascii="Times New Roman" w:hAnsi="Times New Roman" w:eastAsia="宋体" w:cs="Times New Roman"/>
                      <w:color w:val="auto"/>
                      <w:kern w:val="0"/>
                      <w:sz w:val="18"/>
                      <w:szCs w:val="18"/>
                      <w:highlight w:val="none"/>
                      <w:lang w:val="en-US" w:eastAsia="zh-CN" w:bidi="ar"/>
                    </w:rPr>
                    <w:t>专项评价的类别</w:t>
                  </w:r>
                </w:p>
              </w:tc>
              <w:tc>
                <w:tcPr>
                  <w:tcW w:w="4275" w:type="dxa"/>
                  <w:tcBorders>
                    <w:tl2br w:val="nil"/>
                    <w:tr2bl w:val="nil"/>
                  </w:tcBorders>
                  <w:noWrap w:val="0"/>
                  <w:vAlign w:val="center"/>
                </w:tcPr>
                <w:p w14:paraId="7C25D38E">
                  <w:pPr>
                    <w:keepNext w:val="0"/>
                    <w:keepLines w:val="0"/>
                    <w:pageBreakBefore w:val="0"/>
                    <w:widowControl/>
                    <w:suppressLineNumbers w:val="0"/>
                    <w:kinsoku/>
                    <w:wordWrap/>
                    <w:overflowPunct/>
                    <w:topLinePunct w:val="0"/>
                    <w:bidi w:val="0"/>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涉及项目类别</w:t>
                  </w:r>
                </w:p>
                <w:p w14:paraId="646D042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rPr>
                  </w:pPr>
                </w:p>
              </w:tc>
              <w:tc>
                <w:tcPr>
                  <w:tcW w:w="1759" w:type="dxa"/>
                  <w:tcBorders>
                    <w:tl2br w:val="nil"/>
                    <w:tr2bl w:val="nil"/>
                  </w:tcBorders>
                  <w:noWrap w:val="0"/>
                  <w:vAlign w:val="center"/>
                </w:tcPr>
                <w:p w14:paraId="4E3400C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本项目</w:t>
                  </w:r>
                </w:p>
              </w:tc>
            </w:tr>
            <w:tr w14:paraId="5B05E2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9" w:type="dxa"/>
                  <w:tcBorders>
                    <w:tl2br w:val="nil"/>
                    <w:tr2bl w:val="nil"/>
                  </w:tcBorders>
                  <w:noWrap w:val="0"/>
                  <w:vAlign w:val="center"/>
                </w:tcPr>
                <w:p w14:paraId="2AADCDA8">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地表水</w:t>
                  </w:r>
                </w:p>
              </w:tc>
              <w:tc>
                <w:tcPr>
                  <w:tcW w:w="4275" w:type="dxa"/>
                  <w:tcBorders>
                    <w:tl2br w:val="nil"/>
                    <w:tr2bl w:val="nil"/>
                  </w:tcBorders>
                  <w:noWrap w:val="0"/>
                  <w:vAlign w:val="top"/>
                </w:tcPr>
                <w:p w14:paraId="186ABA73">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水力发电：引水式发电、涉及调峰发电的项目； </w:t>
                  </w:r>
                </w:p>
                <w:p w14:paraId="51E1799D">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人工湖、人工湿地：全部； </w:t>
                  </w:r>
                </w:p>
                <w:p w14:paraId="19B55546">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水库：全部； </w:t>
                  </w:r>
                </w:p>
                <w:p w14:paraId="1D165DE9">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引水工程：全部（配套的管线工程等除外）； </w:t>
                  </w:r>
                </w:p>
                <w:p w14:paraId="3FFEFFC2">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防洪除涝工程：包含水库的项目； </w:t>
                  </w:r>
                </w:p>
                <w:p w14:paraId="034EBA13">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vertAlign w:val="baseline"/>
                      <w:lang w:val="en-US"/>
                    </w:rPr>
                  </w:pPr>
                  <w:r>
                    <w:rPr>
                      <w:rFonts w:hint="default" w:ascii="Times New Roman" w:hAnsi="Times New Roman" w:eastAsia="宋体" w:cs="Times New Roman"/>
                      <w:color w:val="auto"/>
                      <w:kern w:val="0"/>
                      <w:sz w:val="18"/>
                      <w:szCs w:val="18"/>
                      <w:highlight w:val="none"/>
                      <w:lang w:val="en-US" w:eastAsia="zh-CN" w:bidi="ar"/>
                    </w:rPr>
                    <w:t>河湖整治：涉及清淤且底泥存在重金属污染的项目</w:t>
                  </w:r>
                </w:p>
              </w:tc>
              <w:tc>
                <w:tcPr>
                  <w:tcW w:w="1759" w:type="dxa"/>
                  <w:tcBorders>
                    <w:tl2br w:val="nil"/>
                    <w:tr2bl w:val="nil"/>
                  </w:tcBorders>
                  <w:noWrap w:val="0"/>
                  <w:vAlign w:val="center"/>
                </w:tcPr>
                <w:p w14:paraId="71F1612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eastAsia"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不涉及</w:t>
                  </w:r>
                </w:p>
              </w:tc>
            </w:tr>
            <w:tr w14:paraId="5C096D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9" w:type="dxa"/>
                  <w:tcBorders>
                    <w:tl2br w:val="nil"/>
                    <w:tr2bl w:val="nil"/>
                  </w:tcBorders>
                  <w:noWrap w:val="0"/>
                  <w:vAlign w:val="center"/>
                </w:tcPr>
                <w:p w14:paraId="5F270FD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地下水</w:t>
                  </w:r>
                </w:p>
              </w:tc>
              <w:tc>
                <w:tcPr>
                  <w:tcW w:w="4275" w:type="dxa"/>
                  <w:tcBorders>
                    <w:tl2br w:val="nil"/>
                    <w:tr2bl w:val="nil"/>
                  </w:tcBorders>
                  <w:noWrap w:val="0"/>
                  <w:vAlign w:val="top"/>
                </w:tcPr>
                <w:p w14:paraId="2D168FD2">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陆地石油和天然气开采：全部； </w:t>
                  </w:r>
                </w:p>
                <w:p w14:paraId="2A8C794B">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地下水（含矿泉水）开采：全部； </w:t>
                  </w:r>
                </w:p>
                <w:p w14:paraId="6B9B3CAE">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vertAlign w:val="baseline"/>
                      <w:lang w:val="en-US"/>
                    </w:rPr>
                  </w:pPr>
                  <w:r>
                    <w:rPr>
                      <w:rFonts w:hint="default" w:ascii="Times New Roman" w:hAnsi="Times New Roman" w:eastAsia="宋体" w:cs="Times New Roman"/>
                      <w:color w:val="auto"/>
                      <w:kern w:val="0"/>
                      <w:sz w:val="18"/>
                      <w:szCs w:val="18"/>
                      <w:highlight w:val="none"/>
                      <w:lang w:val="en-US" w:eastAsia="zh-CN" w:bidi="ar"/>
                    </w:rPr>
                    <w:t>水利、水电、交通等：含穿越可溶岩地层隧道的项目</w:t>
                  </w:r>
                </w:p>
              </w:tc>
              <w:tc>
                <w:tcPr>
                  <w:tcW w:w="1759" w:type="dxa"/>
                  <w:tcBorders>
                    <w:tl2br w:val="nil"/>
                    <w:tr2bl w:val="nil"/>
                  </w:tcBorders>
                  <w:noWrap w:val="0"/>
                  <w:vAlign w:val="center"/>
                </w:tcPr>
                <w:p w14:paraId="2B80071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rPr>
                  </w:pPr>
                  <w:r>
                    <w:rPr>
                      <w:rFonts w:hint="eastAsia" w:ascii="Times New Roman" w:hAnsi="Times New Roman" w:eastAsia="宋体" w:cs="Times New Roman"/>
                      <w:color w:val="auto"/>
                      <w:sz w:val="18"/>
                      <w:szCs w:val="18"/>
                      <w:highlight w:val="none"/>
                      <w:vertAlign w:val="baseline"/>
                      <w:lang w:val="en-US" w:eastAsia="zh-CN"/>
                    </w:rPr>
                    <w:t>不涉及</w:t>
                  </w:r>
                </w:p>
              </w:tc>
            </w:tr>
            <w:tr w14:paraId="4B2C67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9" w:type="dxa"/>
                  <w:tcBorders>
                    <w:tl2br w:val="nil"/>
                    <w:tr2bl w:val="nil"/>
                  </w:tcBorders>
                  <w:noWrap w:val="0"/>
                  <w:vAlign w:val="center"/>
                </w:tcPr>
                <w:p w14:paraId="12CD72DF">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生态</w:t>
                  </w:r>
                </w:p>
              </w:tc>
              <w:tc>
                <w:tcPr>
                  <w:tcW w:w="4275" w:type="dxa"/>
                  <w:tcBorders>
                    <w:tl2br w:val="nil"/>
                    <w:tr2bl w:val="nil"/>
                  </w:tcBorders>
                  <w:noWrap w:val="0"/>
                  <w:vAlign w:val="top"/>
                </w:tcPr>
                <w:p w14:paraId="64D32239">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vertAlign w:val="baseline"/>
                      <w:lang w:val="en-US"/>
                    </w:rPr>
                  </w:pPr>
                  <w:r>
                    <w:rPr>
                      <w:rFonts w:hint="default" w:ascii="Times New Roman" w:hAnsi="Times New Roman" w:eastAsia="宋体" w:cs="Times New Roman"/>
                      <w:color w:val="auto"/>
                      <w:kern w:val="0"/>
                      <w:sz w:val="18"/>
                      <w:szCs w:val="18"/>
                      <w:highlight w:val="none"/>
                      <w:lang w:val="en-US" w:eastAsia="zh-CN" w:bidi="ar"/>
                    </w:rPr>
                    <w:t>涉及环境敏感区（不包括饮用水水源保护区，以居住、医疗卫生、文化教育、科研、行政办公为主要功能的区域，以及文物保护单位）的项目</w:t>
                  </w:r>
                </w:p>
              </w:tc>
              <w:tc>
                <w:tcPr>
                  <w:tcW w:w="1759" w:type="dxa"/>
                  <w:tcBorders>
                    <w:tl2br w:val="nil"/>
                    <w:tr2bl w:val="nil"/>
                  </w:tcBorders>
                  <w:noWrap w:val="0"/>
                  <w:vAlign w:val="center"/>
                </w:tcPr>
                <w:p w14:paraId="20C0C40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rPr>
                  </w:pPr>
                  <w:r>
                    <w:rPr>
                      <w:rFonts w:hint="eastAsia" w:ascii="Times New Roman" w:hAnsi="Times New Roman" w:eastAsia="宋体" w:cs="Times New Roman"/>
                      <w:color w:val="auto"/>
                      <w:sz w:val="18"/>
                      <w:szCs w:val="18"/>
                      <w:highlight w:val="none"/>
                      <w:vertAlign w:val="baseline"/>
                      <w:lang w:val="en-US" w:eastAsia="zh-CN"/>
                    </w:rPr>
                    <w:t>不涉及</w:t>
                  </w:r>
                </w:p>
              </w:tc>
            </w:tr>
            <w:tr w14:paraId="2B0C62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9" w:type="dxa"/>
                  <w:tcBorders>
                    <w:tl2br w:val="nil"/>
                    <w:tr2bl w:val="nil"/>
                  </w:tcBorders>
                  <w:noWrap w:val="0"/>
                  <w:vAlign w:val="center"/>
                </w:tcPr>
                <w:p w14:paraId="002A590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大气</w:t>
                  </w:r>
                </w:p>
              </w:tc>
              <w:tc>
                <w:tcPr>
                  <w:tcW w:w="4275" w:type="dxa"/>
                  <w:tcBorders>
                    <w:tl2br w:val="nil"/>
                    <w:tr2bl w:val="nil"/>
                  </w:tcBorders>
                  <w:noWrap w:val="0"/>
                  <w:vAlign w:val="top"/>
                </w:tcPr>
                <w:p w14:paraId="103F65E0">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油气、液体化工码头：全部； </w:t>
                  </w:r>
                </w:p>
                <w:p w14:paraId="08AD2F4D">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vertAlign w:val="baseline"/>
                      <w:lang w:val="en-US"/>
                    </w:rPr>
                  </w:pPr>
                  <w:r>
                    <w:rPr>
                      <w:rFonts w:hint="default" w:ascii="Times New Roman" w:hAnsi="Times New Roman" w:eastAsia="宋体" w:cs="Times New Roman"/>
                      <w:color w:val="auto"/>
                      <w:kern w:val="0"/>
                      <w:sz w:val="18"/>
                      <w:szCs w:val="18"/>
                      <w:highlight w:val="none"/>
                      <w:lang w:val="en-US" w:eastAsia="zh-CN" w:bidi="ar"/>
                    </w:rPr>
                    <w:t>干散货（含煤炭、矿石）、件杂、多用途、通用码头：涉及粉尘、挥发性有机物排放的项目</w:t>
                  </w:r>
                </w:p>
              </w:tc>
              <w:tc>
                <w:tcPr>
                  <w:tcW w:w="1759" w:type="dxa"/>
                  <w:tcBorders>
                    <w:tl2br w:val="nil"/>
                    <w:tr2bl w:val="nil"/>
                  </w:tcBorders>
                  <w:noWrap w:val="0"/>
                  <w:vAlign w:val="center"/>
                </w:tcPr>
                <w:p w14:paraId="29FEC639">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rPr>
                  </w:pPr>
                  <w:r>
                    <w:rPr>
                      <w:rFonts w:hint="eastAsia" w:ascii="Times New Roman" w:hAnsi="Times New Roman" w:eastAsia="宋体" w:cs="Times New Roman"/>
                      <w:color w:val="auto"/>
                      <w:sz w:val="18"/>
                      <w:szCs w:val="18"/>
                      <w:highlight w:val="none"/>
                      <w:vertAlign w:val="baseline"/>
                      <w:lang w:val="en-US" w:eastAsia="zh-CN"/>
                    </w:rPr>
                    <w:t>不涉及</w:t>
                  </w:r>
                </w:p>
              </w:tc>
            </w:tr>
            <w:tr w14:paraId="3CD32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9" w:type="dxa"/>
                  <w:tcBorders>
                    <w:tl2br w:val="nil"/>
                    <w:tr2bl w:val="nil"/>
                  </w:tcBorders>
                  <w:noWrap w:val="0"/>
                  <w:vAlign w:val="center"/>
                </w:tcPr>
                <w:p w14:paraId="3C40300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噪声</w:t>
                  </w:r>
                </w:p>
              </w:tc>
              <w:tc>
                <w:tcPr>
                  <w:tcW w:w="4275" w:type="dxa"/>
                  <w:tcBorders>
                    <w:tl2br w:val="nil"/>
                    <w:tr2bl w:val="nil"/>
                  </w:tcBorders>
                  <w:noWrap w:val="0"/>
                  <w:vAlign w:val="top"/>
                </w:tcPr>
                <w:p w14:paraId="7A276140">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公路、铁路、机场等交通运输业涉及环境敏感区（以居住、医疗卫生、文化教育、科研、行政办公为主要功能的区域）的项目； </w:t>
                  </w:r>
                </w:p>
                <w:p w14:paraId="1249D5A9">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vertAlign w:val="baseline"/>
                      <w:lang w:val="en-US"/>
                    </w:rPr>
                  </w:pPr>
                  <w:r>
                    <w:rPr>
                      <w:rFonts w:hint="default" w:ascii="Times New Roman" w:hAnsi="Times New Roman" w:eastAsia="宋体" w:cs="Times New Roman"/>
                      <w:color w:val="auto"/>
                      <w:kern w:val="0"/>
                      <w:sz w:val="18"/>
                      <w:szCs w:val="18"/>
                      <w:highlight w:val="none"/>
                      <w:lang w:val="en-US" w:eastAsia="zh-CN" w:bidi="ar"/>
                    </w:rPr>
                    <w:t>城市道路（不含维护，不含支路、人行天桥、人行地道）：全部</w:t>
                  </w:r>
                </w:p>
              </w:tc>
              <w:tc>
                <w:tcPr>
                  <w:tcW w:w="1759" w:type="dxa"/>
                  <w:tcBorders>
                    <w:tl2br w:val="nil"/>
                    <w:tr2bl w:val="nil"/>
                  </w:tcBorders>
                  <w:noWrap w:val="0"/>
                  <w:vAlign w:val="center"/>
                </w:tcPr>
                <w:p w14:paraId="4E68303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rPr>
                  </w:pPr>
                  <w:r>
                    <w:rPr>
                      <w:rFonts w:hint="eastAsia" w:ascii="Times New Roman" w:hAnsi="Times New Roman" w:eastAsia="宋体" w:cs="Times New Roman"/>
                      <w:color w:val="auto"/>
                      <w:sz w:val="18"/>
                      <w:szCs w:val="18"/>
                      <w:highlight w:val="none"/>
                      <w:vertAlign w:val="baseline"/>
                      <w:lang w:val="en-US" w:eastAsia="zh-CN"/>
                    </w:rPr>
                    <w:t>不涉及</w:t>
                  </w:r>
                </w:p>
              </w:tc>
            </w:tr>
            <w:tr w14:paraId="0BCE8B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39" w:type="dxa"/>
                  <w:tcBorders>
                    <w:tl2br w:val="nil"/>
                    <w:tr2bl w:val="nil"/>
                  </w:tcBorders>
                  <w:noWrap w:val="0"/>
                  <w:vAlign w:val="center"/>
                </w:tcPr>
                <w:p w14:paraId="7772784D">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环境风险</w:t>
                  </w:r>
                </w:p>
              </w:tc>
              <w:tc>
                <w:tcPr>
                  <w:tcW w:w="4275" w:type="dxa"/>
                  <w:tcBorders>
                    <w:tl2br w:val="nil"/>
                    <w:tr2bl w:val="nil"/>
                  </w:tcBorders>
                  <w:noWrap w:val="0"/>
                  <w:vAlign w:val="top"/>
                </w:tcPr>
                <w:p w14:paraId="41380B3E">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石油和天然气开采：全部； </w:t>
                  </w:r>
                </w:p>
                <w:p w14:paraId="75C741F1">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 xml:space="preserve">油气、液体化工码头：全部； </w:t>
                  </w:r>
                </w:p>
                <w:p w14:paraId="7B6058B0">
                  <w:pPr>
                    <w:keepNext w:val="0"/>
                    <w:keepLines w:val="0"/>
                    <w:pageBreakBefore w:val="0"/>
                    <w:widowControl/>
                    <w:suppressLineNumbers w:val="0"/>
                    <w:kinsoku/>
                    <w:wordWrap/>
                    <w:overflowPunct/>
                    <w:topLinePunct w:val="0"/>
                    <w:bidi w:val="0"/>
                    <w:spacing w:line="240" w:lineRule="auto"/>
                    <w:jc w:val="left"/>
                    <w:textAlignment w:val="auto"/>
                    <w:rPr>
                      <w:rFonts w:hint="default" w:ascii="Times New Roman" w:hAnsi="Times New Roman" w:eastAsia="宋体" w:cs="Times New Roman"/>
                      <w:color w:val="auto"/>
                      <w:sz w:val="18"/>
                      <w:szCs w:val="18"/>
                      <w:highlight w:val="none"/>
                      <w:vertAlign w:val="baseline"/>
                      <w:lang w:val="en-US"/>
                    </w:rPr>
                  </w:pPr>
                  <w:r>
                    <w:rPr>
                      <w:rFonts w:hint="default" w:ascii="Times New Roman" w:hAnsi="Times New Roman" w:eastAsia="宋体" w:cs="Times New Roman"/>
                      <w:color w:val="auto"/>
                      <w:kern w:val="0"/>
                      <w:sz w:val="18"/>
                      <w:szCs w:val="18"/>
                      <w:highlight w:val="none"/>
                      <w:lang w:val="en-US" w:eastAsia="zh-CN" w:bidi="ar"/>
                    </w:rPr>
                    <w:t>原油、成品油、天然气管线（不含城镇天然气管线、企业厂区内管线），危险化学品输送管线（不含企业厂区内管线）：全部</w:t>
                  </w:r>
                </w:p>
              </w:tc>
              <w:tc>
                <w:tcPr>
                  <w:tcW w:w="1759" w:type="dxa"/>
                  <w:tcBorders>
                    <w:tl2br w:val="nil"/>
                    <w:tr2bl w:val="nil"/>
                  </w:tcBorders>
                  <w:noWrap w:val="0"/>
                  <w:vAlign w:val="center"/>
                </w:tcPr>
                <w:p w14:paraId="3B3A84E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auto"/>
                      <w:sz w:val="18"/>
                      <w:szCs w:val="18"/>
                      <w:highlight w:val="none"/>
                      <w:vertAlign w:val="baseline"/>
                      <w:lang w:val="en-US"/>
                    </w:rPr>
                  </w:pPr>
                  <w:r>
                    <w:rPr>
                      <w:rFonts w:hint="eastAsia"/>
                      <w:color w:val="auto"/>
                      <w:sz w:val="18"/>
                      <w:szCs w:val="18"/>
                      <w:highlight w:val="none"/>
                      <w:lang w:val="en-US" w:eastAsia="zh-CN"/>
                    </w:rPr>
                    <w:t>本项目基地外氢气管道、富一氧化碳气管道，属于危化品输送管线，需要开展环境风险专项评价</w:t>
                  </w:r>
                </w:p>
              </w:tc>
            </w:tr>
          </w:tbl>
          <w:p w14:paraId="7582E95C">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color w:val="auto"/>
                <w:highlight w:val="none"/>
                <w:lang w:val="en-US"/>
              </w:rPr>
            </w:pPr>
          </w:p>
        </w:tc>
      </w:tr>
      <w:tr w14:paraId="1950ED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2024" w:type="dxa"/>
            <w:noWrap w:val="0"/>
            <w:tcMar>
              <w:top w:w="16" w:type="dxa"/>
              <w:left w:w="16" w:type="dxa"/>
              <w:right w:w="16" w:type="dxa"/>
            </w:tcMar>
            <w:vAlign w:val="center"/>
          </w:tcPr>
          <w:p w14:paraId="722DC107">
            <w:pPr>
              <w:autoSpaceDE w:val="0"/>
              <w:autoSpaceDN w:val="0"/>
              <w:adjustRightInd w:val="0"/>
              <w:snapToGrid w:val="0"/>
              <w:jc w:val="center"/>
              <w:rPr>
                <w:rFonts w:ascii="宋体" w:hAnsi="宋体" w:cs="宋体"/>
                <w:color w:val="auto"/>
                <w:kern w:val="0"/>
                <w:szCs w:val="21"/>
                <w:highlight w:val="none"/>
              </w:rPr>
            </w:pPr>
            <w:r>
              <w:rPr>
                <w:rFonts w:hint="eastAsia" w:ascii="宋体" w:hAnsi="宋体" w:cs="宋体"/>
                <w:color w:val="auto"/>
                <w:szCs w:val="21"/>
                <w:highlight w:val="none"/>
              </w:rPr>
              <w:t>规划情况</w:t>
            </w:r>
          </w:p>
        </w:tc>
        <w:tc>
          <w:tcPr>
            <w:tcW w:w="7015" w:type="dxa"/>
            <w:gridSpan w:val="4"/>
            <w:noWrap w:val="0"/>
            <w:tcMar>
              <w:top w:w="16" w:type="dxa"/>
              <w:left w:w="16" w:type="dxa"/>
              <w:right w:w="16" w:type="dxa"/>
            </w:tcMar>
            <w:vAlign w:val="center"/>
          </w:tcPr>
          <w:p w14:paraId="6CDCB1EB">
            <w:pPr>
              <w:keepNext w:val="0"/>
              <w:keepLines w:val="0"/>
              <w:pageBreakBefore w:val="0"/>
              <w:numPr>
                <w:ilvl w:val="0"/>
                <w:numId w:val="1"/>
              </w:numPr>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Times New Roman" w:hAnsi="Times New Roman" w:eastAsia="宋体" w:cs="Times New Roman"/>
                <w:color w:val="auto"/>
                <w:kern w:val="21"/>
                <w:sz w:val="21"/>
                <w:szCs w:val="21"/>
                <w:highlight w:val="none"/>
                <w:lang w:val="en-US" w:eastAsia="zh-CN"/>
              </w:rPr>
            </w:pPr>
            <w:r>
              <w:rPr>
                <w:rFonts w:hint="eastAsia" w:ascii="Times New Roman" w:hAnsi="Times New Roman" w:eastAsia="宋体" w:cs="Times New Roman"/>
                <w:color w:val="auto"/>
                <w:kern w:val="21"/>
                <w:sz w:val="21"/>
                <w:szCs w:val="21"/>
                <w:highlight w:val="none"/>
                <w:lang w:val="en-US" w:eastAsia="zh-CN"/>
              </w:rPr>
              <w:t>规划名称：《内蒙古鄂尔多斯苏里格经济开发区总体规划（2014-2030）（2020年修改版）》；</w:t>
            </w:r>
          </w:p>
          <w:p w14:paraId="4FC79FDB">
            <w:pPr>
              <w:keepNext w:val="0"/>
              <w:keepLines w:val="0"/>
              <w:pageBreakBefore w:val="0"/>
              <w:widowControl w:val="0"/>
              <w:numPr>
                <w:ilvl w:val="0"/>
                <w:numId w:val="1"/>
              </w:numPr>
              <w:kinsoku/>
              <w:wordWrap/>
              <w:overflowPunct/>
              <w:topLinePunct w:val="0"/>
              <w:autoSpaceDE w:val="0"/>
              <w:autoSpaceDN w:val="0"/>
              <w:bidi w:val="0"/>
              <w:adjustRightInd w:val="0"/>
              <w:snapToGrid w:val="0"/>
              <w:spacing w:line="240" w:lineRule="auto"/>
              <w:ind w:firstLine="420" w:firstLineChars="200"/>
              <w:jc w:val="left"/>
              <w:textAlignment w:val="auto"/>
              <w:rPr>
                <w:rFonts w:hint="eastAsia" w:ascii="Times New Roman" w:hAnsi="Times New Roman" w:eastAsia="宋体" w:cs="Times New Roman"/>
                <w:color w:val="auto"/>
                <w:kern w:val="21"/>
                <w:sz w:val="21"/>
                <w:szCs w:val="21"/>
                <w:highlight w:val="none"/>
                <w:lang w:val="en-US" w:eastAsia="zh-CN"/>
              </w:rPr>
            </w:pPr>
            <w:r>
              <w:rPr>
                <w:rFonts w:hint="eastAsia" w:ascii="Times New Roman" w:hAnsi="Times New Roman" w:eastAsia="宋体" w:cs="Times New Roman"/>
                <w:color w:val="auto"/>
                <w:kern w:val="21"/>
                <w:sz w:val="21"/>
                <w:szCs w:val="21"/>
                <w:highlight w:val="none"/>
                <w:lang w:val="en-US" w:eastAsia="zh-CN"/>
              </w:rPr>
              <w:t>审批机关：内蒙古自治区住房和城乡建设厅；</w:t>
            </w:r>
          </w:p>
          <w:p w14:paraId="66BD7E7B">
            <w:pPr>
              <w:keepNext w:val="0"/>
              <w:keepLines w:val="0"/>
              <w:pageBreakBefore w:val="0"/>
              <w:widowControl w:val="0"/>
              <w:kinsoku/>
              <w:wordWrap/>
              <w:overflowPunct/>
              <w:topLinePunct w:val="0"/>
              <w:autoSpaceDE w:val="0"/>
              <w:autoSpaceDN w:val="0"/>
              <w:bidi w:val="0"/>
              <w:adjustRightInd w:val="0"/>
              <w:snapToGrid w:val="0"/>
              <w:ind w:firstLine="420" w:firstLineChars="200"/>
              <w:textAlignment w:val="auto"/>
              <w:rPr>
                <w:rFonts w:ascii="宋体" w:hAnsi="宋体" w:cs="宋体"/>
                <w:color w:val="auto"/>
                <w:kern w:val="0"/>
                <w:szCs w:val="21"/>
                <w:highlight w:val="none"/>
              </w:rPr>
            </w:pPr>
            <w:r>
              <w:rPr>
                <w:rFonts w:hint="eastAsia" w:ascii="Times New Roman" w:hAnsi="Times New Roman" w:eastAsia="宋体" w:cs="Times New Roman"/>
                <w:color w:val="auto"/>
                <w:kern w:val="21"/>
                <w:sz w:val="21"/>
                <w:szCs w:val="21"/>
                <w:highlight w:val="none"/>
                <w:lang w:val="en-US" w:eastAsia="zh-CN"/>
              </w:rPr>
              <w:t>（3）审批文件名称：《关于内蒙古鄂尔多斯苏里格经济开发区总体规划的批复》（内建规</w:t>
            </w:r>
            <w:r>
              <w:rPr>
                <w:rFonts w:hint="eastAsia"/>
                <w:color w:val="auto"/>
                <w:kern w:val="21"/>
                <w:sz w:val="21"/>
                <w:szCs w:val="21"/>
                <w:highlight w:val="none"/>
                <w:lang w:val="en-US" w:eastAsia="zh-CN"/>
              </w:rPr>
              <w:t>〔2015〕145号</w:t>
            </w:r>
            <w:r>
              <w:rPr>
                <w:rFonts w:hint="eastAsia" w:ascii="Times New Roman" w:hAnsi="Times New Roman" w:eastAsia="宋体" w:cs="Times New Roman"/>
                <w:color w:val="auto"/>
                <w:kern w:val="21"/>
                <w:sz w:val="21"/>
                <w:szCs w:val="21"/>
                <w:highlight w:val="none"/>
                <w:lang w:val="en-US" w:eastAsia="zh-CN"/>
              </w:rPr>
              <w:t>）。</w:t>
            </w:r>
          </w:p>
        </w:tc>
      </w:tr>
      <w:tr w14:paraId="5669C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2024" w:type="dxa"/>
            <w:noWrap w:val="0"/>
            <w:tcMar>
              <w:top w:w="16" w:type="dxa"/>
              <w:left w:w="16" w:type="dxa"/>
              <w:right w:w="16" w:type="dxa"/>
            </w:tcMar>
            <w:vAlign w:val="center"/>
          </w:tcPr>
          <w:p w14:paraId="2E3ABDEF">
            <w:pPr>
              <w:autoSpaceDE w:val="0"/>
              <w:autoSpaceDN w:val="0"/>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规划环境影响</w:t>
            </w:r>
          </w:p>
          <w:p w14:paraId="11B267C0">
            <w:pPr>
              <w:autoSpaceDE w:val="0"/>
              <w:autoSpaceDN w:val="0"/>
              <w:adjustRightInd w:val="0"/>
              <w:snapToGrid w:val="0"/>
              <w:jc w:val="center"/>
              <w:rPr>
                <w:rFonts w:ascii="宋体" w:hAnsi="宋体" w:cs="宋体"/>
                <w:color w:val="auto"/>
                <w:kern w:val="0"/>
                <w:szCs w:val="21"/>
                <w:highlight w:val="none"/>
              </w:rPr>
            </w:pPr>
            <w:r>
              <w:rPr>
                <w:rFonts w:hint="eastAsia" w:ascii="宋体" w:hAnsi="宋体" w:cs="宋体"/>
                <w:color w:val="auto"/>
                <w:szCs w:val="21"/>
                <w:highlight w:val="none"/>
              </w:rPr>
              <w:t>评价情况</w:t>
            </w:r>
          </w:p>
        </w:tc>
        <w:tc>
          <w:tcPr>
            <w:tcW w:w="7015" w:type="dxa"/>
            <w:gridSpan w:val="4"/>
            <w:noWrap w:val="0"/>
            <w:tcMar>
              <w:top w:w="16" w:type="dxa"/>
              <w:left w:w="16" w:type="dxa"/>
              <w:right w:w="16" w:type="dxa"/>
            </w:tcMar>
            <w:vAlign w:val="center"/>
          </w:tcPr>
          <w:p w14:paraId="1CEF8D3A">
            <w:pPr>
              <w:keepNext w:val="0"/>
              <w:keepLines w:val="0"/>
              <w:pageBreakBefore w:val="0"/>
              <w:widowControl w:val="0"/>
              <w:numPr>
                <w:ilvl w:val="0"/>
                <w:numId w:val="2"/>
              </w:numPr>
              <w:kinsoku/>
              <w:wordWrap/>
              <w:overflowPunct/>
              <w:topLinePunct w:val="0"/>
              <w:autoSpaceDE w:val="0"/>
              <w:autoSpaceDN w:val="0"/>
              <w:bidi w:val="0"/>
              <w:adjustRightInd w:val="0"/>
              <w:snapToGrid w:val="0"/>
              <w:spacing w:line="240" w:lineRule="auto"/>
              <w:ind w:firstLine="420" w:firstLineChars="200"/>
              <w:jc w:val="left"/>
              <w:textAlignment w:val="auto"/>
              <w:rPr>
                <w:rFonts w:hint="default" w:ascii="Times New Roman" w:hAnsi="Times New Roman" w:eastAsia="宋体" w:cs="Times New Roman"/>
                <w:color w:val="auto"/>
                <w:kern w:val="21"/>
                <w:sz w:val="21"/>
                <w:szCs w:val="21"/>
                <w:highlight w:val="none"/>
                <w:lang w:eastAsia="zh-CN"/>
              </w:rPr>
            </w:pPr>
            <w:r>
              <w:rPr>
                <w:rFonts w:hint="default" w:ascii="Times New Roman" w:hAnsi="Times New Roman" w:eastAsia="宋体" w:cs="Times New Roman"/>
                <w:color w:val="auto"/>
                <w:kern w:val="21"/>
                <w:sz w:val="21"/>
                <w:szCs w:val="21"/>
                <w:highlight w:val="none"/>
                <w:lang w:val="en-US" w:eastAsia="zh-CN"/>
              </w:rPr>
              <w:t>规划环评文件：</w:t>
            </w:r>
            <w:r>
              <w:rPr>
                <w:rFonts w:hint="default" w:ascii="Times New Roman" w:hAnsi="Times New Roman" w:eastAsia="宋体" w:cs="Times New Roman"/>
                <w:color w:val="auto"/>
                <w:kern w:val="21"/>
                <w:sz w:val="21"/>
                <w:szCs w:val="21"/>
                <w:highlight w:val="none"/>
                <w:lang w:eastAsia="zh-CN"/>
              </w:rPr>
              <w:t>《</w:t>
            </w:r>
            <w:r>
              <w:rPr>
                <w:rFonts w:hint="default" w:ascii="Times New Roman" w:hAnsi="Times New Roman" w:eastAsia="宋体" w:cs="Times New Roman"/>
                <w:color w:val="auto"/>
                <w:kern w:val="21"/>
                <w:sz w:val="21"/>
                <w:szCs w:val="21"/>
                <w:highlight w:val="none"/>
                <w:lang w:val="en-US" w:eastAsia="zh-CN"/>
              </w:rPr>
              <w:t>内蒙古鄂尔多斯苏里格经济开发区总体规划（2020年版）环境影响报告书</w:t>
            </w:r>
            <w:r>
              <w:rPr>
                <w:rFonts w:hint="default" w:ascii="Times New Roman" w:hAnsi="Times New Roman" w:eastAsia="宋体" w:cs="Times New Roman"/>
                <w:color w:val="auto"/>
                <w:kern w:val="21"/>
                <w:sz w:val="21"/>
                <w:szCs w:val="21"/>
                <w:highlight w:val="none"/>
                <w:lang w:eastAsia="zh-CN"/>
              </w:rPr>
              <w:t>》；</w:t>
            </w:r>
          </w:p>
          <w:p w14:paraId="1D385229">
            <w:pPr>
              <w:keepNext w:val="0"/>
              <w:keepLines w:val="0"/>
              <w:pageBreakBefore w:val="0"/>
              <w:widowControl w:val="0"/>
              <w:numPr>
                <w:ilvl w:val="0"/>
                <w:numId w:val="2"/>
              </w:numPr>
              <w:kinsoku/>
              <w:wordWrap/>
              <w:overflowPunct/>
              <w:topLinePunct w:val="0"/>
              <w:autoSpaceDE w:val="0"/>
              <w:autoSpaceDN w:val="0"/>
              <w:bidi w:val="0"/>
              <w:adjustRightInd w:val="0"/>
              <w:snapToGrid w:val="0"/>
              <w:spacing w:line="240" w:lineRule="auto"/>
              <w:ind w:firstLine="420" w:firstLineChars="200"/>
              <w:jc w:val="left"/>
              <w:textAlignment w:val="auto"/>
              <w:rPr>
                <w:rFonts w:hint="default" w:eastAsia="宋体"/>
                <w:color w:val="auto"/>
                <w:kern w:val="21"/>
                <w:sz w:val="21"/>
                <w:szCs w:val="21"/>
                <w:highlight w:val="none"/>
                <w:lang w:val="en-US" w:eastAsia="zh-CN"/>
              </w:rPr>
            </w:pPr>
            <w:r>
              <w:rPr>
                <w:rFonts w:hint="eastAsia"/>
                <w:color w:val="auto"/>
                <w:kern w:val="21"/>
                <w:sz w:val="21"/>
                <w:szCs w:val="21"/>
                <w:highlight w:val="none"/>
                <w:lang w:val="en-US" w:eastAsia="zh-CN"/>
              </w:rPr>
              <w:t>审查机关：内蒙古自治区生态环境厅；</w:t>
            </w:r>
          </w:p>
          <w:p w14:paraId="5B8E1558">
            <w:pPr>
              <w:keepNext w:val="0"/>
              <w:keepLines w:val="0"/>
              <w:pageBreakBefore w:val="0"/>
              <w:widowControl w:val="0"/>
              <w:kinsoku/>
              <w:wordWrap/>
              <w:overflowPunct/>
              <w:topLinePunct w:val="0"/>
              <w:bidi w:val="0"/>
              <w:adjustRightInd w:val="0"/>
              <w:snapToGrid w:val="0"/>
              <w:ind w:firstLine="420" w:firstLineChars="200"/>
              <w:jc w:val="left"/>
              <w:textAlignment w:val="auto"/>
              <w:rPr>
                <w:rFonts w:ascii="宋体" w:hAnsi="宋体" w:cs="宋体"/>
                <w:color w:val="auto"/>
                <w:kern w:val="0"/>
                <w:szCs w:val="21"/>
                <w:highlight w:val="none"/>
              </w:rPr>
            </w:pPr>
            <w:r>
              <w:rPr>
                <w:rFonts w:hint="default" w:ascii="Times New Roman" w:hAnsi="Times New Roman" w:eastAsia="宋体" w:cs="Times New Roman"/>
                <w:color w:val="auto"/>
                <w:kern w:val="21"/>
                <w:sz w:val="21"/>
                <w:szCs w:val="21"/>
                <w:highlight w:val="none"/>
                <w:lang w:val="en-US" w:eastAsia="zh-CN"/>
              </w:rPr>
              <w:t>（3）审查文件名称及文号：内蒙古自治区生态环境厅关于转发</w:t>
            </w:r>
            <w:r>
              <w:rPr>
                <w:rFonts w:hint="default" w:ascii="Times New Roman" w:hAnsi="Times New Roman" w:eastAsia="宋体" w:cs="Times New Roman"/>
                <w:color w:val="auto"/>
                <w:kern w:val="21"/>
                <w:sz w:val="21"/>
                <w:szCs w:val="21"/>
                <w:highlight w:val="none"/>
                <w:lang w:eastAsia="zh-CN"/>
              </w:rPr>
              <w:t>《</w:t>
            </w:r>
            <w:r>
              <w:rPr>
                <w:rFonts w:hint="default" w:ascii="Times New Roman" w:hAnsi="Times New Roman" w:eastAsia="宋体" w:cs="Times New Roman"/>
                <w:color w:val="auto"/>
                <w:kern w:val="21"/>
                <w:sz w:val="21"/>
                <w:szCs w:val="21"/>
                <w:highlight w:val="none"/>
                <w:lang w:val="en-US" w:eastAsia="zh-CN"/>
              </w:rPr>
              <w:t>内蒙古鄂尔多斯苏里格经济开发区总体规划（2020年版）环境影响报告书</w:t>
            </w:r>
            <w:r>
              <w:rPr>
                <w:rFonts w:hint="default" w:ascii="Times New Roman" w:hAnsi="Times New Roman" w:eastAsia="宋体" w:cs="Times New Roman"/>
                <w:color w:val="auto"/>
                <w:kern w:val="21"/>
                <w:sz w:val="21"/>
                <w:szCs w:val="21"/>
                <w:highlight w:val="none"/>
                <w:lang w:eastAsia="zh-CN"/>
              </w:rPr>
              <w:t>》</w:t>
            </w:r>
            <w:r>
              <w:rPr>
                <w:rFonts w:hint="default" w:ascii="Times New Roman" w:hAnsi="Times New Roman" w:eastAsia="宋体" w:cs="Times New Roman"/>
                <w:color w:val="auto"/>
                <w:kern w:val="21"/>
                <w:sz w:val="21"/>
                <w:szCs w:val="21"/>
                <w:highlight w:val="none"/>
                <w:lang w:val="en-US" w:eastAsia="zh-CN"/>
              </w:rPr>
              <w:t>审查意见的函（内环函〔2020〕177号）。</w:t>
            </w:r>
          </w:p>
        </w:tc>
      </w:tr>
      <w:tr w14:paraId="7E7D6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7" w:hRule="atLeast"/>
        </w:trPr>
        <w:tc>
          <w:tcPr>
            <w:tcW w:w="2024" w:type="dxa"/>
            <w:noWrap w:val="0"/>
            <w:tcMar>
              <w:top w:w="16" w:type="dxa"/>
              <w:left w:w="16" w:type="dxa"/>
              <w:right w:w="16" w:type="dxa"/>
            </w:tcMar>
            <w:vAlign w:val="center"/>
          </w:tcPr>
          <w:p w14:paraId="53F475C9">
            <w:pPr>
              <w:autoSpaceDE w:val="0"/>
              <w:autoSpaceDN w:val="0"/>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规划及</w:t>
            </w:r>
            <w:r>
              <w:rPr>
                <w:rFonts w:hint="eastAsia" w:ascii="宋体" w:hAnsi="宋体" w:cs="宋体"/>
                <w:color w:val="auto"/>
                <w:szCs w:val="21"/>
                <w:highlight w:val="none"/>
              </w:rPr>
              <w:t>规划环境影响评价</w:t>
            </w:r>
            <w:r>
              <w:rPr>
                <w:rFonts w:hint="eastAsia" w:ascii="宋体" w:hAnsi="宋体" w:cs="宋体"/>
                <w:color w:val="auto"/>
                <w:kern w:val="0"/>
                <w:szCs w:val="21"/>
                <w:highlight w:val="none"/>
              </w:rPr>
              <w:t>符合性分析</w:t>
            </w:r>
          </w:p>
        </w:tc>
        <w:tc>
          <w:tcPr>
            <w:tcW w:w="7015" w:type="dxa"/>
            <w:gridSpan w:val="4"/>
            <w:noWrap w:val="0"/>
            <w:tcMar>
              <w:top w:w="16" w:type="dxa"/>
              <w:left w:w="16" w:type="dxa"/>
              <w:right w:w="16" w:type="dxa"/>
            </w:tcMar>
            <w:vAlign w:val="center"/>
          </w:tcPr>
          <w:p w14:paraId="4DC0A946">
            <w:pPr>
              <w:pStyle w:val="4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1、与开发区发展规划的符合性分析</w:t>
            </w:r>
          </w:p>
          <w:p w14:paraId="714902F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根据</w:t>
            </w:r>
            <w:r>
              <w:rPr>
                <w:rFonts w:hint="default" w:ascii="Times New Roman" w:hAnsi="Times New Roman" w:eastAsia="宋体" w:cs="Times New Roman"/>
                <w:b w:val="0"/>
                <w:bCs w:val="0"/>
                <w:color w:val="auto"/>
                <w:kern w:val="21"/>
                <w:sz w:val="21"/>
                <w:szCs w:val="21"/>
                <w:highlight w:val="none"/>
                <w:lang w:val="en-US" w:eastAsia="zh-CN"/>
              </w:rPr>
              <w:t>《内蒙古鄂尔多斯苏里格经济开发区总体规划（2014-2030）（2020年修改版）》，现代煤化工产业的发展目标为：成为开</w:t>
            </w:r>
            <w:r>
              <w:rPr>
                <w:rFonts w:hint="default" w:ascii="Times New Roman" w:hAnsi="Times New Roman" w:eastAsia="宋体" w:cs="Times New Roman"/>
                <w:b w:val="0"/>
                <w:bCs w:val="0"/>
                <w:color w:val="auto"/>
                <w:kern w:val="0"/>
                <w:sz w:val="21"/>
                <w:szCs w:val="21"/>
                <w:highlight w:val="none"/>
                <w:lang w:val="en-US" w:eastAsia="zh-CN" w:bidi="ar"/>
              </w:rPr>
              <w:t>发区产业体系的主导产业</w:t>
            </w:r>
            <w:r>
              <w:rPr>
                <w:rFonts w:hint="eastAsia" w:ascii="Times New Roman" w:hAnsi="Times New Roman" w:eastAsia="宋体" w:cs="Times New Roman"/>
                <w:b w:val="0"/>
                <w:bCs w:val="0"/>
                <w:color w:val="auto"/>
                <w:kern w:val="21"/>
                <w:sz w:val="21"/>
                <w:szCs w:val="21"/>
                <w:highlight w:val="none"/>
                <w:lang w:val="en-US" w:eastAsia="zh-CN"/>
              </w:rPr>
              <w:t>；</w:t>
            </w:r>
            <w:r>
              <w:rPr>
                <w:rFonts w:hint="default" w:ascii="Times New Roman" w:hAnsi="Times New Roman" w:eastAsia="宋体" w:cs="Times New Roman"/>
                <w:b w:val="0"/>
                <w:bCs w:val="0"/>
                <w:color w:val="auto"/>
                <w:kern w:val="21"/>
                <w:sz w:val="21"/>
                <w:szCs w:val="21"/>
                <w:highlight w:val="none"/>
                <w:lang w:val="en-US" w:eastAsia="zh-CN"/>
              </w:rPr>
              <w:t>重点发展方向</w:t>
            </w:r>
            <w:r>
              <w:rPr>
                <w:rFonts w:hint="eastAsia" w:ascii="Times New Roman" w:hAnsi="Times New Roman" w:eastAsia="宋体" w:cs="Times New Roman"/>
                <w:b w:val="0"/>
                <w:bCs w:val="0"/>
                <w:color w:val="auto"/>
                <w:kern w:val="21"/>
                <w:sz w:val="21"/>
                <w:szCs w:val="21"/>
                <w:highlight w:val="none"/>
                <w:lang w:val="en-US" w:eastAsia="zh-CN"/>
              </w:rPr>
              <w:t>包括：</w:t>
            </w:r>
            <w:r>
              <w:rPr>
                <w:rFonts w:hint="default" w:ascii="Times New Roman" w:hAnsi="Times New Roman" w:eastAsia="宋体" w:cs="Times New Roman"/>
                <w:b w:val="0"/>
                <w:bCs w:val="0"/>
                <w:color w:val="auto"/>
                <w:kern w:val="0"/>
                <w:sz w:val="21"/>
                <w:szCs w:val="21"/>
                <w:highlight w:val="none"/>
                <w:lang w:val="en-US" w:eastAsia="zh-CN" w:bidi="ar"/>
              </w:rPr>
              <w:t>煤制烯烃及下游深加工产业，煤制甲醇、乙二醇及下游，合成氨、尿素、联碱及下游产业</w:t>
            </w:r>
            <w:r>
              <w:rPr>
                <w:rFonts w:hint="eastAsia" w:ascii="Times New Roman" w:hAnsi="Times New Roman" w:eastAsia="宋体" w:cs="Times New Roman"/>
                <w:b w:val="0"/>
                <w:bCs w:val="0"/>
                <w:color w:val="auto"/>
                <w:kern w:val="0"/>
                <w:sz w:val="21"/>
                <w:szCs w:val="21"/>
                <w:highlight w:val="none"/>
                <w:lang w:val="en-US" w:eastAsia="zh-CN" w:bidi="ar"/>
              </w:rPr>
              <w:t>。</w:t>
            </w:r>
          </w:p>
          <w:p w14:paraId="7699254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eastAsia="宋体"/>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本项目为现代煤化工中试基地基础设施工程，</w:t>
            </w:r>
            <w:r>
              <w:rPr>
                <w:rFonts w:hint="eastAsia" w:ascii="Times New Roman" w:hAnsi="Times New Roman" w:eastAsia="宋体" w:cs="Times New Roman"/>
                <w:b w:val="0"/>
                <w:bCs w:val="0"/>
                <w:color w:val="auto"/>
                <w:sz w:val="21"/>
                <w:szCs w:val="21"/>
                <w:highlight w:val="none"/>
                <w:lang w:val="en-US" w:eastAsia="zh-CN"/>
              </w:rPr>
              <w:t>建成后为煤化工中试项目提供生产厂房或实验用地。中试基地</w:t>
            </w:r>
            <w:r>
              <w:rPr>
                <w:rFonts w:ascii="宋体" w:hAnsi="宋体" w:eastAsia="宋体" w:cs="宋体"/>
                <w:color w:val="auto"/>
                <w:kern w:val="0"/>
                <w:sz w:val="21"/>
                <w:szCs w:val="21"/>
                <w:highlight w:val="none"/>
                <w:lang w:val="en-US" w:eastAsia="zh-CN" w:bidi="ar"/>
              </w:rPr>
              <w:t>属于</w:t>
            </w:r>
            <w:r>
              <w:rPr>
                <w:rFonts w:hint="eastAsia" w:ascii="宋体" w:hAnsi="宋体" w:eastAsia="宋体" w:cs="宋体"/>
                <w:color w:val="auto"/>
                <w:kern w:val="0"/>
                <w:sz w:val="21"/>
                <w:szCs w:val="21"/>
                <w:highlight w:val="none"/>
                <w:lang w:val="en-US" w:eastAsia="zh-CN" w:bidi="ar"/>
              </w:rPr>
              <w:t>现代</w:t>
            </w:r>
            <w:r>
              <w:rPr>
                <w:rFonts w:ascii="宋体" w:hAnsi="宋体" w:eastAsia="宋体" w:cs="宋体"/>
                <w:color w:val="auto"/>
                <w:kern w:val="0"/>
                <w:sz w:val="21"/>
                <w:szCs w:val="21"/>
                <w:highlight w:val="none"/>
                <w:lang w:val="en-US" w:eastAsia="zh-CN" w:bidi="ar"/>
              </w:rPr>
              <w:t>煤化工产业链的技术研发与创新配套项目</w:t>
            </w:r>
            <w:r>
              <w:rPr>
                <w:rFonts w:hint="eastAsia" w:ascii="宋体" w:hAnsi="宋体" w:eastAsia="宋体" w:cs="宋体"/>
                <w:color w:val="auto"/>
                <w:kern w:val="0"/>
                <w:sz w:val="21"/>
                <w:szCs w:val="21"/>
                <w:highlight w:val="none"/>
                <w:lang w:val="en-US" w:eastAsia="zh-CN" w:bidi="ar"/>
              </w:rPr>
              <w:t>，因此符合园区发展规划。</w:t>
            </w:r>
          </w:p>
          <w:p w14:paraId="7B38C78A">
            <w:pPr>
              <w:pStyle w:val="4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与规划环评</w:t>
            </w:r>
            <w:r>
              <w:rPr>
                <w:rFonts w:hint="default" w:ascii="Times New Roman" w:hAnsi="Times New Roman" w:eastAsia="宋体" w:cs="Times New Roman"/>
                <w:b/>
                <w:bCs/>
                <w:color w:val="auto"/>
                <w:kern w:val="0"/>
                <w:sz w:val="21"/>
                <w:szCs w:val="21"/>
                <w:highlight w:val="none"/>
                <w:lang w:val="en-US" w:eastAsia="zh-CN"/>
              </w:rPr>
              <w:t>产业定位、产业布局、园区准入条件符合性分析</w:t>
            </w:r>
          </w:p>
          <w:p w14:paraId="0358ECAF">
            <w:pPr>
              <w:pStyle w:val="4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sz w:val="21"/>
                <w:szCs w:val="21"/>
                <w:highlight w:val="none"/>
              </w:rPr>
              <w:t>根据</w:t>
            </w:r>
            <w:r>
              <w:rPr>
                <w:rFonts w:hint="default" w:ascii="Times New Roman" w:hAnsi="Times New Roman" w:eastAsia="宋体" w:cs="Times New Roman"/>
                <w:color w:val="auto"/>
                <w:kern w:val="0"/>
                <w:sz w:val="21"/>
                <w:szCs w:val="21"/>
                <w:highlight w:val="none"/>
              </w:rPr>
              <w:t>《内蒙古鄂尔多斯苏里格经济开发区总体规划（2020年版）环境影响报告书》</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本项目与规划环评产业定位、产业布局、园区准入条件的符合性分析见表1-</w:t>
            </w:r>
            <w:r>
              <w:rPr>
                <w:rFonts w:hint="eastAsia"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lang w:val="en-US" w:eastAsia="zh-CN"/>
              </w:rPr>
              <w:t>。</w:t>
            </w:r>
          </w:p>
          <w:p w14:paraId="31DE9A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1-</w:t>
            </w:r>
            <w:r>
              <w:rPr>
                <w:rFonts w:hint="eastAsia" w:ascii="Times New Roman" w:hAnsi="Times New Roman" w:eastAsia="宋体" w:cs="Times New Roman"/>
                <w:b/>
                <w:color w:val="auto"/>
                <w:sz w:val="21"/>
                <w:szCs w:val="21"/>
                <w:highlight w:val="none"/>
                <w:lang w:val="en-US" w:eastAsia="zh-CN"/>
              </w:rPr>
              <w:t>2</w:t>
            </w:r>
            <w:r>
              <w:rPr>
                <w:rFonts w:hint="default" w:ascii="Times New Roman" w:hAnsi="Times New Roman" w:eastAsia="宋体" w:cs="Times New Roman"/>
                <w:b/>
                <w:color w:val="auto"/>
                <w:sz w:val="21"/>
                <w:szCs w:val="21"/>
                <w:highlight w:val="none"/>
              </w:rPr>
              <w:t xml:space="preserve">    本项目与园区规划环评的符合性分析一览表</w:t>
            </w:r>
          </w:p>
          <w:tbl>
            <w:tblPr>
              <w:tblStyle w:val="24"/>
              <w:tblW w:w="499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35"/>
              <w:gridCol w:w="649"/>
              <w:gridCol w:w="3469"/>
              <w:gridCol w:w="1839"/>
              <w:gridCol w:w="584"/>
            </w:tblGrid>
            <w:tr w14:paraId="075107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312" w:type="pct"/>
                  <w:tcBorders>
                    <w:tl2br w:val="nil"/>
                    <w:tr2bl w:val="nil"/>
                  </w:tcBorders>
                  <w:noWrap w:val="0"/>
                  <w:vAlign w:val="center"/>
                </w:tcPr>
                <w:p w14:paraId="00ADEDCB">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序号</w:t>
                  </w:r>
                </w:p>
              </w:tc>
              <w:tc>
                <w:tcPr>
                  <w:tcW w:w="465" w:type="pct"/>
                  <w:tcBorders>
                    <w:tl2br w:val="nil"/>
                    <w:tr2bl w:val="nil"/>
                  </w:tcBorders>
                  <w:noWrap w:val="0"/>
                  <w:vAlign w:val="center"/>
                </w:tcPr>
                <w:p w14:paraId="00CBD3BD">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内容</w:t>
                  </w:r>
                </w:p>
              </w:tc>
              <w:tc>
                <w:tcPr>
                  <w:tcW w:w="2485" w:type="pct"/>
                  <w:tcBorders>
                    <w:tl2br w:val="nil"/>
                    <w:tr2bl w:val="nil"/>
                  </w:tcBorders>
                  <w:noWrap w:val="0"/>
                  <w:vAlign w:val="center"/>
                </w:tcPr>
                <w:p w14:paraId="11BA9AD7">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规划环评要求</w:t>
                  </w:r>
                </w:p>
              </w:tc>
              <w:tc>
                <w:tcPr>
                  <w:tcW w:w="1317" w:type="pct"/>
                  <w:tcBorders>
                    <w:tl2br w:val="nil"/>
                    <w:tr2bl w:val="nil"/>
                  </w:tcBorders>
                  <w:noWrap w:val="0"/>
                  <w:vAlign w:val="center"/>
                </w:tcPr>
                <w:p w14:paraId="5747BF49">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本项目建设情况</w:t>
                  </w:r>
                </w:p>
              </w:tc>
              <w:tc>
                <w:tcPr>
                  <w:tcW w:w="418" w:type="pct"/>
                  <w:tcBorders>
                    <w:tl2br w:val="nil"/>
                    <w:tr2bl w:val="nil"/>
                  </w:tcBorders>
                  <w:noWrap w:val="0"/>
                  <w:vAlign w:val="center"/>
                </w:tcPr>
                <w:p w14:paraId="1F4FF546">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符合性</w:t>
                  </w:r>
                </w:p>
              </w:tc>
            </w:tr>
            <w:tr w14:paraId="04AFAC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312" w:type="pct"/>
                  <w:tcBorders>
                    <w:tl2br w:val="nil"/>
                    <w:tr2bl w:val="nil"/>
                  </w:tcBorders>
                  <w:noWrap w:val="0"/>
                  <w:vAlign w:val="center"/>
                </w:tcPr>
                <w:p w14:paraId="6AE64B46">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1</w:t>
                  </w:r>
                </w:p>
              </w:tc>
              <w:tc>
                <w:tcPr>
                  <w:tcW w:w="465" w:type="pct"/>
                  <w:tcBorders>
                    <w:tl2br w:val="nil"/>
                    <w:tr2bl w:val="nil"/>
                  </w:tcBorders>
                  <w:noWrap w:val="0"/>
                  <w:vAlign w:val="center"/>
                </w:tcPr>
                <w:p w14:paraId="37A8E68C">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产业</w:t>
                  </w:r>
                </w:p>
                <w:p w14:paraId="7E8EFED2">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定位</w:t>
                  </w:r>
                </w:p>
              </w:tc>
              <w:tc>
                <w:tcPr>
                  <w:tcW w:w="2485" w:type="pct"/>
                  <w:tcBorders>
                    <w:tl2br w:val="nil"/>
                    <w:tr2bl w:val="nil"/>
                  </w:tcBorders>
                  <w:noWrap w:val="0"/>
                  <w:vAlign w:val="center"/>
                </w:tcPr>
                <w:p w14:paraId="4521CEFF">
                  <w:pPr>
                    <w:keepNext w:val="0"/>
                    <w:keepLines w:val="0"/>
                    <w:pageBreakBefore w:val="0"/>
                    <w:widowControl/>
                    <w:suppressLineNumbers w:val="0"/>
                    <w:kinsoku/>
                    <w:wordWrap/>
                    <w:overflowPunct/>
                    <w:topLinePunct w:val="0"/>
                    <w:bidi w:val="0"/>
                    <w:adjustRightInd/>
                    <w:snapToGrid/>
                    <w:jc w:val="left"/>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kern w:val="0"/>
                      <w:sz w:val="18"/>
                      <w:szCs w:val="18"/>
                      <w:highlight w:val="none"/>
                      <w:lang w:val="en-US" w:eastAsia="zh-CN" w:bidi="ar"/>
                    </w:rPr>
                    <w:t>园区发展定位为：煤基能源产业及煤制化学品生产基地。主导产业为煤化工。重点发展煤炭产业、煤基新能源（甲醇、烯烃、煤制天然气）、煤基替代石化产品（甲醇制烯烃及下游深加工产品、煤制乙二醇等）、煤基化学品（合成氨、尿素）等基础产品。</w:t>
                  </w:r>
                </w:p>
              </w:tc>
              <w:tc>
                <w:tcPr>
                  <w:tcW w:w="1317" w:type="pct"/>
                  <w:tcBorders>
                    <w:tl2br w:val="nil"/>
                    <w:tr2bl w:val="nil"/>
                  </w:tcBorders>
                  <w:noWrap w:val="0"/>
                  <w:vAlign w:val="center"/>
                </w:tcPr>
                <w:p w14:paraId="26742997">
                  <w:pPr>
                    <w:widowControl/>
                    <w:autoSpaceDE w:val="0"/>
                    <w:autoSpaceDN w:val="0"/>
                    <w:adjustRightInd w:val="0"/>
                    <w:rPr>
                      <w:rFonts w:hint="default" w:eastAsia="宋体"/>
                      <w:bCs/>
                      <w:color w:val="auto"/>
                      <w:kern w:val="0"/>
                      <w:sz w:val="18"/>
                      <w:szCs w:val="18"/>
                      <w:highlight w:val="none"/>
                      <w:lang w:val="en-US" w:eastAsia="zh-CN"/>
                    </w:rPr>
                  </w:pPr>
                  <w:r>
                    <w:rPr>
                      <w:rFonts w:hint="eastAsia"/>
                      <w:bCs/>
                      <w:color w:val="auto"/>
                      <w:kern w:val="0"/>
                      <w:sz w:val="18"/>
                      <w:szCs w:val="18"/>
                      <w:highlight w:val="none"/>
                      <w:lang w:val="en-US" w:eastAsia="zh-CN"/>
                    </w:rPr>
                    <w:t>本项目为煤化工中试基地基础设施工程，符合园区产业定位。</w:t>
                  </w:r>
                </w:p>
              </w:tc>
              <w:tc>
                <w:tcPr>
                  <w:tcW w:w="418" w:type="pct"/>
                  <w:tcBorders>
                    <w:tl2br w:val="nil"/>
                    <w:tr2bl w:val="nil"/>
                  </w:tcBorders>
                  <w:noWrap w:val="0"/>
                  <w:vAlign w:val="center"/>
                </w:tcPr>
                <w:p w14:paraId="260B2CC8">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符合</w:t>
                  </w:r>
                </w:p>
              </w:tc>
            </w:tr>
            <w:tr w14:paraId="64F7CD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82" w:hRule="atLeast"/>
                <w:jc w:val="center"/>
              </w:trPr>
              <w:tc>
                <w:tcPr>
                  <w:tcW w:w="312" w:type="pct"/>
                  <w:tcBorders>
                    <w:tl2br w:val="nil"/>
                    <w:tr2bl w:val="nil"/>
                  </w:tcBorders>
                  <w:noWrap w:val="0"/>
                  <w:vAlign w:val="center"/>
                </w:tcPr>
                <w:p w14:paraId="15B01330">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2</w:t>
                  </w:r>
                </w:p>
              </w:tc>
              <w:tc>
                <w:tcPr>
                  <w:tcW w:w="465" w:type="pct"/>
                  <w:tcBorders>
                    <w:tl2br w:val="nil"/>
                    <w:tr2bl w:val="nil"/>
                  </w:tcBorders>
                  <w:noWrap w:val="0"/>
                  <w:vAlign w:val="center"/>
                </w:tcPr>
                <w:p w14:paraId="0FB22163">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功能区</w:t>
                  </w:r>
                </w:p>
                <w:p w14:paraId="3EACAB51">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布局</w:t>
                  </w:r>
                  <w:r>
                    <w:rPr>
                      <w:rFonts w:hint="eastAsia"/>
                      <w:bCs/>
                      <w:color w:val="auto"/>
                      <w:kern w:val="0"/>
                      <w:sz w:val="18"/>
                      <w:szCs w:val="18"/>
                      <w:highlight w:val="none"/>
                    </w:rPr>
                    <w:t>定位</w:t>
                  </w:r>
                </w:p>
              </w:tc>
              <w:tc>
                <w:tcPr>
                  <w:tcW w:w="2485" w:type="pct"/>
                  <w:tcBorders>
                    <w:tl2br w:val="nil"/>
                    <w:tr2bl w:val="nil"/>
                  </w:tcBorders>
                  <w:noWrap w:val="0"/>
                  <w:vAlign w:val="center"/>
                </w:tcPr>
                <w:p w14:paraId="50C39A9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0"/>
                      <w:sz w:val="18"/>
                      <w:szCs w:val="18"/>
                      <w:highlight w:val="none"/>
                    </w:rPr>
                  </w:pPr>
                  <w:r>
                    <w:rPr>
                      <w:rFonts w:hint="default" w:ascii="Times New Roman" w:hAnsi="Times New Roman" w:eastAsia="宋体" w:cs="Times New Roman"/>
                      <w:color w:val="auto"/>
                      <w:sz w:val="18"/>
                      <w:szCs w:val="18"/>
                      <w:highlight w:val="none"/>
                    </w:rPr>
                    <w:t>规划化工片区两处 （南、 北化工片区），废渣综合利用片区一处，并配套建设综合服务片区一处。</w:t>
                  </w:r>
                </w:p>
              </w:tc>
              <w:tc>
                <w:tcPr>
                  <w:tcW w:w="1317" w:type="pct"/>
                  <w:tcBorders>
                    <w:tl2br w:val="nil"/>
                    <w:tr2bl w:val="nil"/>
                  </w:tcBorders>
                  <w:noWrap w:val="0"/>
                  <w:vAlign w:val="center"/>
                </w:tcPr>
                <w:p w14:paraId="577F56F9">
                  <w:pPr>
                    <w:widowControl/>
                    <w:autoSpaceDE w:val="0"/>
                    <w:autoSpaceDN w:val="0"/>
                    <w:adjustRightInd w:val="0"/>
                    <w:rPr>
                      <w:rFonts w:hint="default" w:eastAsia="宋体"/>
                      <w:bCs/>
                      <w:color w:val="auto"/>
                      <w:kern w:val="0"/>
                      <w:sz w:val="18"/>
                      <w:szCs w:val="18"/>
                      <w:highlight w:val="none"/>
                      <w:lang w:val="en-US" w:eastAsia="zh-CN"/>
                    </w:rPr>
                  </w:pPr>
                  <w:r>
                    <w:rPr>
                      <w:rFonts w:hint="eastAsia" w:eastAsia="宋体"/>
                      <w:bCs/>
                      <w:color w:val="auto"/>
                      <w:kern w:val="0"/>
                      <w:sz w:val="18"/>
                      <w:szCs w:val="18"/>
                      <w:highlight w:val="none"/>
                      <w:lang w:val="en-US" w:eastAsia="zh-CN"/>
                    </w:rPr>
                    <w:t>本项目位于南化工片区。</w:t>
                  </w:r>
                </w:p>
              </w:tc>
              <w:tc>
                <w:tcPr>
                  <w:tcW w:w="418" w:type="pct"/>
                  <w:tcBorders>
                    <w:tl2br w:val="nil"/>
                    <w:tr2bl w:val="nil"/>
                  </w:tcBorders>
                  <w:noWrap w:val="0"/>
                  <w:vAlign w:val="center"/>
                </w:tcPr>
                <w:p w14:paraId="45B7B490">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符合</w:t>
                  </w:r>
                </w:p>
              </w:tc>
            </w:tr>
            <w:tr w14:paraId="7E9735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5" w:hRule="atLeast"/>
                <w:jc w:val="center"/>
              </w:trPr>
              <w:tc>
                <w:tcPr>
                  <w:tcW w:w="312" w:type="pct"/>
                  <w:tcBorders>
                    <w:tl2br w:val="nil"/>
                    <w:tr2bl w:val="nil"/>
                  </w:tcBorders>
                  <w:noWrap w:val="0"/>
                  <w:vAlign w:val="center"/>
                </w:tcPr>
                <w:p w14:paraId="51A05C25">
                  <w:pPr>
                    <w:widowControl/>
                    <w:autoSpaceDE w:val="0"/>
                    <w:autoSpaceDN w:val="0"/>
                    <w:adjustRightInd w:val="0"/>
                    <w:spacing w:line="300" w:lineRule="exact"/>
                    <w:jc w:val="center"/>
                    <w:rPr>
                      <w:rFonts w:hint="eastAsia" w:eastAsia="宋体"/>
                      <w:bCs/>
                      <w:color w:val="auto"/>
                      <w:kern w:val="0"/>
                      <w:sz w:val="18"/>
                      <w:szCs w:val="18"/>
                      <w:highlight w:val="none"/>
                      <w:lang w:eastAsia="zh-CN"/>
                    </w:rPr>
                  </w:pPr>
                  <w:r>
                    <w:rPr>
                      <w:rFonts w:hint="eastAsia"/>
                      <w:bCs/>
                      <w:color w:val="auto"/>
                      <w:kern w:val="0"/>
                      <w:sz w:val="18"/>
                      <w:szCs w:val="18"/>
                      <w:highlight w:val="none"/>
                      <w:lang w:val="en-US" w:eastAsia="zh-CN"/>
                    </w:rPr>
                    <w:t>3</w:t>
                  </w:r>
                </w:p>
              </w:tc>
              <w:tc>
                <w:tcPr>
                  <w:tcW w:w="465" w:type="pct"/>
                  <w:tcBorders>
                    <w:tl2br w:val="nil"/>
                    <w:tr2bl w:val="nil"/>
                  </w:tcBorders>
                  <w:noWrap w:val="0"/>
                  <w:vAlign w:val="center"/>
                </w:tcPr>
                <w:p w14:paraId="3FB7AFBF">
                  <w:pPr>
                    <w:widowControl/>
                    <w:autoSpaceDE w:val="0"/>
                    <w:autoSpaceDN w:val="0"/>
                    <w:adjustRightInd w:val="0"/>
                    <w:jc w:val="center"/>
                    <w:rPr>
                      <w:rFonts w:hint="eastAsia" w:eastAsia="宋体"/>
                      <w:bCs/>
                      <w:color w:val="auto"/>
                      <w:kern w:val="0"/>
                      <w:sz w:val="18"/>
                      <w:szCs w:val="18"/>
                      <w:highlight w:val="none"/>
                      <w:lang w:eastAsia="zh-CN"/>
                    </w:rPr>
                  </w:pPr>
                  <w:r>
                    <w:rPr>
                      <w:rFonts w:hint="eastAsia"/>
                      <w:bCs/>
                      <w:color w:val="auto"/>
                      <w:kern w:val="0"/>
                      <w:sz w:val="18"/>
                      <w:szCs w:val="18"/>
                      <w:highlight w:val="none"/>
                      <w:lang w:val="en-US" w:eastAsia="zh-CN"/>
                    </w:rPr>
                    <w:t>准入条件</w:t>
                  </w:r>
                </w:p>
              </w:tc>
              <w:tc>
                <w:tcPr>
                  <w:tcW w:w="2485" w:type="pct"/>
                  <w:tcBorders>
                    <w:tl2br w:val="nil"/>
                    <w:tr2bl w:val="nil"/>
                  </w:tcBorders>
                  <w:noWrap w:val="0"/>
                  <w:vAlign w:val="center"/>
                </w:tcPr>
                <w:p w14:paraId="214AC6EA">
                  <w:pPr>
                    <w:keepNext w:val="0"/>
                    <w:keepLines w:val="0"/>
                    <w:pageBreakBefore w:val="0"/>
                    <w:widowControl w:val="0"/>
                    <w:kinsoku/>
                    <w:wordWrap/>
                    <w:overflowPunct/>
                    <w:topLinePunct w:val="0"/>
                    <w:autoSpaceDE/>
                    <w:autoSpaceDN/>
                    <w:bidi w:val="0"/>
                    <w:spacing w:line="240" w:lineRule="auto"/>
                    <w:ind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开发区优先引入节水型项目和产业链配套项目，工业固废综合利用项目及产业链配套项目。优先安排符合循环经济产业体系的重点项目入区入园，优先配置相应的用水、用地指标和排污指标。清洁生产水平必须达到国内先进水平或者国际先进水平。</w:t>
                  </w:r>
                </w:p>
                <w:p w14:paraId="6D0F5C48">
                  <w:pPr>
                    <w:pStyle w:val="47"/>
                    <w:keepNext w:val="0"/>
                    <w:keepLines w:val="0"/>
                    <w:pageBreakBefore w:val="0"/>
                    <w:widowControl w:val="0"/>
                    <w:kinsoku/>
                    <w:wordWrap/>
                    <w:overflowPunct/>
                    <w:topLinePunct w:val="0"/>
                    <w:autoSpaceDE/>
                    <w:autoSpaceDN/>
                    <w:bidi w:val="0"/>
                    <w:adjustRightInd/>
                    <w:snapToGrid w:val="0"/>
                    <w:spacing w:line="240" w:lineRule="auto"/>
                    <w:ind w:left="0" w:firstLine="0" w:firstLineChars="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拟进入开发区的现代煤化工项目，必须符合《现代煤化工建设项目环境准入条件（试行）》（环办[2015]111号）要求。根据《水污染防治行动计划（国发〔2015〕17号）》，氮肥行业尿素生产采用工艺冷凝液水解解析技术。同时，开发区应坚持“环境保护优化经济发展”的原则，控制煤化工行业发展规模，突出示范，提升水平。</w:t>
                  </w:r>
                </w:p>
                <w:p w14:paraId="05E84885">
                  <w:pPr>
                    <w:pStyle w:val="47"/>
                    <w:keepNext w:val="0"/>
                    <w:keepLines w:val="0"/>
                    <w:pageBreakBefore w:val="0"/>
                    <w:widowControl w:val="0"/>
                    <w:kinsoku/>
                    <w:wordWrap/>
                    <w:overflowPunct/>
                    <w:topLinePunct w:val="0"/>
                    <w:autoSpaceDE/>
                    <w:autoSpaceDN/>
                    <w:bidi w:val="0"/>
                    <w:adjustRightInd/>
                    <w:snapToGrid w:val="0"/>
                    <w:spacing w:line="240" w:lineRule="auto"/>
                    <w:ind w:left="0" w:firstLine="0" w:firstLineChars="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开发区存在无纳污水体的环境限制，拟入区项目产生的废水，必须有可靠的处理去向，不得进入周边水体。在废水处理技术、废水处置方案、结晶盐利用与处置方案等方面具有环保示范意义的项目，优先进入开发区。</w:t>
                  </w:r>
                </w:p>
                <w:p w14:paraId="534CCD01">
                  <w:pPr>
                    <w:keepNext w:val="0"/>
                    <w:keepLines w:val="0"/>
                    <w:pageBreakBefore w:val="0"/>
                    <w:widowControl w:val="0"/>
                    <w:kinsoku/>
                    <w:wordWrap/>
                    <w:overflowPunct/>
                    <w:topLinePunct w:val="0"/>
                    <w:autoSpaceDE/>
                    <w:autoSpaceDN/>
                    <w:bidi w:val="0"/>
                    <w:spacing w:line="240" w:lineRule="auto"/>
                    <w:ind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（4）以水定产，开发区引入项目应重点评估水耗指标，取用地表水不得挤占生态用水、生活用水和农业用水。禁止取用地下水作为生产用水。绿化用水采用中水，禁止继续开采地下水作为绿化用水。</w:t>
                  </w:r>
                </w:p>
                <w:p w14:paraId="40FE004D">
                  <w:pPr>
                    <w:keepNext w:val="0"/>
                    <w:keepLines w:val="0"/>
                    <w:pageBreakBefore w:val="0"/>
                    <w:widowControl w:val="0"/>
                    <w:kinsoku/>
                    <w:wordWrap/>
                    <w:overflowPunct/>
                    <w:topLinePunct w:val="0"/>
                    <w:autoSpaceDE/>
                    <w:autoSpaceDN/>
                    <w:bidi w:val="0"/>
                    <w:spacing w:line="240" w:lineRule="auto"/>
                    <w:ind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5）进入开发区的煤化工项目，设备动静密封点、有机液体储存和装卸、污水收集暂存和处理系统、备煤、储煤等环节应采取措施有效控制挥发性有机物（VOCs）、恶臭物质及有毒有害污染物的逸散与排放。非正常排放的废气应送专有设备或火炬等设施处理，严禁直接排放。在煤化工行业污染物排放标准出台前，加热炉烟气、酸性气回收装置尾气以及VOCs 等应根据项目生产产品的种类暂按《石油炼制工业污染物排放标准》（GB 31570）或《石油化学工业污染物排放标准》（GB 31571）相关要求进行控制。按照国家及地方规定设置防护距离，建设煤气化装置的，应满足《煤制气业卫生防护距离》（GB/T 17222）要求，建设肥料制造业（氮肥制造业），还应满足《肥料制造业（氮肥制造业）卫生防护距离》要求。防护距离范围内的土地不得规划居住、教育、医疗等功能。</w:t>
                  </w:r>
                </w:p>
                <w:p w14:paraId="04297BEB">
                  <w:pPr>
                    <w:keepNext w:val="0"/>
                    <w:keepLines w:val="0"/>
                    <w:pageBreakBefore w:val="0"/>
                    <w:widowControl w:val="0"/>
                    <w:kinsoku/>
                    <w:wordWrap/>
                    <w:overflowPunct/>
                    <w:topLinePunct w:val="0"/>
                    <w:autoSpaceDE/>
                    <w:autoSpaceDN/>
                    <w:bidi w:val="0"/>
                    <w:spacing w:line="240" w:lineRule="auto"/>
                    <w:ind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6）开发区内企业产生的工业固废临时贮存，应分类管理、隔离分区贮存，尤其是粉煤灰、气化灰渣应单独贮存，方便后续综合利用。废水处理产生的无法资源化利用的盐泥暂按危险废物进行管理；作为副产品外售的应满足适用的产品质量标准要求，并确保作为产品使用时不产生环境问题。</w:t>
                  </w:r>
                </w:p>
                <w:p w14:paraId="738986AE">
                  <w:pPr>
                    <w:keepNext w:val="0"/>
                    <w:keepLines w:val="0"/>
                    <w:pageBreakBefore w:val="0"/>
                    <w:widowControl w:val="0"/>
                    <w:kinsoku/>
                    <w:wordWrap/>
                    <w:overflowPunct/>
                    <w:topLinePunct w:val="0"/>
                    <w:autoSpaceDE/>
                    <w:autoSpaceDN/>
                    <w:bidi w:val="0"/>
                    <w:spacing w:line="240" w:lineRule="auto"/>
                    <w:ind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（7）进入开发区的项目，必须落实地下水污染防治工作。根据地下水水文地质情况，按照《石油化工工程防渗技术规范》（GB/T 50934）要求合理确定污染防治分区，厂区开展分区防渗，并制定有效的地下水监控和应急措施。暂存池等设施的选址及地下水防渗、监控措施还应参照《危险废物填埋污染控制标准》（GB 18598），防止污染地下水。</w:t>
                  </w:r>
                </w:p>
                <w:p w14:paraId="40722476">
                  <w:pPr>
                    <w:keepNext w:val="0"/>
                    <w:keepLines w:val="0"/>
                    <w:pageBreakBefore w:val="0"/>
                    <w:widowControl w:val="0"/>
                    <w:kinsoku/>
                    <w:wordWrap/>
                    <w:overflowPunct/>
                    <w:topLinePunct w:val="0"/>
                    <w:autoSpaceDE/>
                    <w:autoSpaceDN/>
                    <w:bidi w:val="0"/>
                    <w:spacing w:line="240" w:lineRule="auto"/>
                    <w:ind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（8）进入开发区的项目，应加强土地沙化的预防与治理，全过程防治水土流失。进入开发区的项目不得占用林地，改善区域生态环境。</w:t>
                  </w:r>
                </w:p>
                <w:p w14:paraId="0EAAB805">
                  <w:pPr>
                    <w:keepNext w:val="0"/>
                    <w:keepLines w:val="0"/>
                    <w:pageBreakBefore w:val="0"/>
                    <w:widowControl w:val="0"/>
                    <w:kinsoku/>
                    <w:wordWrap/>
                    <w:overflowPunct/>
                    <w:topLinePunct w:val="0"/>
                    <w:autoSpaceDE/>
                    <w:autoSpaceDN/>
                    <w:bidi w:val="0"/>
                    <w:spacing w:line="240" w:lineRule="auto"/>
                    <w:ind w:firstLine="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9）进入开发区的项目，必须强化环境风险防范措施。建设合理规模的风险事故应急池及其他应急设施，确保在任何情况下，企业产生的废水均不会进入周边水体。并对事故废水进行有效收集，妥善处理后全部回用，禁止外排。构建与开发区管委会、乌审旗政府和相关部门以及周边企业、园区相衔接的区域环境风险联防联控机制。</w:t>
                  </w:r>
                </w:p>
                <w:p w14:paraId="61F667E1">
                  <w:pPr>
                    <w:keepNext w:val="0"/>
                    <w:keepLines w:val="0"/>
                    <w:pageBreakBefore w:val="0"/>
                    <w:widowControl w:val="0"/>
                    <w:kinsoku/>
                    <w:wordWrap/>
                    <w:overflowPunct/>
                    <w:topLinePunct w:val="0"/>
                    <w:autoSpaceDE/>
                    <w:autoSpaceDN/>
                    <w:bidi w:val="0"/>
                    <w:adjustRightInd w:val="0"/>
                    <w:spacing w:line="240" w:lineRule="auto"/>
                    <w:ind w:firstLine="0"/>
                    <w:textAlignment w:val="baseline"/>
                    <w:rPr>
                      <w:color w:val="auto"/>
                      <w:kern w:val="0"/>
                      <w:sz w:val="18"/>
                      <w:szCs w:val="18"/>
                      <w:highlight w:val="none"/>
                    </w:rPr>
                  </w:pPr>
                  <w:r>
                    <w:rPr>
                      <w:rFonts w:hint="default" w:ascii="Times New Roman" w:hAnsi="Times New Roman" w:eastAsia="宋体" w:cs="Times New Roman"/>
                      <w:color w:val="auto"/>
                      <w:sz w:val="18"/>
                      <w:szCs w:val="18"/>
                      <w:highlight w:val="none"/>
                    </w:rPr>
                    <w:t>（10）应加强环境监测和应急监测。入区煤化工企业应建立覆盖常规污染物、特征污染物的环境监测体系，并与当地环境保护部门联网。按照《企业事业单位环境信息公开办法》相关规定向社会公开环境信息。</w:t>
                  </w:r>
                </w:p>
              </w:tc>
              <w:tc>
                <w:tcPr>
                  <w:tcW w:w="1317" w:type="pct"/>
                  <w:tcBorders>
                    <w:tl2br w:val="nil"/>
                    <w:tr2bl w:val="nil"/>
                  </w:tcBorders>
                  <w:noWrap w:val="0"/>
                  <w:vAlign w:val="center"/>
                </w:tcPr>
                <w:p w14:paraId="6AAD0685">
                  <w:pPr>
                    <w:keepNext w:val="0"/>
                    <w:keepLines w:val="0"/>
                    <w:widowControl/>
                    <w:suppressLineNumbers w:val="0"/>
                    <w:jc w:val="both"/>
                    <w:rPr>
                      <w:rFonts w:hint="eastAsia" w:ascii="宋体" w:hAnsi="宋体" w:eastAsia="宋体" w:cs="宋体"/>
                      <w:color w:val="auto"/>
                      <w:kern w:val="0"/>
                      <w:sz w:val="18"/>
                      <w:szCs w:val="18"/>
                      <w:highlight w:val="none"/>
                      <w:lang w:val="en-US" w:eastAsia="zh-CN" w:bidi="ar"/>
                    </w:rPr>
                  </w:pPr>
                  <w:r>
                    <w:rPr>
                      <w:rFonts w:hint="eastAsia" w:eastAsia="宋体"/>
                      <w:bCs/>
                      <w:color w:val="auto"/>
                      <w:kern w:val="0"/>
                      <w:sz w:val="18"/>
                      <w:szCs w:val="18"/>
                      <w:highlight w:val="none"/>
                      <w:lang w:val="en-US" w:eastAsia="zh-CN"/>
                    </w:rPr>
                    <w:t>（1）本项目为煤化工中式基地基础设施工程。</w:t>
                  </w:r>
                  <w:r>
                    <w:rPr>
                      <w:rFonts w:ascii="宋体" w:hAnsi="宋体" w:eastAsia="宋体" w:cs="宋体"/>
                      <w:color w:val="auto"/>
                      <w:kern w:val="0"/>
                      <w:sz w:val="18"/>
                      <w:szCs w:val="18"/>
                      <w:highlight w:val="none"/>
                      <w:lang w:val="en-US" w:eastAsia="zh-CN" w:bidi="ar"/>
                    </w:rPr>
                    <w:t>中试基地属于煤化工产业链的技术研发与创新配套项目</w:t>
                  </w:r>
                  <w:r>
                    <w:rPr>
                      <w:rFonts w:hint="eastAsia" w:ascii="宋体" w:hAnsi="宋体" w:eastAsia="宋体" w:cs="宋体"/>
                      <w:color w:val="auto"/>
                      <w:kern w:val="0"/>
                      <w:sz w:val="18"/>
                      <w:szCs w:val="18"/>
                      <w:highlight w:val="none"/>
                      <w:lang w:val="en-US" w:eastAsia="zh-CN" w:bidi="ar"/>
                    </w:rPr>
                    <w:t>；</w:t>
                  </w:r>
                </w:p>
                <w:p w14:paraId="4807D1D3">
                  <w:pPr>
                    <w:keepNext w:val="0"/>
                    <w:keepLines w:val="0"/>
                    <w:widowControl/>
                    <w:suppressLineNumbers w:val="0"/>
                    <w:jc w:val="both"/>
                    <w:rPr>
                      <w:rFonts w:hint="eastAsia" w:ascii="Times New Roman" w:hAnsi="Times New Roman" w:eastAsia="宋体" w:cs="Times New Roman"/>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bidi="ar"/>
                    </w:rPr>
                    <w:t>（2）本项目为现代煤化工中试项目，符合</w:t>
                  </w:r>
                  <w:r>
                    <w:rPr>
                      <w:rFonts w:hint="default" w:ascii="Times New Roman" w:hAnsi="Times New Roman" w:eastAsia="宋体" w:cs="Times New Roman"/>
                      <w:color w:val="auto"/>
                      <w:sz w:val="18"/>
                      <w:szCs w:val="18"/>
                      <w:highlight w:val="none"/>
                    </w:rPr>
                    <w:t>《现代煤化工建设项目环境准入条件（试行）》</w:t>
                  </w:r>
                  <w:r>
                    <w:rPr>
                      <w:rFonts w:hint="eastAsia" w:ascii="Times New Roman" w:hAnsi="Times New Roman" w:eastAsia="宋体" w:cs="Times New Roman"/>
                      <w:color w:val="auto"/>
                      <w:sz w:val="18"/>
                      <w:szCs w:val="18"/>
                      <w:highlight w:val="none"/>
                      <w:lang w:val="en-US" w:eastAsia="zh-CN"/>
                    </w:rPr>
                    <w:t>的要求；</w:t>
                  </w:r>
                </w:p>
                <w:p w14:paraId="7D25E0E0">
                  <w:pPr>
                    <w:keepNext w:val="0"/>
                    <w:keepLines w:val="0"/>
                    <w:widowControl/>
                    <w:suppressLineNumbers w:val="0"/>
                    <w:jc w:val="both"/>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（3）本项目生活污水定期清掏送园区生活污水处理厂处理；基地循环水排水、火炬废水暂存于各装置区缓存罐，根据液位控制自动启停排水泵经管廊废水管道输</w:t>
                  </w:r>
                  <w:r>
                    <w:rPr>
                      <w:rFonts w:hint="eastAsia"/>
                      <w:color w:val="auto"/>
                      <w:sz w:val="18"/>
                      <w:szCs w:val="18"/>
                      <w:highlight w:val="none"/>
                      <w:lang w:val="en-US" w:eastAsia="zh-CN"/>
                    </w:rPr>
                    <w:t>送至</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color w:val="auto"/>
                      <w:sz w:val="18"/>
                      <w:szCs w:val="18"/>
                      <w:highlight w:val="none"/>
                      <w:lang w:val="en-US" w:eastAsia="zh-CN"/>
                    </w:rPr>
                    <w:t>处理，废水均不外排；</w:t>
                  </w:r>
                </w:p>
                <w:p w14:paraId="1D419D81">
                  <w:pPr>
                    <w:keepNext w:val="0"/>
                    <w:keepLines w:val="0"/>
                    <w:widowControl/>
                    <w:suppressLineNumbers w:val="0"/>
                    <w:jc w:val="both"/>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（4）基地用水由园区自来水和中水管网供给，不取用地表水、地下水；绿化采用中水；</w:t>
                  </w:r>
                </w:p>
                <w:p w14:paraId="1710DC15">
                  <w:pPr>
                    <w:keepNext w:val="0"/>
                    <w:keepLines w:val="0"/>
                    <w:widowControl/>
                    <w:suppressLineNumbers w:val="0"/>
                    <w:jc w:val="left"/>
                    <w:rPr>
                      <w:rFonts w:hint="eastAsia" w:ascii="Times New Roman" w:hAnsi="Times New Roman" w:eastAsia="宋体" w:cs="Times New Roman"/>
                      <w:color w:val="auto"/>
                      <w:sz w:val="18"/>
                      <w:szCs w:val="18"/>
                      <w:highlight w:val="none"/>
                      <w:lang w:eastAsia="zh-CN"/>
                    </w:rPr>
                  </w:pPr>
                  <w:r>
                    <w:rPr>
                      <w:rFonts w:hint="eastAsia" w:ascii="Times New Roman" w:hAnsi="Times New Roman" w:eastAsia="宋体" w:cs="Times New Roman"/>
                      <w:color w:val="auto"/>
                      <w:sz w:val="18"/>
                      <w:szCs w:val="18"/>
                      <w:highlight w:val="none"/>
                      <w:lang w:val="en-US" w:eastAsia="zh-CN"/>
                    </w:rPr>
                    <w:t>（5）中试基地后续入驻的中试项目独立开展环评并采取</w:t>
                  </w:r>
                  <w:r>
                    <w:rPr>
                      <w:rFonts w:hint="default" w:ascii="Times New Roman" w:hAnsi="Times New Roman" w:eastAsia="宋体" w:cs="Times New Roman"/>
                      <w:color w:val="auto"/>
                      <w:sz w:val="18"/>
                      <w:szCs w:val="18"/>
                      <w:highlight w:val="none"/>
                    </w:rPr>
                    <w:t>挥发性有机物（VOCs）、恶臭物质及有毒有害污染物的逸散与排放。</w:t>
                  </w:r>
                  <w:r>
                    <w:rPr>
                      <w:rFonts w:hint="eastAsia" w:ascii="Times New Roman" w:hAnsi="Times New Roman" w:eastAsia="宋体" w:cs="Times New Roman"/>
                      <w:color w:val="auto"/>
                      <w:sz w:val="18"/>
                      <w:szCs w:val="18"/>
                      <w:highlight w:val="none"/>
                      <w:lang w:val="en-US" w:eastAsia="zh-CN"/>
                    </w:rPr>
                    <w:t>本次工程设置两套火炬系统，用于处置中试基地后续入驻中试项目事故状态下</w:t>
                  </w:r>
                  <w:r>
                    <w:rPr>
                      <w:rFonts w:hint="default" w:ascii="Times New Roman" w:hAnsi="Times New Roman" w:eastAsia="宋体" w:cs="Times New Roman"/>
                      <w:color w:val="auto"/>
                      <w:sz w:val="18"/>
                      <w:szCs w:val="18"/>
                      <w:highlight w:val="none"/>
                    </w:rPr>
                    <w:t>排放的废气</w:t>
                  </w:r>
                  <w:r>
                    <w:rPr>
                      <w:rFonts w:hint="eastAsia" w:ascii="Times New Roman" w:hAnsi="Times New Roman" w:eastAsia="宋体" w:cs="Times New Roman"/>
                      <w:color w:val="auto"/>
                      <w:sz w:val="18"/>
                      <w:szCs w:val="18"/>
                      <w:highlight w:val="none"/>
                      <w:lang w:eastAsia="zh-CN"/>
                    </w:rPr>
                    <w:t>。</w:t>
                  </w:r>
                </w:p>
                <w:p w14:paraId="58302C47">
                  <w:pPr>
                    <w:keepNext w:val="0"/>
                    <w:keepLines w:val="0"/>
                    <w:widowControl/>
                    <w:suppressLineNumbers w:val="0"/>
                    <w:jc w:val="left"/>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eastAsia="zh-CN"/>
                    </w:rPr>
                    <w:t>（</w:t>
                  </w:r>
                  <w:r>
                    <w:rPr>
                      <w:rFonts w:hint="eastAsia" w:ascii="Times New Roman" w:hAnsi="Times New Roman" w:eastAsia="宋体" w:cs="Times New Roman"/>
                      <w:color w:val="auto"/>
                      <w:sz w:val="18"/>
                      <w:szCs w:val="18"/>
                      <w:highlight w:val="none"/>
                      <w:lang w:val="en-US" w:eastAsia="zh-CN"/>
                    </w:rPr>
                    <w:t>6</w:t>
                  </w:r>
                  <w:r>
                    <w:rPr>
                      <w:rFonts w:hint="eastAsia" w:ascii="Times New Roman" w:hAnsi="Times New Roman" w:eastAsia="宋体" w:cs="Times New Roman"/>
                      <w:color w:val="auto"/>
                      <w:sz w:val="18"/>
                      <w:szCs w:val="18"/>
                      <w:highlight w:val="none"/>
                      <w:lang w:eastAsia="zh-CN"/>
                    </w:rPr>
                    <w:t>）</w:t>
                  </w:r>
                  <w:r>
                    <w:rPr>
                      <w:rFonts w:hint="eastAsia" w:ascii="Times New Roman" w:hAnsi="Times New Roman" w:eastAsia="宋体" w:cs="Times New Roman"/>
                      <w:color w:val="auto"/>
                      <w:sz w:val="18"/>
                      <w:szCs w:val="18"/>
                      <w:highlight w:val="none"/>
                      <w:lang w:val="en-US" w:eastAsia="zh-CN"/>
                    </w:rPr>
                    <w:t>本项目建设危废库1座，用于贮存基地内中试项目产生的危险废物。基地内不对废水处理，废水经管道输送至</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color w:val="auto"/>
                      <w:sz w:val="18"/>
                      <w:szCs w:val="18"/>
                      <w:highlight w:val="none"/>
                      <w:lang w:val="en-US" w:eastAsia="zh-CN"/>
                    </w:rPr>
                    <w:t>处理；</w:t>
                  </w:r>
                </w:p>
                <w:p w14:paraId="73C46A39">
                  <w:pPr>
                    <w:keepNext w:val="0"/>
                    <w:keepLines w:val="0"/>
                    <w:widowControl/>
                    <w:suppressLineNumbers w:val="0"/>
                    <w:jc w:val="both"/>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（7）中试基地各标准化车间、库房采取分区防渗措施，防渗措施满足</w:t>
                  </w:r>
                  <w:r>
                    <w:rPr>
                      <w:rFonts w:hint="default" w:ascii="Times New Roman" w:hAnsi="Times New Roman" w:eastAsia="宋体" w:cs="Times New Roman"/>
                      <w:color w:val="auto"/>
                      <w:sz w:val="18"/>
                      <w:szCs w:val="18"/>
                      <w:highlight w:val="none"/>
                    </w:rPr>
                    <w:t>《石油化工工程防渗技术规范》（GB/T 50934</w:t>
                  </w:r>
                  <w:r>
                    <w:rPr>
                      <w:rFonts w:hint="eastAsia" w:ascii="Times New Roman" w:hAnsi="Times New Roman" w:eastAsia="宋体" w:cs="Times New Roman"/>
                      <w:color w:val="auto"/>
                      <w:sz w:val="18"/>
                      <w:szCs w:val="18"/>
                      <w:highlight w:val="none"/>
                      <w:lang w:val="en-US" w:eastAsia="zh-CN"/>
                    </w:rPr>
                    <w:t>-2013</w:t>
                  </w:r>
                  <w:r>
                    <w:rPr>
                      <w:rFonts w:hint="default" w:ascii="Times New Roman" w:hAnsi="Times New Roman" w:eastAsia="宋体" w:cs="Times New Roman"/>
                      <w:color w:val="auto"/>
                      <w:sz w:val="18"/>
                      <w:szCs w:val="18"/>
                      <w:highlight w:val="none"/>
                    </w:rPr>
                    <w:t>）</w:t>
                  </w:r>
                  <w:r>
                    <w:rPr>
                      <w:rFonts w:hint="eastAsia" w:ascii="Times New Roman" w:hAnsi="Times New Roman" w:eastAsia="宋体" w:cs="Times New Roman"/>
                      <w:color w:val="auto"/>
                      <w:sz w:val="18"/>
                      <w:szCs w:val="18"/>
                      <w:highlight w:val="none"/>
                      <w:lang w:val="en-US" w:eastAsia="zh-CN"/>
                    </w:rPr>
                    <w:t>和</w:t>
                  </w:r>
                  <w:r>
                    <w:rPr>
                      <w:rFonts w:hint="default" w:ascii="Times New Roman" w:hAnsi="Times New Roman" w:eastAsia="宋体" w:cs="Times New Roman"/>
                      <w:b w:val="0"/>
                      <w:bCs w:val="0"/>
                      <w:color w:val="auto"/>
                      <w:sz w:val="18"/>
                      <w:szCs w:val="18"/>
                      <w:highlight w:val="none"/>
                    </w:rPr>
                    <w:t>《危险废物贮存污染控制标准》（GB18597-2023）</w:t>
                  </w:r>
                  <w:r>
                    <w:rPr>
                      <w:rFonts w:hint="eastAsia" w:ascii="Times New Roman" w:hAnsi="Times New Roman" w:eastAsia="宋体" w:cs="Times New Roman"/>
                      <w:color w:val="auto"/>
                      <w:sz w:val="18"/>
                      <w:szCs w:val="18"/>
                      <w:highlight w:val="none"/>
                      <w:lang w:val="en-US" w:eastAsia="zh-CN"/>
                    </w:rPr>
                    <w:t>的要求。</w:t>
                  </w:r>
                </w:p>
                <w:p w14:paraId="677CA22B">
                  <w:pPr>
                    <w:keepNext w:val="0"/>
                    <w:keepLines w:val="0"/>
                    <w:widowControl/>
                    <w:suppressLineNumbers w:val="0"/>
                    <w:jc w:val="left"/>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（8）本项目中试基地不占用林地，基地内采取绿化、硬化措施减缓水土流失；</w:t>
                  </w:r>
                </w:p>
                <w:p w14:paraId="418F266A">
                  <w:pPr>
                    <w:keepNext w:val="0"/>
                    <w:keepLines w:val="0"/>
                    <w:widowControl/>
                    <w:suppressLineNumbers w:val="0"/>
                    <w:jc w:val="left"/>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（9）中试基地建设初期雨水池和事故应急池，可满足对初期雨水、事故废水的收集。基地投用后，编制完善环境应急预案，后续入驻的中试项目应单独编制应急预案并与基地、园区相衔接。</w:t>
                  </w:r>
                </w:p>
                <w:p w14:paraId="7A39E174">
                  <w:pPr>
                    <w:keepNext w:val="0"/>
                    <w:keepLines w:val="0"/>
                    <w:widowControl/>
                    <w:suppressLineNumbers w:val="0"/>
                    <w:jc w:val="left"/>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（10）本项目投用后，根据实际入驻的中试项目的特征污染物情况及对应的环评要求开展完善基地污染物的环境监测体系。</w:t>
                  </w:r>
                </w:p>
                <w:p w14:paraId="10AC2B45">
                  <w:pPr>
                    <w:keepNext w:val="0"/>
                    <w:keepLines w:val="0"/>
                    <w:widowControl/>
                    <w:suppressLineNumbers w:val="0"/>
                    <w:jc w:val="left"/>
                    <w:rPr>
                      <w:color w:val="auto"/>
                      <w:highlight w:val="none"/>
                    </w:rPr>
                  </w:pPr>
                </w:p>
                <w:p w14:paraId="36A71981">
                  <w:pPr>
                    <w:widowControl/>
                    <w:autoSpaceDE w:val="0"/>
                    <w:autoSpaceDN w:val="0"/>
                    <w:adjustRightInd w:val="0"/>
                    <w:spacing w:line="300" w:lineRule="exact"/>
                    <w:rPr>
                      <w:rFonts w:hint="default" w:eastAsia="宋体"/>
                      <w:bCs/>
                      <w:color w:val="auto"/>
                      <w:kern w:val="0"/>
                      <w:sz w:val="18"/>
                      <w:szCs w:val="18"/>
                      <w:highlight w:val="none"/>
                      <w:lang w:val="en-US" w:eastAsia="zh-CN"/>
                    </w:rPr>
                  </w:pPr>
                </w:p>
              </w:tc>
              <w:tc>
                <w:tcPr>
                  <w:tcW w:w="418" w:type="pct"/>
                  <w:tcBorders>
                    <w:tl2br w:val="nil"/>
                    <w:tr2bl w:val="nil"/>
                  </w:tcBorders>
                  <w:noWrap w:val="0"/>
                  <w:vAlign w:val="center"/>
                </w:tcPr>
                <w:p w14:paraId="4FEFF46F">
                  <w:pPr>
                    <w:widowControl/>
                    <w:autoSpaceDE w:val="0"/>
                    <w:autoSpaceDN w:val="0"/>
                    <w:adjustRightInd w:val="0"/>
                    <w:spacing w:line="300" w:lineRule="exact"/>
                    <w:jc w:val="center"/>
                    <w:rPr>
                      <w:bCs/>
                      <w:color w:val="auto"/>
                      <w:kern w:val="0"/>
                      <w:sz w:val="18"/>
                      <w:szCs w:val="18"/>
                      <w:highlight w:val="none"/>
                    </w:rPr>
                  </w:pPr>
                  <w:r>
                    <w:rPr>
                      <w:bCs/>
                      <w:color w:val="auto"/>
                      <w:kern w:val="0"/>
                      <w:sz w:val="18"/>
                      <w:szCs w:val="18"/>
                      <w:highlight w:val="none"/>
                    </w:rPr>
                    <w:t>符合</w:t>
                  </w:r>
                </w:p>
              </w:tc>
            </w:tr>
          </w:tbl>
          <w:p w14:paraId="59BA4EB8">
            <w:pPr>
              <w:pStyle w:val="46"/>
              <w:keepNext w:val="0"/>
              <w:keepLines w:val="0"/>
              <w:pageBreakBefore w:val="0"/>
              <w:widowControl w:val="0"/>
              <w:kinsoku/>
              <w:wordWrap/>
              <w:overflowPunct/>
              <w:topLinePunct w:val="0"/>
              <w:autoSpaceDE/>
              <w:autoSpaceDN/>
              <w:bidi w:val="0"/>
              <w:spacing w:line="360" w:lineRule="auto"/>
              <w:ind w:firstLine="480"/>
              <w:textAlignment w:val="auto"/>
              <w:rPr>
                <w:rFonts w:hint="default" w:ascii="Times New Roman" w:hAnsi="Times New Roman" w:eastAsia="宋体"/>
                <w:b/>
                <w:bCs/>
                <w:color w:val="auto"/>
                <w:kern w:val="0"/>
                <w:sz w:val="21"/>
                <w:szCs w:val="21"/>
                <w:highlight w:val="none"/>
                <w:lang w:val="en-US" w:eastAsia="zh-CN"/>
              </w:rPr>
            </w:pPr>
            <w:r>
              <w:rPr>
                <w:rFonts w:hint="eastAsia" w:ascii="Times New Roman" w:hAnsi="Times New Roman"/>
                <w:b/>
                <w:bCs/>
                <w:color w:val="auto"/>
                <w:kern w:val="0"/>
                <w:sz w:val="21"/>
                <w:szCs w:val="21"/>
                <w:highlight w:val="none"/>
                <w:lang w:val="en-US" w:eastAsia="zh-CN"/>
              </w:rPr>
              <w:t>3、与规划环评审查意见符合性分析</w:t>
            </w:r>
          </w:p>
          <w:p w14:paraId="13BAD615">
            <w:pPr>
              <w:pStyle w:val="46"/>
              <w:keepNext w:val="0"/>
              <w:keepLines w:val="0"/>
              <w:pageBreakBefore w:val="0"/>
              <w:widowControl w:val="0"/>
              <w:kinsoku/>
              <w:wordWrap/>
              <w:overflowPunct/>
              <w:topLinePunct w:val="0"/>
              <w:autoSpaceDE/>
              <w:autoSpaceDN/>
              <w:bidi w:val="0"/>
              <w:spacing w:line="360" w:lineRule="auto"/>
              <w:ind w:firstLine="480"/>
              <w:textAlignment w:val="auto"/>
              <w:rPr>
                <w:rFonts w:ascii="Times New Roman" w:hAnsi="Times New Roman" w:cs="Times New Roman"/>
                <w:color w:val="auto"/>
                <w:sz w:val="21"/>
                <w:szCs w:val="21"/>
                <w:highlight w:val="none"/>
              </w:rPr>
            </w:pPr>
            <w:r>
              <w:rPr>
                <w:rFonts w:hint="eastAsia" w:ascii="Times New Roman" w:hAnsi="Times New Roman"/>
                <w:color w:val="auto"/>
                <w:kern w:val="0"/>
                <w:sz w:val="21"/>
                <w:szCs w:val="21"/>
                <w:highlight w:val="none"/>
                <w:lang w:val="en-US" w:eastAsia="zh-CN"/>
              </w:rPr>
              <w:t>对照</w:t>
            </w:r>
            <w:r>
              <w:rPr>
                <w:rFonts w:ascii="Times New Roman" w:hAnsi="Times New Roman"/>
                <w:color w:val="auto"/>
                <w:kern w:val="0"/>
                <w:sz w:val="21"/>
                <w:szCs w:val="21"/>
                <w:highlight w:val="none"/>
              </w:rPr>
              <w:t>《关于内蒙古鄂尔多斯苏里格经济开发区总体规划</w:t>
            </w:r>
            <w:r>
              <w:rPr>
                <w:rFonts w:hint="eastAsia" w:ascii="Times New Roman" w:hAnsi="Times New Roman"/>
                <w:color w:val="auto"/>
                <w:kern w:val="0"/>
                <w:sz w:val="21"/>
                <w:szCs w:val="21"/>
                <w:highlight w:val="none"/>
              </w:rPr>
              <w:t>（2020年版）</w:t>
            </w:r>
            <w:r>
              <w:rPr>
                <w:rFonts w:ascii="Times New Roman" w:hAnsi="Times New Roman"/>
                <w:color w:val="auto"/>
                <w:kern w:val="0"/>
                <w:sz w:val="21"/>
                <w:szCs w:val="21"/>
                <w:highlight w:val="none"/>
              </w:rPr>
              <w:t>环境影响报告书审查意见</w:t>
            </w:r>
            <w:r>
              <w:rPr>
                <w:rFonts w:hint="eastAsia" w:ascii="Times New Roman" w:hAnsi="Times New Roman"/>
                <w:color w:val="auto"/>
                <w:kern w:val="0"/>
                <w:sz w:val="21"/>
                <w:szCs w:val="21"/>
                <w:highlight w:val="none"/>
              </w:rPr>
              <w:t>的函</w:t>
            </w:r>
            <w:r>
              <w:rPr>
                <w:rFonts w:ascii="Times New Roman" w:hAnsi="Times New Roman"/>
                <w:color w:val="auto"/>
                <w:kern w:val="0"/>
                <w:sz w:val="21"/>
                <w:szCs w:val="21"/>
                <w:highlight w:val="none"/>
              </w:rPr>
              <w:t>》（内环</w:t>
            </w:r>
            <w:r>
              <w:rPr>
                <w:rFonts w:hint="eastAsia" w:ascii="Times New Roman" w:hAnsi="Times New Roman"/>
                <w:color w:val="auto"/>
                <w:kern w:val="0"/>
                <w:sz w:val="21"/>
                <w:szCs w:val="21"/>
                <w:highlight w:val="none"/>
              </w:rPr>
              <w:t>函〔</w:t>
            </w:r>
            <w:r>
              <w:rPr>
                <w:rFonts w:ascii="Times New Roman" w:hAnsi="Times New Roman"/>
                <w:color w:val="auto"/>
                <w:kern w:val="0"/>
                <w:sz w:val="21"/>
                <w:szCs w:val="21"/>
                <w:highlight w:val="none"/>
              </w:rPr>
              <w:t>20</w:t>
            </w:r>
            <w:r>
              <w:rPr>
                <w:rFonts w:hint="eastAsia" w:ascii="Times New Roman" w:hAnsi="Times New Roman"/>
                <w:color w:val="auto"/>
                <w:kern w:val="0"/>
                <w:sz w:val="21"/>
                <w:szCs w:val="21"/>
                <w:highlight w:val="none"/>
              </w:rPr>
              <w:t>20〕177</w:t>
            </w:r>
            <w:r>
              <w:rPr>
                <w:rFonts w:ascii="Times New Roman" w:hAnsi="Times New Roman"/>
                <w:color w:val="auto"/>
                <w:kern w:val="0"/>
                <w:sz w:val="21"/>
                <w:szCs w:val="21"/>
                <w:highlight w:val="none"/>
              </w:rPr>
              <w:t>号）</w:t>
            </w:r>
            <w:r>
              <w:rPr>
                <w:rFonts w:ascii="Times New Roman" w:hAnsi="Times New Roman" w:cs="Times New Roman"/>
                <w:color w:val="auto"/>
                <w:sz w:val="21"/>
                <w:szCs w:val="21"/>
                <w:highlight w:val="none"/>
              </w:rPr>
              <w:t>，本项目与规划环评</w:t>
            </w:r>
            <w:r>
              <w:rPr>
                <w:rFonts w:hint="eastAsia" w:ascii="Times New Roman" w:hAnsi="Times New Roman" w:cs="Times New Roman"/>
                <w:color w:val="auto"/>
                <w:sz w:val="21"/>
                <w:szCs w:val="21"/>
                <w:highlight w:val="none"/>
                <w:lang w:val="en-US" w:eastAsia="zh-CN"/>
              </w:rPr>
              <w:t>审查意见</w:t>
            </w:r>
            <w:r>
              <w:rPr>
                <w:rFonts w:ascii="Times New Roman" w:hAnsi="Times New Roman" w:cs="Times New Roman"/>
                <w:color w:val="auto"/>
                <w:sz w:val="21"/>
                <w:szCs w:val="21"/>
                <w:highlight w:val="none"/>
              </w:rPr>
              <w:t>的符合性分析见表</w:t>
            </w:r>
            <w:r>
              <w:rPr>
                <w:rFonts w:hint="eastAsia" w:ascii="Times New Roman" w:hAnsi="Times New Roman" w:cs="Times New Roman"/>
                <w:color w:val="auto"/>
                <w:sz w:val="21"/>
                <w:szCs w:val="21"/>
                <w:highlight w:val="none"/>
                <w:lang w:val="en-US" w:eastAsia="zh-CN"/>
              </w:rPr>
              <w:t>1-3</w:t>
            </w:r>
            <w:r>
              <w:rPr>
                <w:rFonts w:ascii="Times New Roman" w:hAnsi="Times New Roman" w:cs="Times New Roman"/>
                <w:color w:val="auto"/>
                <w:sz w:val="21"/>
                <w:szCs w:val="21"/>
                <w:highlight w:val="none"/>
              </w:rPr>
              <w:t>。</w:t>
            </w:r>
          </w:p>
          <w:p w14:paraId="565BD7FD">
            <w:pPr>
              <w:keepNext w:val="0"/>
              <w:keepLines w:val="0"/>
              <w:pageBreakBefore w:val="0"/>
              <w:widowControl w:val="0"/>
              <w:tabs>
                <w:tab w:val="left" w:pos="4320"/>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w:t>
            </w:r>
            <w:r>
              <w:rPr>
                <w:rFonts w:hint="default" w:ascii="Times New Roman" w:hAnsi="Times New Roman" w:eastAsia="宋体" w:cs="Times New Roman"/>
                <w:b/>
                <w:color w:val="auto"/>
                <w:sz w:val="21"/>
                <w:szCs w:val="21"/>
                <w:highlight w:val="none"/>
                <w:lang w:val="en-US" w:eastAsia="zh-CN"/>
              </w:rPr>
              <w:t>1-</w:t>
            </w:r>
            <w:r>
              <w:rPr>
                <w:rFonts w:hint="eastAsia" w:ascii="Times New Roman" w:hAnsi="Times New Roman" w:eastAsia="宋体" w:cs="Times New Roman"/>
                <w:b/>
                <w:color w:val="auto"/>
                <w:sz w:val="21"/>
                <w:szCs w:val="21"/>
                <w:highlight w:val="none"/>
                <w:lang w:val="en-US" w:eastAsia="zh-CN"/>
              </w:rPr>
              <w:t>3</w:t>
            </w:r>
            <w:r>
              <w:rPr>
                <w:rFonts w:hint="default" w:ascii="Times New Roman" w:hAnsi="Times New Roman" w:eastAsia="宋体" w:cs="Times New Roman"/>
                <w:b/>
                <w:color w:val="auto"/>
                <w:sz w:val="21"/>
                <w:szCs w:val="21"/>
                <w:highlight w:val="none"/>
              </w:rPr>
              <w:t xml:space="preserve">    本项目与规划环评审查意见的符合性分析一览表</w:t>
            </w:r>
          </w:p>
          <w:tbl>
            <w:tblPr>
              <w:tblStyle w:val="24"/>
              <w:tblW w:w="499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22"/>
              <w:gridCol w:w="3724"/>
              <w:gridCol w:w="2210"/>
              <w:gridCol w:w="626"/>
            </w:tblGrid>
            <w:tr w14:paraId="70181B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302" w:type="pct"/>
                  <w:tcBorders>
                    <w:tl2br w:val="nil"/>
                    <w:tr2bl w:val="nil"/>
                  </w:tcBorders>
                  <w:noWrap w:val="0"/>
                  <w:vAlign w:val="center"/>
                </w:tcPr>
                <w:p w14:paraId="687E6A3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序号</w:t>
                  </w:r>
                </w:p>
              </w:tc>
              <w:tc>
                <w:tcPr>
                  <w:tcW w:w="2666" w:type="pct"/>
                  <w:tcBorders>
                    <w:tl2br w:val="nil"/>
                    <w:tr2bl w:val="nil"/>
                  </w:tcBorders>
                  <w:noWrap w:val="0"/>
                  <w:vAlign w:val="center"/>
                </w:tcPr>
                <w:p w14:paraId="521EB0A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规划环评审查意见要求</w:t>
                  </w:r>
                </w:p>
              </w:tc>
              <w:tc>
                <w:tcPr>
                  <w:tcW w:w="1582" w:type="pct"/>
                  <w:tcBorders>
                    <w:tl2br w:val="nil"/>
                    <w:tr2bl w:val="nil"/>
                  </w:tcBorders>
                  <w:noWrap w:val="0"/>
                  <w:vAlign w:val="center"/>
                </w:tcPr>
                <w:p w14:paraId="0970FDD8">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本项目建设情况</w:t>
                  </w:r>
                </w:p>
              </w:tc>
              <w:tc>
                <w:tcPr>
                  <w:tcW w:w="448" w:type="pct"/>
                  <w:tcBorders>
                    <w:tl2br w:val="nil"/>
                    <w:tr2bl w:val="nil"/>
                  </w:tcBorders>
                  <w:noWrap w:val="0"/>
                  <w:vAlign w:val="center"/>
                </w:tcPr>
                <w:p w14:paraId="3791383C">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符合性</w:t>
                  </w:r>
                </w:p>
              </w:tc>
            </w:tr>
            <w:tr w14:paraId="0E3AEF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74" w:hRule="atLeast"/>
                <w:jc w:val="center"/>
              </w:trPr>
              <w:tc>
                <w:tcPr>
                  <w:tcW w:w="302" w:type="pct"/>
                  <w:tcBorders>
                    <w:tl2br w:val="nil"/>
                    <w:tr2bl w:val="nil"/>
                  </w:tcBorders>
                  <w:noWrap w:val="0"/>
                  <w:vAlign w:val="center"/>
                </w:tcPr>
                <w:p w14:paraId="1DB6B1EA">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一</w:t>
                  </w:r>
                </w:p>
              </w:tc>
              <w:tc>
                <w:tcPr>
                  <w:tcW w:w="2666" w:type="pct"/>
                  <w:tcBorders>
                    <w:tl2br w:val="nil"/>
                    <w:tr2bl w:val="nil"/>
                  </w:tcBorders>
                  <w:noWrap w:val="0"/>
                  <w:vAlign w:val="center"/>
                </w:tcPr>
                <w:p w14:paraId="257AD147">
                  <w:pPr>
                    <w:keepNext w:val="0"/>
                    <w:keepLines w:val="0"/>
                    <w:pageBreakBefore w:val="0"/>
                    <w:kinsoku/>
                    <w:wordWrap/>
                    <w:overflowPunct/>
                    <w:topLinePunct w:val="0"/>
                    <w:bidi w:val="0"/>
                    <w:snapToGrid/>
                    <w:spacing w:line="240" w:lineRule="auto"/>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i w:val="0"/>
                      <w:iCs w:val="0"/>
                      <w:caps w:val="0"/>
                      <w:color w:val="auto"/>
                      <w:spacing w:val="0"/>
                      <w:sz w:val="18"/>
                      <w:szCs w:val="18"/>
                      <w:highlight w:val="none"/>
                      <w:shd w:val="clear" w:color="auto" w:fill="FFFFFF"/>
                    </w:rPr>
                    <w:t>园区总体规划必须纳入乌审旗城市总体规划，并要与当地其它专项规划相协调，下一步应按要求纳入当地国土空间规划。按照《内蒙古自治区党委自治区人民政府关于全面加强生态环境保护坚决打好污染防治攻坚战的实施意见》及《内蒙古自治区人民政府办公厅关于进一步加强全区自治区级及以上工业园区环境保护工作的通知》等文件要求，指导园区建设。</w:t>
                  </w:r>
                </w:p>
              </w:tc>
              <w:tc>
                <w:tcPr>
                  <w:tcW w:w="1582" w:type="pct"/>
                  <w:tcBorders>
                    <w:tl2br w:val="nil"/>
                    <w:tr2bl w:val="nil"/>
                  </w:tcBorders>
                  <w:noWrap w:val="0"/>
                  <w:vAlign w:val="center"/>
                </w:tcPr>
                <w:p w14:paraId="3D402E9E">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本项目建设符合园区规划、符合产业定位。</w:t>
                  </w:r>
                </w:p>
              </w:tc>
              <w:tc>
                <w:tcPr>
                  <w:tcW w:w="448" w:type="pct"/>
                  <w:tcBorders>
                    <w:tl2br w:val="nil"/>
                    <w:tr2bl w:val="nil"/>
                  </w:tcBorders>
                  <w:noWrap w:val="0"/>
                  <w:vAlign w:val="center"/>
                </w:tcPr>
                <w:p w14:paraId="0C5BDC5D">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符合</w:t>
                  </w:r>
                </w:p>
              </w:tc>
            </w:tr>
            <w:tr w14:paraId="6C5C0B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jc w:val="center"/>
              </w:trPr>
              <w:tc>
                <w:tcPr>
                  <w:tcW w:w="302" w:type="pct"/>
                  <w:tcBorders>
                    <w:tl2br w:val="nil"/>
                    <w:tr2bl w:val="nil"/>
                  </w:tcBorders>
                  <w:noWrap w:val="0"/>
                  <w:vAlign w:val="center"/>
                </w:tcPr>
                <w:p w14:paraId="018D6AAF">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二</w:t>
                  </w:r>
                </w:p>
              </w:tc>
              <w:tc>
                <w:tcPr>
                  <w:tcW w:w="2666" w:type="pct"/>
                  <w:tcBorders>
                    <w:tl2br w:val="nil"/>
                    <w:tr2bl w:val="nil"/>
                  </w:tcBorders>
                  <w:noWrap w:val="0"/>
                  <w:vAlign w:val="center"/>
                </w:tcPr>
                <w:p w14:paraId="54495708">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i w:val="0"/>
                      <w:iCs w:val="0"/>
                      <w:caps w:val="0"/>
                      <w:color w:val="auto"/>
                      <w:spacing w:val="0"/>
                      <w:sz w:val="18"/>
                      <w:szCs w:val="18"/>
                      <w:highlight w:val="none"/>
                      <w:shd w:val="clear" w:color="auto" w:fill="FFFFFF"/>
                    </w:rPr>
                    <w:t>园区应主动对标绿色高质量发展要求，结合区域资源禀赋、生态敏感特征及生态功能保护要求，合理发展新型煤化工、精细化工、清洁能源等主导产业。结合园区环境质量目标管理要求，优化及调整产业结构、规模、布局。严格按照自治区化工园区和化工产业相关管理规定，管理入驻企业。</w:t>
                  </w:r>
                </w:p>
              </w:tc>
              <w:tc>
                <w:tcPr>
                  <w:tcW w:w="1582" w:type="pct"/>
                  <w:tcBorders>
                    <w:tl2br w:val="nil"/>
                    <w:tr2bl w:val="nil"/>
                  </w:tcBorders>
                  <w:noWrap w:val="0"/>
                  <w:vAlign w:val="center"/>
                </w:tcPr>
                <w:p w14:paraId="12481103">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本项目为煤化工中试基地基础工程，为煤化工项目提供完善的中试试验场所和条件。</w:t>
                  </w:r>
                </w:p>
              </w:tc>
              <w:tc>
                <w:tcPr>
                  <w:tcW w:w="448" w:type="pct"/>
                  <w:tcBorders>
                    <w:tl2br w:val="nil"/>
                    <w:tr2bl w:val="nil"/>
                  </w:tcBorders>
                  <w:noWrap w:val="0"/>
                  <w:vAlign w:val="center"/>
                </w:tcPr>
                <w:p w14:paraId="6C101861">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符合</w:t>
                  </w:r>
                </w:p>
              </w:tc>
            </w:tr>
            <w:tr w14:paraId="0599F5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302" w:type="pct"/>
                  <w:tcBorders>
                    <w:tl2br w:val="nil"/>
                    <w:tr2bl w:val="nil"/>
                  </w:tcBorders>
                  <w:noWrap w:val="0"/>
                  <w:vAlign w:val="center"/>
                </w:tcPr>
                <w:p w14:paraId="1EADDCEA">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三</w:t>
                  </w:r>
                </w:p>
              </w:tc>
              <w:tc>
                <w:tcPr>
                  <w:tcW w:w="2666" w:type="pct"/>
                  <w:tcBorders>
                    <w:tl2br w:val="nil"/>
                    <w:tr2bl w:val="nil"/>
                  </w:tcBorders>
                  <w:noWrap w:val="0"/>
                  <w:vAlign w:val="center"/>
                </w:tcPr>
                <w:p w14:paraId="285DDBD3">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bidi="ar-SA"/>
                    </w:rPr>
                  </w:pPr>
                  <w:r>
                    <w:rPr>
                      <w:rFonts w:hint="default" w:ascii="Times New Roman" w:hAnsi="Times New Roman" w:eastAsia="宋体" w:cs="Times New Roman"/>
                      <w:i w:val="0"/>
                      <w:iCs w:val="0"/>
                      <w:caps w:val="0"/>
                      <w:color w:val="auto"/>
                      <w:spacing w:val="0"/>
                      <w:sz w:val="18"/>
                      <w:szCs w:val="18"/>
                      <w:highlight w:val="none"/>
                      <w:shd w:val="clear" w:color="auto" w:fill="FFFFFF"/>
                    </w:rPr>
                    <w:t>坚持生态优先、绿色发展理念，将区域生态环境保护作为首要任务，保护生态空间，控制开发强度，严格环境准入，进一步优化空间布局、开发任务和建设时序。全面落实环境敏感区保护要求，对优先保护、重点保护的区域，严禁不符合管控要求的各类开发建设活动。园区各产业区与环境敏感区之间应设置合理的防护隔离区，有效防范环境污染和事故风险，确保区域生态安全。</w:t>
                  </w:r>
                </w:p>
              </w:tc>
              <w:tc>
                <w:tcPr>
                  <w:tcW w:w="1582" w:type="pct"/>
                  <w:tcBorders>
                    <w:tl2br w:val="nil"/>
                    <w:tr2bl w:val="nil"/>
                  </w:tcBorders>
                  <w:noWrap w:val="0"/>
                  <w:vAlign w:val="center"/>
                </w:tcPr>
                <w:p w14:paraId="7E6B32BE">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bidi="ar-SA"/>
                    </w:rPr>
                  </w:pPr>
                  <w:r>
                    <w:rPr>
                      <w:rFonts w:hint="eastAsia" w:ascii="Times New Roman" w:hAnsi="Times New Roman" w:eastAsia="宋体" w:cs="Times New Roman"/>
                      <w:bCs/>
                      <w:color w:val="auto"/>
                      <w:kern w:val="0"/>
                      <w:sz w:val="18"/>
                      <w:szCs w:val="18"/>
                      <w:highlight w:val="none"/>
                      <w:lang w:val="en-US" w:eastAsia="zh-CN"/>
                    </w:rPr>
                    <w:t>本项目建设符合园区产业定位，符合园区产业功能布局。</w:t>
                  </w:r>
                </w:p>
              </w:tc>
              <w:tc>
                <w:tcPr>
                  <w:tcW w:w="448" w:type="pct"/>
                  <w:tcBorders>
                    <w:tl2br w:val="nil"/>
                    <w:tr2bl w:val="nil"/>
                  </w:tcBorders>
                  <w:noWrap w:val="0"/>
                  <w:vAlign w:val="center"/>
                </w:tcPr>
                <w:p w14:paraId="1EACCF04">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符合</w:t>
                  </w:r>
                </w:p>
              </w:tc>
            </w:tr>
            <w:tr w14:paraId="21FF49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40" w:hRule="atLeast"/>
                <w:jc w:val="center"/>
              </w:trPr>
              <w:tc>
                <w:tcPr>
                  <w:tcW w:w="302" w:type="pct"/>
                  <w:tcBorders>
                    <w:tl2br w:val="nil"/>
                    <w:tr2bl w:val="nil"/>
                  </w:tcBorders>
                  <w:noWrap w:val="0"/>
                  <w:vAlign w:val="center"/>
                </w:tcPr>
                <w:p w14:paraId="7EC199B5">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四</w:t>
                  </w:r>
                </w:p>
              </w:tc>
              <w:tc>
                <w:tcPr>
                  <w:tcW w:w="2666" w:type="pct"/>
                  <w:tcBorders>
                    <w:tl2br w:val="nil"/>
                    <w:tr2bl w:val="nil"/>
                  </w:tcBorders>
                  <w:noWrap w:val="0"/>
                  <w:vAlign w:val="center"/>
                </w:tcPr>
                <w:p w14:paraId="6FFAF2EE">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bidi="ar-SA"/>
                    </w:rPr>
                  </w:pPr>
                  <w:r>
                    <w:rPr>
                      <w:rFonts w:ascii="Segoe UI" w:hAnsi="Segoe UI" w:eastAsia="Segoe UI" w:cs="Segoe UI"/>
                      <w:i w:val="0"/>
                      <w:iCs w:val="0"/>
                      <w:caps w:val="0"/>
                      <w:color w:val="auto"/>
                      <w:spacing w:val="0"/>
                      <w:sz w:val="18"/>
                      <w:szCs w:val="18"/>
                      <w:highlight w:val="none"/>
                      <w:shd w:val="clear" w:color="auto" w:fill="FFFFFF"/>
                    </w:rPr>
                    <w:t>结合污染防治攻坚战的安排部署，统筹推进区域大气环境综合整治，严格落实园区及区域污染物削减；深化工业企业污染治理，做好重点行业污染防治，严控大气污染，确保规划期内区域生态环境质量达标改善。</w:t>
                  </w:r>
                </w:p>
              </w:tc>
              <w:tc>
                <w:tcPr>
                  <w:tcW w:w="1582" w:type="pct"/>
                  <w:tcBorders>
                    <w:tl2br w:val="nil"/>
                    <w:tr2bl w:val="nil"/>
                  </w:tcBorders>
                  <w:noWrap w:val="0"/>
                  <w:vAlign w:val="center"/>
                </w:tcPr>
                <w:p w14:paraId="57293546">
                  <w:pPr>
                    <w:keepNext w:val="0"/>
                    <w:keepLines w:val="0"/>
                    <w:pageBreakBefore w:val="0"/>
                    <w:widowControl/>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bidi="ar-SA"/>
                    </w:rPr>
                  </w:pPr>
                  <w:r>
                    <w:rPr>
                      <w:rFonts w:hint="eastAsia" w:ascii="Times New Roman" w:hAnsi="Times New Roman" w:eastAsia="宋体" w:cs="Times New Roman"/>
                      <w:bCs/>
                      <w:color w:val="auto"/>
                      <w:kern w:val="0"/>
                      <w:sz w:val="18"/>
                      <w:szCs w:val="18"/>
                      <w:highlight w:val="none"/>
                      <w:lang w:val="en-US" w:eastAsia="zh-CN"/>
                    </w:rPr>
                    <w:t>本项目建设符合园区产业定位，且项目属于基础设施工程，自身无废气排放，建设了火炬系统用于处理基地后续入驻中试项目事故状态下的废气排放，可最大限度减少大气污染物排放。</w:t>
                  </w:r>
                </w:p>
              </w:tc>
              <w:tc>
                <w:tcPr>
                  <w:tcW w:w="448" w:type="pct"/>
                  <w:tcBorders>
                    <w:tl2br w:val="nil"/>
                    <w:tr2bl w:val="nil"/>
                  </w:tcBorders>
                  <w:noWrap w:val="0"/>
                  <w:vAlign w:val="center"/>
                </w:tcPr>
                <w:p w14:paraId="569AC45E">
                  <w:pPr>
                    <w:keepNext w:val="0"/>
                    <w:keepLines w:val="0"/>
                    <w:pageBreakBefore w:val="0"/>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kern w:val="0"/>
                      <w:sz w:val="18"/>
                      <w:szCs w:val="18"/>
                      <w:highlight w:val="none"/>
                    </w:rPr>
                    <w:t>符合</w:t>
                  </w:r>
                </w:p>
              </w:tc>
            </w:tr>
            <w:tr w14:paraId="48B557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0" w:hRule="atLeast"/>
                <w:jc w:val="center"/>
              </w:trPr>
              <w:tc>
                <w:tcPr>
                  <w:tcW w:w="302" w:type="pct"/>
                  <w:tcBorders>
                    <w:tl2br w:val="nil"/>
                    <w:tr2bl w:val="nil"/>
                  </w:tcBorders>
                  <w:noWrap w:val="0"/>
                  <w:vAlign w:val="center"/>
                </w:tcPr>
                <w:p w14:paraId="36538BE5">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五</w:t>
                  </w:r>
                </w:p>
              </w:tc>
              <w:tc>
                <w:tcPr>
                  <w:tcW w:w="2666" w:type="pct"/>
                  <w:tcBorders>
                    <w:tl2br w:val="nil"/>
                    <w:tr2bl w:val="nil"/>
                  </w:tcBorders>
                  <w:noWrap w:val="0"/>
                  <w:vAlign w:val="center"/>
                </w:tcPr>
                <w:p w14:paraId="0574B43A">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i w:val="0"/>
                      <w:iCs w:val="0"/>
                      <w:caps w:val="0"/>
                      <w:color w:val="auto"/>
                      <w:spacing w:val="0"/>
                      <w:sz w:val="18"/>
                      <w:szCs w:val="18"/>
                      <w:highlight w:val="none"/>
                      <w:shd w:val="clear" w:color="auto" w:fill="FFFFFF"/>
                    </w:rPr>
                    <w:t>加强园区污水处理设施建设和运行管理，确保园区废水不外排。坚持 “以水定产、以水定规模”，优先利用再生水作为生产水源。合理确定园区热源建设方案，采用集中供热或因地制宜利用清洁能源实现供热、供汽。逐步提高固体废弃物综合利用率，统筹建设固体废物贮存场所并规范管理。</w:t>
                  </w:r>
                </w:p>
              </w:tc>
              <w:tc>
                <w:tcPr>
                  <w:tcW w:w="1582" w:type="pct"/>
                  <w:tcBorders>
                    <w:tl2br w:val="nil"/>
                    <w:tr2bl w:val="nil"/>
                  </w:tcBorders>
                  <w:noWrap w:val="0"/>
                  <w:vAlign w:val="center"/>
                </w:tcPr>
                <w:p w14:paraId="5C5CFE32">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本项目无生产废水排放，生活污水经化粪池收集后，由清污车辆定期清掏拉运至园区生活污水处理厂处理。项目供热采用</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bCs/>
                      <w:color w:val="auto"/>
                      <w:kern w:val="0"/>
                      <w:sz w:val="18"/>
                      <w:szCs w:val="18"/>
                      <w:highlight w:val="none"/>
                      <w:lang w:val="en-US" w:eastAsia="zh-CN"/>
                    </w:rPr>
                    <w:t>中压蒸汽经基地内建设换热站换热后用于基地冬季采暖；基地内建设有危废库，可满足中试基地后续中试项目的危废贮存。</w:t>
                  </w:r>
                </w:p>
              </w:tc>
              <w:tc>
                <w:tcPr>
                  <w:tcW w:w="448" w:type="pct"/>
                  <w:tcBorders>
                    <w:tl2br w:val="nil"/>
                    <w:tr2bl w:val="nil"/>
                  </w:tcBorders>
                  <w:noWrap w:val="0"/>
                  <w:vAlign w:val="center"/>
                </w:tcPr>
                <w:p w14:paraId="09B407CE">
                  <w:pPr>
                    <w:keepNext w:val="0"/>
                    <w:keepLines w:val="0"/>
                    <w:pageBreakBefore w:val="0"/>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kern w:val="0"/>
                      <w:sz w:val="18"/>
                      <w:szCs w:val="18"/>
                      <w:highlight w:val="none"/>
                    </w:rPr>
                    <w:t>符合</w:t>
                  </w:r>
                </w:p>
              </w:tc>
            </w:tr>
            <w:tr w14:paraId="46463E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0" w:hRule="atLeast"/>
                <w:jc w:val="center"/>
              </w:trPr>
              <w:tc>
                <w:tcPr>
                  <w:tcW w:w="302" w:type="pct"/>
                  <w:tcBorders>
                    <w:tl2br w:val="nil"/>
                    <w:tr2bl w:val="nil"/>
                  </w:tcBorders>
                  <w:noWrap w:val="0"/>
                  <w:vAlign w:val="center"/>
                </w:tcPr>
                <w:p w14:paraId="645C138B">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六</w:t>
                  </w:r>
                </w:p>
              </w:tc>
              <w:tc>
                <w:tcPr>
                  <w:tcW w:w="2666" w:type="pct"/>
                  <w:tcBorders>
                    <w:tl2br w:val="nil"/>
                    <w:tr2bl w:val="nil"/>
                  </w:tcBorders>
                  <w:noWrap w:val="0"/>
                  <w:vAlign w:val="center"/>
                </w:tcPr>
                <w:p w14:paraId="1D54B258">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i w:val="0"/>
                      <w:iCs w:val="0"/>
                      <w:caps w:val="0"/>
                      <w:color w:val="auto"/>
                      <w:spacing w:val="0"/>
                      <w:sz w:val="18"/>
                      <w:szCs w:val="18"/>
                      <w:highlight w:val="none"/>
                      <w:shd w:val="clear" w:color="auto" w:fill="FFFFFF"/>
                    </w:rPr>
                    <w:t>全面落实黄河流域生态保护和高质量发展各项要求，严格执行沿黄两岸开发建设相关规定，制定落实最严格的环境风险防范措施，有效防范环境污染和事故风险。</w:t>
                  </w:r>
                </w:p>
              </w:tc>
              <w:tc>
                <w:tcPr>
                  <w:tcW w:w="1582" w:type="pct"/>
                  <w:tcBorders>
                    <w:tl2br w:val="nil"/>
                    <w:tr2bl w:val="nil"/>
                  </w:tcBorders>
                  <w:noWrap w:val="0"/>
                  <w:vAlign w:val="center"/>
                </w:tcPr>
                <w:p w14:paraId="1AB741DA">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本项目选址不在沿黄区域。</w:t>
                  </w:r>
                </w:p>
              </w:tc>
              <w:tc>
                <w:tcPr>
                  <w:tcW w:w="448" w:type="pct"/>
                  <w:tcBorders>
                    <w:tl2br w:val="nil"/>
                    <w:tr2bl w:val="nil"/>
                  </w:tcBorders>
                  <w:noWrap w:val="0"/>
                  <w:vAlign w:val="center"/>
                </w:tcPr>
                <w:p w14:paraId="5FFFE583">
                  <w:pPr>
                    <w:keepNext w:val="0"/>
                    <w:keepLines w:val="0"/>
                    <w:pageBreakBefore w:val="0"/>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kern w:val="0"/>
                      <w:sz w:val="18"/>
                      <w:szCs w:val="18"/>
                      <w:highlight w:val="none"/>
                    </w:rPr>
                    <w:t>符合</w:t>
                  </w:r>
                </w:p>
              </w:tc>
            </w:tr>
            <w:tr w14:paraId="410F0B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0" w:hRule="atLeast"/>
                <w:jc w:val="center"/>
              </w:trPr>
              <w:tc>
                <w:tcPr>
                  <w:tcW w:w="302" w:type="pct"/>
                  <w:tcBorders>
                    <w:tl2br w:val="nil"/>
                    <w:tr2bl w:val="nil"/>
                  </w:tcBorders>
                  <w:noWrap w:val="0"/>
                  <w:vAlign w:val="center"/>
                </w:tcPr>
                <w:p w14:paraId="3EB14455">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bCs/>
                      <w:color w:val="auto"/>
                      <w:kern w:val="0"/>
                      <w:sz w:val="18"/>
                      <w:szCs w:val="18"/>
                      <w:highlight w:val="none"/>
                    </w:rPr>
                    <w:t>七</w:t>
                  </w:r>
                </w:p>
              </w:tc>
              <w:tc>
                <w:tcPr>
                  <w:tcW w:w="2666" w:type="pct"/>
                  <w:tcBorders>
                    <w:tl2br w:val="nil"/>
                    <w:tr2bl w:val="nil"/>
                  </w:tcBorders>
                  <w:noWrap w:val="0"/>
                  <w:vAlign w:val="center"/>
                </w:tcPr>
                <w:p w14:paraId="55F00D38">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i w:val="0"/>
                      <w:iCs w:val="0"/>
                      <w:caps w:val="0"/>
                      <w:color w:val="auto"/>
                      <w:spacing w:val="0"/>
                      <w:sz w:val="18"/>
                      <w:szCs w:val="18"/>
                      <w:highlight w:val="none"/>
                      <w:shd w:val="clear" w:color="auto" w:fill="FFFFFF"/>
                    </w:rPr>
                    <w:t>加强环境监管及日常环境质量监测。重点企业排污口要设置在线监测系统并与环保部门联网，确保园区各企业污染物长期稳定达标排放。加强对区域大气、地下水、地表水、土壤、生态等的跟踪监测，对常规污染物和特征污染物实施有效监测和长期监控，防止发生环境污染事件。</w:t>
                  </w:r>
                </w:p>
              </w:tc>
              <w:tc>
                <w:tcPr>
                  <w:tcW w:w="1582" w:type="pct"/>
                  <w:tcBorders>
                    <w:tl2br w:val="nil"/>
                    <w:tr2bl w:val="nil"/>
                  </w:tcBorders>
                  <w:noWrap w:val="0"/>
                  <w:vAlign w:val="center"/>
                </w:tcPr>
                <w:p w14:paraId="730B0035">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本项目为中试基地基础设施工程，建成后不排放污染物。后续进入基地的具体中试项目根据其独立的环评报告要求开展环境质量监测。</w:t>
                  </w:r>
                </w:p>
              </w:tc>
              <w:tc>
                <w:tcPr>
                  <w:tcW w:w="448" w:type="pct"/>
                  <w:tcBorders>
                    <w:tl2br w:val="nil"/>
                    <w:tr2bl w:val="nil"/>
                  </w:tcBorders>
                  <w:noWrap w:val="0"/>
                  <w:vAlign w:val="center"/>
                </w:tcPr>
                <w:p w14:paraId="0D5FD10D">
                  <w:pPr>
                    <w:keepNext w:val="0"/>
                    <w:keepLines w:val="0"/>
                    <w:pageBreakBefore w:val="0"/>
                    <w:kinsoku/>
                    <w:wordWrap/>
                    <w:overflowPunct/>
                    <w:topLinePunct w:val="0"/>
                    <w:bidi w:val="0"/>
                    <w:snapToGrid/>
                    <w:spacing w:line="240" w:lineRule="auto"/>
                    <w:jc w:val="center"/>
                    <w:textAlignment w:val="auto"/>
                    <w:rPr>
                      <w:rFonts w:hint="eastAsia"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符合</w:t>
                  </w:r>
                </w:p>
              </w:tc>
            </w:tr>
            <w:tr w14:paraId="2BED06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0" w:hRule="atLeast"/>
                <w:jc w:val="center"/>
              </w:trPr>
              <w:tc>
                <w:tcPr>
                  <w:tcW w:w="302" w:type="pct"/>
                  <w:tcBorders>
                    <w:tl2br w:val="nil"/>
                    <w:tr2bl w:val="nil"/>
                  </w:tcBorders>
                  <w:noWrap w:val="0"/>
                  <w:vAlign w:val="center"/>
                </w:tcPr>
                <w:p w14:paraId="02979453">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lang w:val="en-US" w:eastAsia="zh-CN"/>
                    </w:rPr>
                  </w:pPr>
                  <w:r>
                    <w:rPr>
                      <w:rFonts w:hint="default" w:ascii="Times New Roman" w:hAnsi="Times New Roman" w:eastAsia="宋体" w:cs="Times New Roman"/>
                      <w:bCs/>
                      <w:color w:val="auto"/>
                      <w:kern w:val="0"/>
                      <w:sz w:val="18"/>
                      <w:szCs w:val="18"/>
                      <w:highlight w:val="none"/>
                      <w:lang w:val="en-US" w:eastAsia="zh-CN"/>
                    </w:rPr>
                    <w:t>八</w:t>
                  </w:r>
                </w:p>
              </w:tc>
              <w:tc>
                <w:tcPr>
                  <w:tcW w:w="2666" w:type="pct"/>
                  <w:tcBorders>
                    <w:tl2br w:val="nil"/>
                    <w:tr2bl w:val="nil"/>
                  </w:tcBorders>
                  <w:noWrap w:val="0"/>
                  <w:vAlign w:val="center"/>
                </w:tcPr>
                <w:p w14:paraId="5FFAE4DE">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i w:val="0"/>
                      <w:iCs w:val="0"/>
                      <w:caps w:val="0"/>
                      <w:color w:val="auto"/>
                      <w:spacing w:val="0"/>
                      <w:sz w:val="18"/>
                      <w:szCs w:val="18"/>
                      <w:highlight w:val="none"/>
                      <w:shd w:val="clear" w:color="auto" w:fill="FFFFFF"/>
                    </w:rPr>
                    <w:t>全面排查和梳理现有企业污染防治和环境风险情况，综合考虑拟引进项目的环境影响，在项目环评审批及事中事后监管中严格落实规划环评成果，推动园区实现经济高质量发展和生态环境高水平保护。</w:t>
                  </w:r>
                </w:p>
              </w:tc>
              <w:tc>
                <w:tcPr>
                  <w:tcW w:w="1582" w:type="pct"/>
                  <w:tcBorders>
                    <w:tl2br w:val="nil"/>
                    <w:tr2bl w:val="nil"/>
                  </w:tcBorders>
                  <w:noWrap w:val="0"/>
                  <w:vAlign w:val="center"/>
                </w:tcPr>
                <w:p w14:paraId="142F8551">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本项目为新建工程，不涉及现有企业；基地后续引入项目均须独立开展环境影响评价。</w:t>
                  </w:r>
                </w:p>
              </w:tc>
              <w:tc>
                <w:tcPr>
                  <w:tcW w:w="448" w:type="pct"/>
                  <w:tcBorders>
                    <w:tl2br w:val="nil"/>
                    <w:tr2bl w:val="nil"/>
                  </w:tcBorders>
                  <w:noWrap w:val="0"/>
                  <w:vAlign w:val="center"/>
                </w:tcPr>
                <w:p w14:paraId="6B4C84E4">
                  <w:pPr>
                    <w:keepNext w:val="0"/>
                    <w:keepLines w:val="0"/>
                    <w:pageBreakBefore w:val="0"/>
                    <w:kinsoku/>
                    <w:wordWrap/>
                    <w:overflowPunct/>
                    <w:topLinePunct w:val="0"/>
                    <w:bidi w:val="0"/>
                    <w:snapToGrid/>
                    <w:spacing w:line="240" w:lineRule="auto"/>
                    <w:jc w:val="center"/>
                    <w:textAlignment w:val="auto"/>
                    <w:rPr>
                      <w:rFonts w:hint="eastAsia"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符合</w:t>
                  </w:r>
                </w:p>
              </w:tc>
            </w:tr>
            <w:tr w14:paraId="23E9E9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20" w:hRule="atLeast"/>
                <w:jc w:val="center"/>
              </w:trPr>
              <w:tc>
                <w:tcPr>
                  <w:tcW w:w="302" w:type="pct"/>
                  <w:tcBorders>
                    <w:tl2br w:val="nil"/>
                    <w:tr2bl w:val="nil"/>
                  </w:tcBorders>
                  <w:noWrap w:val="0"/>
                  <w:vAlign w:val="center"/>
                </w:tcPr>
                <w:p w14:paraId="5F99CA8F">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bCs/>
                      <w:color w:val="auto"/>
                      <w:kern w:val="0"/>
                      <w:sz w:val="18"/>
                      <w:szCs w:val="18"/>
                      <w:highlight w:val="none"/>
                      <w:lang w:val="en-US" w:eastAsia="zh-CN"/>
                    </w:rPr>
                  </w:pPr>
                  <w:r>
                    <w:rPr>
                      <w:rFonts w:hint="default" w:ascii="Times New Roman" w:hAnsi="Times New Roman" w:eastAsia="宋体" w:cs="Times New Roman"/>
                      <w:bCs/>
                      <w:color w:val="auto"/>
                      <w:kern w:val="0"/>
                      <w:sz w:val="18"/>
                      <w:szCs w:val="18"/>
                      <w:highlight w:val="none"/>
                      <w:lang w:val="en-US" w:eastAsia="zh-CN"/>
                    </w:rPr>
                    <w:t>九</w:t>
                  </w:r>
                </w:p>
              </w:tc>
              <w:tc>
                <w:tcPr>
                  <w:tcW w:w="2666" w:type="pct"/>
                  <w:tcBorders>
                    <w:tl2br w:val="nil"/>
                    <w:tr2bl w:val="nil"/>
                  </w:tcBorders>
                  <w:noWrap w:val="0"/>
                  <w:vAlign w:val="center"/>
                </w:tcPr>
                <w:p w14:paraId="00E64EF0">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rPr>
                  </w:pPr>
                  <w:r>
                    <w:rPr>
                      <w:rFonts w:hint="default" w:ascii="Times New Roman" w:hAnsi="Times New Roman" w:eastAsia="宋体" w:cs="Times New Roman"/>
                      <w:i w:val="0"/>
                      <w:iCs w:val="0"/>
                      <w:caps w:val="0"/>
                      <w:color w:val="auto"/>
                      <w:spacing w:val="0"/>
                      <w:sz w:val="18"/>
                      <w:szCs w:val="18"/>
                      <w:highlight w:val="none"/>
                      <w:shd w:val="clear" w:color="auto" w:fill="FFFFFF"/>
                    </w:rPr>
                    <w:t>总体规划实施对环境产生重大影响时，应当及时组织环境影响的跟踪评价。对规划所包含的建设项目，在开展环境影响评价时，应重点分析污染防治措施和环境风险防范措施的可行性、可靠性，环境质量现状等工作内容可以适当简化。</w:t>
                  </w:r>
                </w:p>
              </w:tc>
              <w:tc>
                <w:tcPr>
                  <w:tcW w:w="1582" w:type="pct"/>
                  <w:tcBorders>
                    <w:tl2br w:val="nil"/>
                    <w:tr2bl w:val="nil"/>
                  </w:tcBorders>
                  <w:noWrap w:val="0"/>
                  <w:vAlign w:val="center"/>
                </w:tcPr>
                <w:p w14:paraId="4E3BD3A5">
                  <w:pPr>
                    <w:keepNext w:val="0"/>
                    <w:keepLines w:val="0"/>
                    <w:pageBreakBefore w:val="0"/>
                    <w:kinsoku/>
                    <w:wordWrap/>
                    <w:overflowPunct/>
                    <w:topLinePunct w:val="0"/>
                    <w:autoSpaceDE w:val="0"/>
                    <w:autoSpaceDN w:val="0"/>
                    <w:bidi w:val="0"/>
                    <w:adjustRightInd w:val="0"/>
                    <w:snapToGrid/>
                    <w:spacing w:line="240" w:lineRule="auto"/>
                    <w:textAlignment w:val="auto"/>
                    <w:rPr>
                      <w:rFonts w:hint="default" w:ascii="Times New Roman" w:hAnsi="Times New Roman" w:eastAsia="宋体" w:cs="Times New Roman"/>
                      <w:bCs/>
                      <w:color w:val="auto"/>
                      <w:kern w:val="0"/>
                      <w:sz w:val="18"/>
                      <w:szCs w:val="18"/>
                      <w:highlight w:val="none"/>
                      <w:lang w:val="en-US" w:eastAsia="zh-CN"/>
                    </w:rPr>
                  </w:pPr>
                  <w:r>
                    <w:rPr>
                      <w:rFonts w:hint="eastAsia" w:ascii="Times New Roman" w:hAnsi="Times New Roman" w:eastAsia="宋体" w:cs="Times New Roman"/>
                      <w:bCs/>
                      <w:color w:val="auto"/>
                      <w:kern w:val="0"/>
                      <w:sz w:val="18"/>
                      <w:szCs w:val="18"/>
                      <w:highlight w:val="none"/>
                      <w:lang w:val="en-US" w:eastAsia="zh-CN"/>
                    </w:rPr>
                    <w:t>本项目属于园区内建设项目，本次环境影响评价对污染防治措施、环境风险防治措施的可行性进行了论证分析。措施均可行。</w:t>
                  </w:r>
                </w:p>
              </w:tc>
              <w:tc>
                <w:tcPr>
                  <w:tcW w:w="448" w:type="pct"/>
                  <w:tcBorders>
                    <w:tl2br w:val="nil"/>
                    <w:tr2bl w:val="nil"/>
                  </w:tcBorders>
                  <w:noWrap w:val="0"/>
                  <w:vAlign w:val="center"/>
                </w:tcPr>
                <w:p w14:paraId="21EBC5C5">
                  <w:pPr>
                    <w:keepNext w:val="0"/>
                    <w:keepLines w:val="0"/>
                    <w:pageBreakBefore w:val="0"/>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kern w:val="0"/>
                      <w:sz w:val="18"/>
                      <w:szCs w:val="18"/>
                      <w:highlight w:val="none"/>
                    </w:rPr>
                    <w:t>符合</w:t>
                  </w:r>
                </w:p>
              </w:tc>
            </w:tr>
          </w:tbl>
          <w:p w14:paraId="46D3B871">
            <w:pPr>
              <w:pStyle w:val="47"/>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both"/>
              <w:textAlignment w:val="auto"/>
              <w:rPr>
                <w:rFonts w:ascii="宋体" w:hAnsi="宋体" w:cs="宋体"/>
                <w:color w:val="auto"/>
                <w:kern w:val="0"/>
                <w:szCs w:val="21"/>
                <w:highlight w:val="none"/>
              </w:rPr>
            </w:pPr>
            <w:r>
              <w:rPr>
                <w:rFonts w:hint="eastAsia"/>
                <w:color w:val="auto"/>
                <w:sz w:val="21"/>
                <w:szCs w:val="21"/>
                <w:highlight w:val="none"/>
                <w:lang w:val="en-US" w:eastAsia="zh-CN"/>
              </w:rPr>
              <w:t>综上，本项目符合规划环评产业定位与产业布局，符合园区准入条件，符合规划环评审查意见的要求。</w:t>
            </w:r>
          </w:p>
        </w:tc>
      </w:tr>
      <w:tr w14:paraId="79FED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trPr>
        <w:tc>
          <w:tcPr>
            <w:tcW w:w="2024" w:type="dxa"/>
            <w:noWrap w:val="0"/>
            <w:tcMar>
              <w:top w:w="16" w:type="dxa"/>
              <w:left w:w="16" w:type="dxa"/>
              <w:right w:w="16" w:type="dxa"/>
            </w:tcMar>
            <w:vAlign w:val="center"/>
          </w:tcPr>
          <w:p w14:paraId="000289F0">
            <w:pPr>
              <w:autoSpaceDE w:val="0"/>
              <w:autoSpaceDN w:val="0"/>
              <w:adjustRightInd w:val="0"/>
              <w:snapToGrid w:val="0"/>
              <w:jc w:val="center"/>
              <w:rPr>
                <w:rFonts w:ascii="宋体" w:hAnsi="宋体" w:cs="宋体"/>
                <w:color w:val="auto"/>
                <w:kern w:val="0"/>
                <w:szCs w:val="21"/>
                <w:highlight w:val="none"/>
              </w:rPr>
            </w:pPr>
            <w:bookmarkStart w:id="0" w:name="_Hlk56690880"/>
            <w:r>
              <w:rPr>
                <w:rFonts w:hint="eastAsia" w:ascii="宋体" w:hAnsi="宋体" w:cs="宋体"/>
                <w:color w:val="auto"/>
                <w:kern w:val="0"/>
                <w:szCs w:val="21"/>
                <w:highlight w:val="none"/>
              </w:rPr>
              <w:t>其他符合性分析</w:t>
            </w:r>
            <w:bookmarkEnd w:id="0"/>
          </w:p>
        </w:tc>
        <w:tc>
          <w:tcPr>
            <w:tcW w:w="7015" w:type="dxa"/>
            <w:gridSpan w:val="4"/>
            <w:noWrap w:val="0"/>
            <w:tcMar>
              <w:top w:w="16" w:type="dxa"/>
              <w:left w:w="16" w:type="dxa"/>
              <w:right w:w="16" w:type="dxa"/>
            </w:tcMar>
            <w:vAlign w:val="center"/>
          </w:tcPr>
          <w:p w14:paraId="4EEA53EC">
            <w:pPr>
              <w:numPr>
                <w:ilvl w:val="0"/>
                <w:numId w:val="3"/>
              </w:numPr>
              <w:autoSpaceDE w:val="0"/>
              <w:autoSpaceDN w:val="0"/>
              <w:adjustRightInd w:val="0"/>
              <w:snapToGrid w:val="0"/>
              <w:spacing w:line="360" w:lineRule="auto"/>
              <w:ind w:firstLine="422" w:firstLineChars="200"/>
              <w:rPr>
                <w:b/>
                <w:bCs/>
                <w:color w:val="auto"/>
                <w:sz w:val="21"/>
                <w:szCs w:val="21"/>
                <w:highlight w:val="none"/>
              </w:rPr>
            </w:pPr>
            <w:r>
              <w:rPr>
                <w:rFonts w:hint="eastAsia"/>
                <w:b/>
                <w:bCs/>
                <w:color w:val="auto"/>
                <w:sz w:val="21"/>
                <w:szCs w:val="21"/>
                <w:highlight w:val="none"/>
              </w:rPr>
              <w:t>产业政策符合性分析</w:t>
            </w:r>
          </w:p>
          <w:p w14:paraId="50719A0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color w:val="auto"/>
                <w:sz w:val="21"/>
                <w:szCs w:val="21"/>
                <w:highlight w:val="none"/>
                <w:lang w:val="en-US" w:eastAsia="zh-CN"/>
              </w:rPr>
              <w:t>对照</w:t>
            </w:r>
            <w:r>
              <w:rPr>
                <w:rFonts w:hint="default" w:ascii="Times New Roman" w:hAnsi="Times New Roman" w:eastAsia="宋体" w:cs="Times New Roman"/>
                <w:color w:val="auto"/>
                <w:kern w:val="0"/>
                <w:sz w:val="21"/>
                <w:szCs w:val="21"/>
                <w:highlight w:val="none"/>
                <w:lang w:bidi="ar"/>
              </w:rPr>
              <w:t>《产业结构调整指导目录（2024年本）》</w:t>
            </w: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val="en-US" w:eastAsia="zh-CN"/>
              </w:rPr>
              <w:t>为</w:t>
            </w:r>
            <w:r>
              <w:rPr>
                <w:rFonts w:hint="eastAsia" w:ascii="Times New Roman" w:hAnsi="Times New Roman" w:eastAsia="宋体" w:cs="Times New Roman"/>
                <w:color w:val="auto"/>
                <w:sz w:val="21"/>
                <w:szCs w:val="21"/>
                <w:highlight w:val="none"/>
                <w:lang w:val="en-US" w:eastAsia="zh-CN"/>
              </w:rPr>
              <w:t>煤化工中试基地基础设施工程</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属于鼓励类</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bidi="ar"/>
              </w:rPr>
              <w:t>三十一、科技服务业中</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lang w:val="en-US" w:eastAsia="zh-CN" w:bidi="ar"/>
              </w:rPr>
              <w:t>10．科技创新平台建设：国家级工程（技术）研究中心、国家产业创新中心、国家农业高新技术产业示范区、国家农业科技园区、国家认定的企业技术中心、国家实验室、全国重点实验室、国家重大科技基础设施、科技企业孵化器、众创空间、绿色技术创新基地平台、新产品开发设计中心、科教基础设施、产业集群综合公共服务平台、</w:t>
            </w:r>
            <w:r>
              <w:rPr>
                <w:rFonts w:hint="default" w:ascii="Times New Roman" w:hAnsi="Times New Roman" w:eastAsia="宋体" w:cs="Times New Roman"/>
                <w:b/>
                <w:bCs/>
                <w:color w:val="auto"/>
                <w:kern w:val="0"/>
                <w:sz w:val="21"/>
                <w:szCs w:val="21"/>
                <w:highlight w:val="none"/>
                <w:lang w:val="en-US" w:eastAsia="zh-CN" w:bidi="ar"/>
              </w:rPr>
              <w:t>中试基地</w:t>
            </w:r>
            <w:r>
              <w:rPr>
                <w:rFonts w:hint="default" w:ascii="Times New Roman" w:hAnsi="Times New Roman" w:eastAsia="宋体" w:cs="Times New Roman"/>
                <w:color w:val="auto"/>
                <w:kern w:val="0"/>
                <w:sz w:val="21"/>
                <w:szCs w:val="21"/>
                <w:highlight w:val="none"/>
                <w:lang w:val="en-US" w:eastAsia="zh-CN" w:bidi="ar"/>
              </w:rPr>
              <w:t>、实验基地、国家技术创新中心建设。</w:t>
            </w:r>
            <w:r>
              <w:rPr>
                <w:rFonts w:hint="eastAsia" w:ascii="Times New Roman" w:hAnsi="Times New Roman" w:eastAsia="宋体" w:cs="Times New Roman"/>
                <w:color w:val="auto"/>
                <w:kern w:val="0"/>
                <w:sz w:val="21"/>
                <w:szCs w:val="21"/>
                <w:highlight w:val="none"/>
                <w:lang w:val="en-US" w:eastAsia="zh-CN" w:bidi="ar"/>
              </w:rPr>
              <w:t>”</w:t>
            </w:r>
            <w:r>
              <w:rPr>
                <w:rFonts w:hint="default" w:ascii="Times New Roman" w:hAnsi="Times New Roman" w:eastAsia="宋体" w:cs="Times New Roman"/>
                <w:color w:val="auto"/>
                <w:sz w:val="21"/>
                <w:szCs w:val="21"/>
                <w:highlight w:val="none"/>
              </w:rPr>
              <w:t>符合国家产业政策。</w:t>
            </w:r>
          </w:p>
          <w:p w14:paraId="24BA537F">
            <w:pPr>
              <w:numPr>
                <w:ilvl w:val="0"/>
                <w:numId w:val="3"/>
              </w:numPr>
              <w:autoSpaceDE w:val="0"/>
              <w:autoSpaceDN w:val="0"/>
              <w:adjustRightInd w:val="0"/>
              <w:snapToGrid w:val="0"/>
              <w:spacing w:line="360" w:lineRule="auto"/>
              <w:ind w:firstLine="422" w:firstLineChars="200"/>
              <w:rPr>
                <w:b/>
                <w:bCs/>
                <w:color w:val="auto"/>
                <w:sz w:val="21"/>
                <w:szCs w:val="21"/>
                <w:highlight w:val="none"/>
              </w:rPr>
            </w:pPr>
            <w:r>
              <w:rPr>
                <w:rFonts w:hint="eastAsia"/>
                <w:b/>
                <w:bCs/>
                <w:color w:val="auto"/>
                <w:sz w:val="21"/>
                <w:szCs w:val="21"/>
                <w:highlight w:val="none"/>
                <w:lang w:val="en-US" w:eastAsia="zh-CN"/>
              </w:rPr>
              <w:t>生态环境分区管控</w:t>
            </w:r>
            <w:r>
              <w:rPr>
                <w:b/>
                <w:bCs/>
                <w:color w:val="auto"/>
                <w:sz w:val="21"/>
                <w:szCs w:val="21"/>
                <w:highlight w:val="none"/>
              </w:rPr>
              <w:t>符合性分析</w:t>
            </w:r>
          </w:p>
          <w:p w14:paraId="768F8C07">
            <w:pPr>
              <w:widowControl/>
              <w:spacing w:line="360" w:lineRule="auto"/>
              <w:ind w:firstLine="420" w:firstLineChars="200"/>
              <w:jc w:val="both"/>
              <w:rPr>
                <w:color w:val="auto"/>
                <w:sz w:val="21"/>
                <w:szCs w:val="21"/>
                <w:highlight w:val="none"/>
              </w:rPr>
            </w:pPr>
            <w:r>
              <w:rPr>
                <w:rFonts w:hint="eastAsia"/>
                <w:color w:val="auto"/>
                <w:sz w:val="21"/>
                <w:szCs w:val="21"/>
                <w:highlight w:val="none"/>
                <w:shd w:val="clear" w:color="auto" w:fill="FFFFFF"/>
                <w:lang w:val="en-US" w:eastAsia="zh-CN"/>
              </w:rPr>
              <w:t>根据</w:t>
            </w:r>
            <w:r>
              <w:rPr>
                <w:rFonts w:hint="eastAsia"/>
                <w:color w:val="auto"/>
                <w:sz w:val="21"/>
                <w:szCs w:val="21"/>
                <w:highlight w:val="none"/>
                <w:shd w:val="clear" w:color="auto" w:fill="FFFFFF"/>
              </w:rPr>
              <w:t>《鄂尔多斯市生态环境分区管控动态更新成果(2023年版)》</w:t>
            </w:r>
            <w:r>
              <w:rPr>
                <w:color w:val="auto"/>
                <w:sz w:val="21"/>
                <w:szCs w:val="21"/>
                <w:highlight w:val="none"/>
                <w:shd w:val="clear" w:color="auto" w:fill="FFFFFF"/>
              </w:rPr>
              <w:t>，</w:t>
            </w:r>
            <w:r>
              <w:rPr>
                <w:rFonts w:hint="eastAsia"/>
                <w:color w:val="auto"/>
                <w:sz w:val="21"/>
                <w:szCs w:val="21"/>
                <w:highlight w:val="none"/>
              </w:rPr>
              <w:t>全市按优先保护、重点管控、一般管控三大类划分为171个环境管控单元。其中，优先保护单元76个，面积占比64.35%；重点管控单元86个，面积占比28.10%；一般管控单元9个，面积占比7.56%。</w:t>
            </w:r>
          </w:p>
          <w:p w14:paraId="48C3EE23">
            <w:pPr>
              <w:widowControl/>
              <w:spacing w:line="360" w:lineRule="auto"/>
              <w:ind w:firstLine="420" w:firstLineChars="2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（1）生态保护红线</w:t>
            </w:r>
          </w:p>
          <w:p w14:paraId="0B672555">
            <w:pPr>
              <w:widowControl/>
              <w:spacing w:line="360" w:lineRule="auto"/>
              <w:ind w:firstLine="420" w:firstLineChars="200"/>
              <w:jc w:val="both"/>
              <w:rPr>
                <w:rFonts w:hint="default" w:ascii="Times New Roman" w:hAnsi="Times New Roman" w:eastAsia="宋体" w:cs="Times New Roman"/>
                <w:color w:val="auto"/>
                <w:kern w:val="0"/>
                <w:sz w:val="21"/>
                <w:szCs w:val="21"/>
                <w:highlight w:val="none"/>
                <w:lang w:bidi="ar"/>
              </w:rPr>
            </w:pPr>
            <w:r>
              <w:rPr>
                <w:rFonts w:hint="default" w:ascii="Times New Roman" w:hAnsi="Times New Roman" w:eastAsia="宋体" w:cs="Times New Roman"/>
                <w:color w:val="auto"/>
                <w:sz w:val="21"/>
                <w:szCs w:val="21"/>
                <w:highlight w:val="none"/>
              </w:rPr>
              <w:t>本项目位于</w:t>
            </w:r>
            <w:r>
              <w:rPr>
                <w:rFonts w:hint="default" w:ascii="Times New Roman" w:hAnsi="Times New Roman" w:eastAsia="宋体" w:cs="Times New Roman"/>
                <w:color w:val="auto"/>
                <w:sz w:val="21"/>
                <w:szCs w:val="21"/>
                <w:highlight w:val="none"/>
                <w:lang w:val="en-US" w:eastAsia="zh-CN"/>
              </w:rPr>
              <w:t>乌审旗</w:t>
            </w:r>
            <w:r>
              <w:rPr>
                <w:rFonts w:hint="eastAsia" w:ascii="Times New Roman" w:hAnsi="Times New Roman" w:eastAsia="宋体" w:cs="Times New Roman"/>
                <w:color w:val="auto"/>
                <w:sz w:val="21"/>
                <w:szCs w:val="21"/>
                <w:highlight w:val="none"/>
                <w:lang w:val="en-US" w:eastAsia="zh-CN"/>
              </w:rPr>
              <w:t>苏里格经济开发区图克工业项目区</w:t>
            </w:r>
            <w:r>
              <w:rPr>
                <w:rFonts w:hint="default" w:ascii="Times New Roman" w:hAnsi="Times New Roman" w:eastAsia="宋体" w:cs="Times New Roman"/>
                <w:color w:val="auto"/>
                <w:sz w:val="21"/>
                <w:szCs w:val="21"/>
                <w:highlight w:val="none"/>
              </w:rPr>
              <w:t>，经内蒙古自治区生态环境厅“三线一单”数据应用平台查询，本项目位于</w:t>
            </w:r>
            <w:r>
              <w:rPr>
                <w:rFonts w:hint="eastAsia" w:ascii="Times New Roman" w:hAnsi="Times New Roman" w:eastAsia="宋体" w:cs="Times New Roman"/>
                <w:color w:val="auto"/>
                <w:kern w:val="0"/>
                <w:sz w:val="21"/>
                <w:szCs w:val="21"/>
                <w:highlight w:val="none"/>
                <w:lang w:val="en-US" w:eastAsia="zh-CN" w:bidi="ar"/>
              </w:rPr>
              <w:t>内蒙古鄂尔多斯苏里格经济开发区</w:t>
            </w:r>
            <w:r>
              <w:rPr>
                <w:rFonts w:hint="default" w:ascii="Times New Roman" w:hAnsi="Times New Roman" w:eastAsia="宋体" w:cs="Times New Roman"/>
                <w:color w:val="auto"/>
                <w:kern w:val="0"/>
                <w:sz w:val="21"/>
                <w:szCs w:val="21"/>
                <w:highlight w:val="none"/>
                <w:lang w:bidi="ar"/>
              </w:rPr>
              <w:t>（ZH15062</w:t>
            </w:r>
            <w:r>
              <w:rPr>
                <w:rFonts w:hint="default" w:ascii="Times New Roman" w:hAnsi="Times New Roman" w:eastAsia="宋体" w:cs="Times New Roman"/>
                <w:color w:val="auto"/>
                <w:kern w:val="0"/>
                <w:sz w:val="21"/>
                <w:szCs w:val="21"/>
                <w:highlight w:val="none"/>
                <w:lang w:val="en-US" w:eastAsia="zh-CN" w:bidi="ar"/>
              </w:rPr>
              <w:t>62</w:t>
            </w:r>
            <w:r>
              <w:rPr>
                <w:rFonts w:hint="default" w:ascii="Times New Roman" w:hAnsi="Times New Roman" w:eastAsia="宋体" w:cs="Times New Roman"/>
                <w:color w:val="auto"/>
                <w:kern w:val="0"/>
                <w:sz w:val="21"/>
                <w:szCs w:val="21"/>
                <w:highlight w:val="none"/>
                <w:lang w:bidi="ar"/>
              </w:rPr>
              <w:t>000</w:t>
            </w:r>
            <w:r>
              <w:rPr>
                <w:rFonts w:hint="eastAsia" w:ascii="Times New Roman" w:hAnsi="Times New Roman" w:eastAsia="宋体" w:cs="Times New Roman"/>
                <w:color w:val="auto"/>
                <w:kern w:val="0"/>
                <w:sz w:val="21"/>
                <w:szCs w:val="21"/>
                <w:highlight w:val="none"/>
                <w:lang w:val="en-US" w:eastAsia="zh-CN" w:bidi="ar"/>
              </w:rPr>
              <w:t>2</w:t>
            </w:r>
            <w:r>
              <w:rPr>
                <w:rFonts w:hint="default" w:ascii="Times New Roman" w:hAnsi="Times New Roman" w:eastAsia="宋体" w:cs="Times New Roman"/>
                <w:color w:val="auto"/>
                <w:kern w:val="0"/>
                <w:sz w:val="21"/>
                <w:szCs w:val="21"/>
                <w:highlight w:val="none"/>
                <w:lang w:bidi="ar"/>
              </w:rPr>
              <w:t>），</w:t>
            </w:r>
            <w:r>
              <w:rPr>
                <w:rFonts w:hint="default" w:ascii="Times New Roman" w:hAnsi="Times New Roman" w:eastAsia="宋体" w:cs="Times New Roman"/>
                <w:color w:val="auto"/>
                <w:kern w:val="0"/>
                <w:sz w:val="21"/>
                <w:szCs w:val="21"/>
                <w:highlight w:val="none"/>
                <w:lang w:val="en-US" w:eastAsia="zh-CN" w:bidi="ar"/>
              </w:rPr>
              <w:t>属于重点管控单元</w:t>
            </w:r>
            <w:r>
              <w:rPr>
                <w:rFonts w:hint="default" w:ascii="Times New Roman" w:hAnsi="Times New Roman" w:eastAsia="宋体" w:cs="Times New Roman"/>
                <w:color w:val="auto"/>
                <w:kern w:val="0"/>
                <w:sz w:val="21"/>
                <w:szCs w:val="21"/>
                <w:highlight w:val="none"/>
                <w:lang w:bidi="ar"/>
              </w:rPr>
              <w:t>，故项目不涉及生态保护红线。</w:t>
            </w:r>
          </w:p>
          <w:p w14:paraId="7A789266">
            <w:pPr>
              <w:pStyle w:val="5"/>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bidi="ar"/>
              </w:rPr>
              <w:t>本项目在</w:t>
            </w:r>
            <w:r>
              <w:rPr>
                <w:rFonts w:hint="default" w:ascii="Times New Roman" w:hAnsi="Times New Roman" w:eastAsia="宋体" w:cs="Times New Roman"/>
                <w:color w:val="auto"/>
                <w:sz w:val="21"/>
                <w:szCs w:val="21"/>
                <w:highlight w:val="none"/>
                <w:shd w:val="clear" w:color="auto" w:fill="FFFFFF"/>
              </w:rPr>
              <w:t>鄂尔多斯市</w:t>
            </w:r>
            <w:r>
              <w:rPr>
                <w:rFonts w:hint="eastAsia" w:ascii="Times New Roman" w:hAnsi="Times New Roman" w:eastAsia="宋体" w:cs="Times New Roman"/>
                <w:color w:val="auto"/>
                <w:sz w:val="21"/>
                <w:szCs w:val="21"/>
                <w:highlight w:val="none"/>
                <w:shd w:val="clear" w:color="auto" w:fill="FFFFFF"/>
                <w:lang w:val="en-US" w:eastAsia="zh-CN"/>
              </w:rPr>
              <w:t>生态</w:t>
            </w:r>
            <w:r>
              <w:rPr>
                <w:rFonts w:hint="default" w:ascii="Times New Roman" w:hAnsi="Times New Roman" w:eastAsia="宋体" w:cs="Times New Roman"/>
                <w:color w:val="auto"/>
                <w:sz w:val="21"/>
                <w:szCs w:val="21"/>
                <w:highlight w:val="none"/>
              </w:rPr>
              <w:t>环境管控单元中的位置及与生态保护红线的位置关系分别见附图1和附图2</w:t>
            </w:r>
            <w:r>
              <w:rPr>
                <w:rFonts w:hint="default" w:ascii="Times New Roman" w:hAnsi="Times New Roman" w:eastAsia="宋体" w:cs="Times New Roman"/>
                <w:color w:val="auto"/>
                <w:sz w:val="21"/>
                <w:szCs w:val="21"/>
                <w:highlight w:val="none"/>
                <w:lang w:val="en-US" w:eastAsia="zh-CN"/>
              </w:rPr>
              <w:t>。</w:t>
            </w:r>
          </w:p>
          <w:p w14:paraId="5A3C4C80">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color w:val="auto"/>
                <w:sz w:val="21"/>
                <w:szCs w:val="21"/>
                <w:highlight w:val="none"/>
              </w:rPr>
            </w:pPr>
            <w:r>
              <w:rPr>
                <w:rFonts w:hint="eastAsia"/>
                <w:color w:val="auto"/>
                <w:sz w:val="21"/>
                <w:szCs w:val="21"/>
                <w:highlight w:val="none"/>
              </w:rPr>
              <w:t>（2）资源利用上线</w:t>
            </w:r>
          </w:p>
          <w:p w14:paraId="572BEFC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color w:val="auto"/>
                <w:sz w:val="21"/>
                <w:szCs w:val="21"/>
                <w:highlight w:val="none"/>
              </w:rPr>
            </w:pPr>
            <w:r>
              <w:rPr>
                <w:rFonts w:hint="eastAsia"/>
                <w:color w:val="auto"/>
                <w:sz w:val="21"/>
                <w:szCs w:val="21"/>
                <w:highlight w:val="none"/>
              </w:rPr>
              <w:t>资源是环境的载体，资源利用上线是各地区能源</w:t>
            </w:r>
            <w:r>
              <w:rPr>
                <w:rFonts w:hint="eastAsia"/>
                <w:color w:val="auto"/>
                <w:sz w:val="21"/>
                <w:szCs w:val="21"/>
                <w:highlight w:val="none"/>
                <w:lang w:eastAsia="zh-CN"/>
              </w:rPr>
              <w:t>、</w:t>
            </w:r>
            <w:r>
              <w:rPr>
                <w:rFonts w:hint="eastAsia"/>
                <w:color w:val="auto"/>
                <w:sz w:val="21"/>
                <w:szCs w:val="21"/>
                <w:highlight w:val="none"/>
              </w:rPr>
              <w:t>水、土地等资源消耗不得突破的“天花板”。</w:t>
            </w:r>
          </w:p>
          <w:p w14:paraId="0748AFF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color w:val="auto"/>
                <w:sz w:val="21"/>
                <w:szCs w:val="21"/>
                <w:highlight w:val="none"/>
                <w:lang w:val="en-US" w:eastAsia="zh-CN"/>
              </w:rPr>
            </w:pPr>
            <w:r>
              <w:rPr>
                <w:rFonts w:ascii="宋体" w:hAnsi="宋体" w:eastAsia="宋体" w:cs="宋体"/>
                <w:color w:val="auto"/>
                <w:kern w:val="0"/>
                <w:sz w:val="21"/>
                <w:szCs w:val="21"/>
                <w:highlight w:val="none"/>
                <w:lang w:val="en-US" w:eastAsia="zh-CN" w:bidi="ar"/>
              </w:rPr>
              <w:t>中试基地将中试车间、</w:t>
            </w:r>
            <w:r>
              <w:rPr>
                <w:rFonts w:hint="eastAsia" w:ascii="宋体" w:hAnsi="宋体" w:eastAsia="宋体" w:cs="宋体"/>
                <w:color w:val="auto"/>
                <w:kern w:val="0"/>
                <w:sz w:val="21"/>
                <w:szCs w:val="21"/>
                <w:highlight w:val="none"/>
                <w:lang w:val="en-US" w:eastAsia="zh-CN" w:bidi="ar"/>
              </w:rPr>
              <w:t>研发中心</w:t>
            </w:r>
            <w:r>
              <w:rPr>
                <w:rFonts w:ascii="宋体" w:hAnsi="宋体" w:eastAsia="宋体" w:cs="宋体"/>
                <w:color w:val="auto"/>
                <w:kern w:val="0"/>
                <w:sz w:val="21"/>
                <w:szCs w:val="21"/>
                <w:highlight w:val="none"/>
                <w:lang w:val="en-US" w:eastAsia="zh-CN" w:bidi="ar"/>
              </w:rPr>
              <w:t>、公用工程（如蒸汽管网、污水处理）等设施集中规划，减少土地分散占用。</w:t>
            </w:r>
            <w:r>
              <w:rPr>
                <w:rFonts w:hint="eastAsia" w:ascii="宋体" w:hAnsi="宋体" w:eastAsia="宋体" w:cs="宋体"/>
                <w:color w:val="auto"/>
                <w:kern w:val="0"/>
                <w:sz w:val="21"/>
                <w:szCs w:val="21"/>
                <w:highlight w:val="none"/>
                <w:lang w:val="en-US" w:eastAsia="zh-CN" w:bidi="ar"/>
              </w:rPr>
              <w:t>同时</w:t>
            </w:r>
            <w:r>
              <w:rPr>
                <w:rFonts w:ascii="宋体" w:hAnsi="宋体" w:eastAsia="宋体" w:cs="宋体"/>
                <w:color w:val="auto"/>
                <w:kern w:val="0"/>
                <w:sz w:val="21"/>
                <w:szCs w:val="21"/>
                <w:highlight w:val="none"/>
                <w:lang w:val="en-US" w:eastAsia="zh-CN" w:bidi="ar"/>
              </w:rPr>
              <w:t>依托园区现有公用工程（如集中供热、供电、供水管网），避免单独建设锅炉房、变电站等设施减少土地占用。</w:t>
            </w:r>
            <w:r>
              <w:rPr>
                <w:rFonts w:hint="eastAsia" w:ascii="宋体" w:hAnsi="宋体" w:eastAsia="宋体" w:cs="宋体"/>
                <w:color w:val="auto"/>
                <w:kern w:val="0"/>
                <w:sz w:val="21"/>
                <w:szCs w:val="21"/>
                <w:highlight w:val="none"/>
                <w:lang w:val="en-US" w:eastAsia="zh-CN" w:bidi="ar"/>
              </w:rPr>
              <w:t>并</w:t>
            </w:r>
            <w:r>
              <w:rPr>
                <w:rFonts w:ascii="宋体" w:hAnsi="宋体" w:eastAsia="宋体" w:cs="宋体"/>
                <w:color w:val="auto"/>
                <w:kern w:val="0"/>
                <w:sz w:val="21"/>
                <w:szCs w:val="21"/>
                <w:highlight w:val="none"/>
                <w:lang w:val="en-US" w:eastAsia="zh-CN" w:bidi="ar"/>
              </w:rPr>
              <w:t>通过“共享实验室”“共用中试平台”模式，整合多主体的研发需求，降低土地资源的分散消耗。</w:t>
            </w:r>
            <w:r>
              <w:rPr>
                <w:rFonts w:hint="eastAsia" w:ascii="宋体" w:hAnsi="宋体" w:eastAsia="宋体" w:cs="宋体"/>
                <w:color w:val="auto"/>
                <w:kern w:val="0"/>
                <w:sz w:val="21"/>
                <w:szCs w:val="21"/>
                <w:highlight w:val="none"/>
                <w:lang w:val="en-US" w:eastAsia="zh-CN" w:bidi="ar"/>
              </w:rPr>
              <w:t>且</w:t>
            </w:r>
            <w:r>
              <w:rPr>
                <w:rFonts w:hint="eastAsia"/>
                <w:color w:val="auto"/>
                <w:sz w:val="21"/>
                <w:szCs w:val="21"/>
                <w:highlight w:val="none"/>
              </w:rPr>
              <w:t>本项目</w:t>
            </w:r>
            <w:r>
              <w:rPr>
                <w:rFonts w:hint="eastAsia"/>
                <w:color w:val="auto"/>
                <w:sz w:val="21"/>
                <w:szCs w:val="21"/>
                <w:highlight w:val="none"/>
                <w:lang w:val="en-US" w:eastAsia="zh-CN"/>
              </w:rPr>
              <w:t>占用土地属于园区化工南片区规划工业用地，避开了生态红线、基本农田等敏感目标，</w:t>
            </w:r>
            <w:r>
              <w:rPr>
                <w:rFonts w:ascii="宋体" w:hAnsi="宋体" w:eastAsia="宋体" w:cs="宋体"/>
                <w:color w:val="auto"/>
                <w:kern w:val="0"/>
                <w:sz w:val="21"/>
                <w:szCs w:val="21"/>
                <w:highlight w:val="none"/>
                <w:lang w:val="en-US" w:eastAsia="zh-CN" w:bidi="ar"/>
              </w:rPr>
              <w:t>符合土地用途管制与生态保护的</w:t>
            </w:r>
            <w:r>
              <w:rPr>
                <w:rFonts w:hint="eastAsia" w:ascii="宋体" w:hAnsi="宋体" w:eastAsia="宋体" w:cs="宋体"/>
                <w:color w:val="auto"/>
                <w:kern w:val="0"/>
                <w:sz w:val="21"/>
                <w:szCs w:val="21"/>
                <w:highlight w:val="none"/>
                <w:lang w:val="en-US" w:eastAsia="zh-CN" w:bidi="ar"/>
              </w:rPr>
              <w:t>上线</w:t>
            </w:r>
            <w:r>
              <w:rPr>
                <w:rFonts w:ascii="宋体" w:hAnsi="宋体" w:eastAsia="宋体" w:cs="宋体"/>
                <w:color w:val="auto"/>
                <w:kern w:val="0"/>
                <w:sz w:val="21"/>
                <w:szCs w:val="21"/>
                <w:highlight w:val="none"/>
                <w:lang w:val="en-US" w:eastAsia="zh-CN" w:bidi="ar"/>
              </w:rPr>
              <w:t>要求</w:t>
            </w:r>
            <w:r>
              <w:rPr>
                <w:rFonts w:hint="eastAsia"/>
                <w:color w:val="auto"/>
                <w:sz w:val="21"/>
                <w:szCs w:val="21"/>
                <w:highlight w:val="none"/>
                <w:lang w:val="en-US" w:eastAsia="zh-CN"/>
              </w:rPr>
              <w:t>。</w:t>
            </w:r>
          </w:p>
          <w:p w14:paraId="5C3DD5F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中试基地用电、用水及蒸汽用量均较小，用电、用水均由园区现有供电系统及给水管网提供，蒸汽由</w:t>
            </w:r>
            <w:r>
              <w:rPr>
                <w:rFonts w:hint="eastAsia" w:ascii="Times New Roman" w:hAnsi="Times New Roman" w:cs="Times New Roman"/>
                <w:color w:val="auto"/>
                <w:szCs w:val="21"/>
                <w:highlight w:val="none"/>
                <w:u w:val="none"/>
                <w:lang w:val="en-US" w:eastAsia="zh-CN"/>
              </w:rPr>
              <w:t>中煤鄂尔多斯能源化工有限公司</w:t>
            </w:r>
            <w:r>
              <w:rPr>
                <w:rFonts w:hint="eastAsia"/>
                <w:color w:val="auto"/>
                <w:sz w:val="21"/>
                <w:szCs w:val="21"/>
                <w:highlight w:val="none"/>
                <w:lang w:val="en-US" w:eastAsia="zh-CN"/>
              </w:rPr>
              <w:t>厂区剩余蒸汽供给，均可保证供给量，不会突破园区现有供给能力。</w:t>
            </w:r>
          </w:p>
          <w:p w14:paraId="03C27231">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（3）环境质量底线</w:t>
            </w:r>
          </w:p>
          <w:p w14:paraId="494CA41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bidi="ar"/>
              </w:rPr>
              <w:t>根据《202</w:t>
            </w:r>
            <w:r>
              <w:rPr>
                <w:rFonts w:hint="default" w:ascii="Times New Roman" w:hAnsi="Times New Roman" w:eastAsia="宋体" w:cs="Times New Roman"/>
                <w:color w:val="auto"/>
                <w:kern w:val="0"/>
                <w:sz w:val="21"/>
                <w:szCs w:val="21"/>
                <w:highlight w:val="none"/>
                <w:lang w:val="en-US" w:eastAsia="zh-CN" w:bidi="ar"/>
              </w:rPr>
              <w:t>4</w:t>
            </w:r>
            <w:r>
              <w:rPr>
                <w:rFonts w:hint="default" w:ascii="Times New Roman" w:hAnsi="Times New Roman" w:eastAsia="宋体" w:cs="Times New Roman"/>
                <w:color w:val="auto"/>
                <w:kern w:val="0"/>
                <w:sz w:val="21"/>
                <w:szCs w:val="21"/>
                <w:highlight w:val="none"/>
                <w:lang w:bidi="ar"/>
              </w:rPr>
              <w:t>年内蒙古自治区生态环境状况公报》，本项目所在的</w:t>
            </w:r>
            <w:r>
              <w:rPr>
                <w:rFonts w:hint="default" w:ascii="Times New Roman" w:hAnsi="Times New Roman" w:eastAsia="宋体" w:cs="Times New Roman"/>
                <w:color w:val="auto"/>
                <w:kern w:val="0"/>
                <w:sz w:val="21"/>
                <w:szCs w:val="21"/>
                <w:highlight w:val="none"/>
                <w:lang w:val="en-US" w:eastAsia="zh-CN" w:bidi="ar"/>
              </w:rPr>
              <w:t>乌审旗</w:t>
            </w:r>
            <w:r>
              <w:rPr>
                <w:rFonts w:hint="default" w:ascii="Times New Roman" w:hAnsi="Times New Roman" w:eastAsia="宋体" w:cs="Times New Roman"/>
                <w:color w:val="auto"/>
                <w:kern w:val="0"/>
                <w:sz w:val="21"/>
                <w:szCs w:val="21"/>
                <w:highlight w:val="none"/>
                <w:lang w:bidi="ar"/>
              </w:rPr>
              <w:t>环境空气质量为达标区。</w:t>
            </w:r>
            <w:r>
              <w:rPr>
                <w:rFonts w:hint="default" w:ascii="Times New Roman" w:hAnsi="Times New Roman" w:eastAsia="宋体" w:cs="Times New Roman"/>
                <w:color w:val="auto"/>
                <w:kern w:val="0"/>
                <w:sz w:val="21"/>
                <w:szCs w:val="21"/>
                <w:highlight w:val="none"/>
                <w:lang w:val="en-US" w:eastAsia="zh-CN" w:bidi="ar"/>
              </w:rPr>
              <w:t>本工程为中试基地基础设施工程，建成后</w:t>
            </w:r>
            <w:r>
              <w:rPr>
                <w:rFonts w:hint="eastAsia" w:ascii="Times New Roman" w:hAnsi="Times New Roman" w:eastAsia="宋体" w:cs="Times New Roman"/>
                <w:color w:val="auto"/>
                <w:kern w:val="0"/>
                <w:sz w:val="21"/>
                <w:szCs w:val="21"/>
                <w:highlight w:val="none"/>
                <w:lang w:val="en-US" w:eastAsia="zh-CN" w:bidi="ar"/>
              </w:rPr>
              <w:t>因危废库贮存的危废可能含有挥发性有机物，因此危废库可能有少量挥发性有机废气排放。各输送管道在输送气体时，可能发生跑冒滴漏情况，发生气体泄漏排放</w:t>
            </w:r>
            <w:r>
              <w:rPr>
                <w:rFonts w:hint="default" w:ascii="Times New Roman" w:hAnsi="Times New Roman" w:eastAsia="宋体"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本项目要求</w:t>
            </w:r>
            <w:r>
              <w:rPr>
                <w:rFonts w:ascii="宋体" w:hAnsi="宋体" w:eastAsia="宋体" w:cs="宋体"/>
                <w:color w:val="auto"/>
                <w:kern w:val="0"/>
                <w:sz w:val="21"/>
                <w:szCs w:val="21"/>
                <w:highlight w:val="none"/>
                <w:lang w:val="en-US" w:eastAsia="zh-CN" w:bidi="ar"/>
              </w:rPr>
              <w:t>危险废物根据其物理化学性质及相容性，选用合适的容器进行收集</w:t>
            </w:r>
            <w:r>
              <w:rPr>
                <w:rFonts w:hint="eastAsia" w:ascii="Times New Roman" w:hAnsi="Times New Roman" w:eastAsia="宋体" w:cs="Times New Roman"/>
                <w:color w:val="auto"/>
                <w:kern w:val="0"/>
                <w:sz w:val="21"/>
                <w:szCs w:val="21"/>
                <w:highlight w:val="none"/>
                <w:lang w:val="en-US" w:eastAsia="zh-CN" w:bidi="ar"/>
              </w:rPr>
              <w:t>，同时缩短贮存时间等可有效减少废气产排，后期根据危险废物实际性质，若有大量废气产生，将采取负压收集与净化措施。加强对输气管道巡检，发现泄漏及时切断阀门，实施维修，最大限度减少废气排放。通过以上措施，本项目废气排放对环境空气影响可接受；</w:t>
            </w:r>
            <w:r>
              <w:rPr>
                <w:rFonts w:hint="default" w:ascii="Times New Roman" w:hAnsi="Times New Roman" w:eastAsia="宋体" w:cs="Times New Roman"/>
                <w:color w:val="auto"/>
                <w:kern w:val="0"/>
                <w:sz w:val="21"/>
                <w:szCs w:val="21"/>
                <w:highlight w:val="none"/>
                <w:lang w:val="en-US" w:eastAsia="zh-CN" w:bidi="ar"/>
              </w:rPr>
              <w:t>本项目建成后，</w:t>
            </w:r>
            <w:r>
              <w:rPr>
                <w:rFonts w:hint="eastAsia" w:ascii="Times New Roman" w:hAnsi="Times New Roman" w:eastAsia="宋体" w:cs="Times New Roman"/>
                <w:color w:val="auto"/>
                <w:kern w:val="0"/>
                <w:sz w:val="21"/>
                <w:szCs w:val="21"/>
                <w:highlight w:val="none"/>
                <w:lang w:val="en-US" w:eastAsia="zh-CN" w:bidi="ar"/>
              </w:rPr>
              <w:t>废水包括循环水站废水、火炬系统废水和生活污水</w:t>
            </w:r>
            <w:r>
              <w:rPr>
                <w:rFonts w:hint="default" w:ascii="Times New Roman" w:hAnsi="Times New Roman" w:eastAsia="宋体"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生产废水全部收集后经管道送</w:t>
            </w:r>
            <w:r>
              <w:rPr>
                <w:rFonts w:hint="eastAsia" w:ascii="Times New Roman" w:hAnsi="Times New Roman" w:cs="Times New Roman"/>
                <w:color w:val="auto"/>
                <w:szCs w:val="21"/>
                <w:highlight w:val="none"/>
                <w:u w:val="none"/>
                <w:lang w:val="en-US" w:eastAsia="zh-CN"/>
              </w:rPr>
              <w:t>中煤鄂尔多斯能源化工有限公司</w:t>
            </w:r>
            <w:r>
              <w:rPr>
                <w:rFonts w:hint="eastAsia" w:ascii="Times New Roman" w:hAnsi="Times New Roman" w:eastAsia="宋体" w:cs="Times New Roman"/>
                <w:color w:val="auto"/>
                <w:kern w:val="0"/>
                <w:sz w:val="21"/>
                <w:szCs w:val="21"/>
                <w:highlight w:val="none"/>
                <w:lang w:val="en-US" w:eastAsia="zh-CN" w:bidi="ar"/>
              </w:rPr>
              <w:t>厂区回用水处理站和生化水处理站处理，生活污水化粪池收集后定期清运至园区生活污水处理厂处理</w:t>
            </w:r>
            <w:r>
              <w:rPr>
                <w:rFonts w:hint="default" w:ascii="Times New Roman" w:hAnsi="Times New Roman" w:eastAsia="宋体" w:cs="Times New Roman"/>
                <w:color w:val="auto"/>
                <w:kern w:val="0"/>
                <w:sz w:val="21"/>
                <w:szCs w:val="21"/>
                <w:highlight w:val="none"/>
                <w:lang w:val="en-US" w:eastAsia="zh-CN" w:bidi="ar"/>
              </w:rPr>
              <w:t>，不会对周边地表水体产生影响</w:t>
            </w:r>
            <w:r>
              <w:rPr>
                <w:rFonts w:hint="eastAsia" w:ascii="Times New Roman" w:hAnsi="Times New Roman" w:eastAsia="宋体" w:cs="Times New Roman"/>
                <w:color w:val="auto"/>
                <w:kern w:val="0"/>
                <w:sz w:val="21"/>
                <w:szCs w:val="21"/>
                <w:highlight w:val="none"/>
                <w:lang w:val="en-US" w:eastAsia="zh-CN" w:bidi="ar"/>
              </w:rPr>
              <w:t>；本项目为中试基地基础设施工程，本身不进行工艺生产，不产生工业固废，固体废物主要为生活垃圾，</w:t>
            </w:r>
            <w:r>
              <w:rPr>
                <w:rFonts w:hint="default" w:ascii="Times New Roman" w:hAnsi="Times New Roman" w:eastAsia="宋体" w:cs="Times New Roman"/>
                <w:color w:val="auto"/>
                <w:kern w:val="0"/>
                <w:sz w:val="21"/>
                <w:szCs w:val="21"/>
                <w:highlight w:val="none"/>
                <w:lang w:val="en-US" w:eastAsia="zh-CN" w:bidi="ar"/>
              </w:rPr>
              <w:t>生活垃圾</w:t>
            </w:r>
            <w:r>
              <w:rPr>
                <w:rFonts w:hint="eastAsia" w:ascii="Times New Roman" w:hAnsi="Times New Roman" w:eastAsia="宋体" w:cs="Times New Roman"/>
                <w:color w:val="auto"/>
                <w:kern w:val="0"/>
                <w:sz w:val="21"/>
                <w:szCs w:val="21"/>
                <w:highlight w:val="none"/>
                <w:lang w:val="en-US" w:eastAsia="zh-CN" w:bidi="ar"/>
              </w:rPr>
              <w:t>定期清运至就近的生活垃圾级填埋场处置。危险废物由具体入驻中试项目产生，本项目仅提供危废库用于贮存危险废物，定期外委具有危废资质的单位处理处置</w:t>
            </w:r>
            <w:r>
              <w:rPr>
                <w:rFonts w:hint="default" w:ascii="Times New Roman" w:hAnsi="Times New Roman" w:eastAsia="宋体" w:cs="Times New Roman"/>
                <w:color w:val="auto"/>
                <w:kern w:val="0"/>
                <w:sz w:val="21"/>
                <w:szCs w:val="21"/>
                <w:highlight w:val="none"/>
                <w:lang w:val="en-US" w:eastAsia="zh-CN" w:bidi="ar"/>
              </w:rPr>
              <w:t>；公用设备主要包括循环水站、换热站等设施</w:t>
            </w:r>
            <w:r>
              <w:rPr>
                <w:rFonts w:hint="eastAsia" w:ascii="Times New Roman" w:hAnsi="Times New Roman" w:eastAsia="宋体"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各类泵的运行噪声，通过隔声、减振和距离衰减等措施，厂界噪声满足</w:t>
            </w:r>
            <w:r>
              <w:rPr>
                <w:rFonts w:hint="default" w:ascii="Times New Roman" w:hAnsi="Times New Roman" w:eastAsia="宋体" w:cs="Times New Roman"/>
                <w:color w:val="auto"/>
                <w:sz w:val="21"/>
                <w:szCs w:val="21"/>
                <w:highlight w:val="none"/>
              </w:rPr>
              <w:t>《工业企业厂界环境噪声排放标准》（GB12348-2008）</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不会改变区域声环境现状。</w:t>
            </w:r>
          </w:p>
          <w:p w14:paraId="615EB480">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 w:val="21"/>
                <w:szCs w:val="21"/>
                <w:highlight w:val="none"/>
                <w:lang w:val="en-US" w:eastAsia="zh-CN"/>
              </w:rPr>
              <w:t>故，本项目的建设不会降低周边环境质量。</w:t>
            </w:r>
          </w:p>
          <w:p w14:paraId="7FD0E24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（4）生态环境准入清单</w:t>
            </w:r>
          </w:p>
          <w:p w14:paraId="72F0628A">
            <w:pPr>
              <w:widowControl/>
              <w:spacing w:line="360" w:lineRule="auto"/>
              <w:ind w:firstLine="420" w:firstLineChars="200"/>
              <w:rPr>
                <w:rFonts w:hint="default"/>
                <w:b/>
                <w:bCs/>
                <w:color w:val="auto"/>
                <w:sz w:val="21"/>
                <w:szCs w:val="21"/>
                <w:highlight w:val="none"/>
                <w:lang w:val="en-US"/>
              </w:rPr>
            </w:pPr>
            <w:r>
              <w:rPr>
                <w:color w:val="auto"/>
                <w:sz w:val="21"/>
                <w:szCs w:val="21"/>
                <w:highlight w:val="none"/>
              </w:rPr>
              <w:t>本项目位于</w:t>
            </w:r>
            <w:r>
              <w:rPr>
                <w:rFonts w:hint="eastAsia" w:ascii="Times New Roman" w:hAnsi="Times New Roman" w:eastAsia="宋体" w:cs="Times New Roman"/>
                <w:color w:val="auto"/>
                <w:kern w:val="0"/>
                <w:sz w:val="21"/>
                <w:szCs w:val="21"/>
                <w:highlight w:val="none"/>
                <w:lang w:val="en-US" w:eastAsia="zh-CN" w:bidi="ar"/>
              </w:rPr>
              <w:t>内蒙古鄂尔多斯苏里格经济开发区</w:t>
            </w:r>
            <w:r>
              <w:rPr>
                <w:rFonts w:hint="default" w:ascii="Times New Roman" w:hAnsi="Times New Roman" w:eastAsia="宋体" w:cs="Times New Roman"/>
                <w:color w:val="auto"/>
                <w:kern w:val="0"/>
                <w:sz w:val="21"/>
                <w:szCs w:val="21"/>
                <w:highlight w:val="none"/>
                <w:lang w:bidi="ar"/>
              </w:rPr>
              <w:t>（ZH15062</w:t>
            </w:r>
            <w:r>
              <w:rPr>
                <w:rFonts w:hint="default" w:ascii="Times New Roman" w:hAnsi="Times New Roman" w:eastAsia="宋体" w:cs="Times New Roman"/>
                <w:color w:val="auto"/>
                <w:kern w:val="0"/>
                <w:sz w:val="21"/>
                <w:szCs w:val="21"/>
                <w:highlight w:val="none"/>
                <w:lang w:val="en-US" w:eastAsia="zh-CN" w:bidi="ar"/>
              </w:rPr>
              <w:t>62</w:t>
            </w:r>
            <w:r>
              <w:rPr>
                <w:rFonts w:hint="default" w:ascii="Times New Roman" w:hAnsi="Times New Roman" w:eastAsia="宋体" w:cs="Times New Roman"/>
                <w:color w:val="auto"/>
                <w:kern w:val="0"/>
                <w:sz w:val="21"/>
                <w:szCs w:val="21"/>
                <w:highlight w:val="none"/>
                <w:lang w:bidi="ar"/>
              </w:rPr>
              <w:t>000</w:t>
            </w:r>
            <w:r>
              <w:rPr>
                <w:rFonts w:hint="eastAsia" w:ascii="Times New Roman" w:hAnsi="Times New Roman" w:eastAsia="宋体" w:cs="Times New Roman"/>
                <w:color w:val="auto"/>
                <w:kern w:val="0"/>
                <w:sz w:val="21"/>
                <w:szCs w:val="21"/>
                <w:highlight w:val="none"/>
                <w:lang w:val="en-US" w:eastAsia="zh-CN" w:bidi="ar"/>
              </w:rPr>
              <w:t>2</w:t>
            </w:r>
            <w:r>
              <w:rPr>
                <w:rFonts w:hint="default" w:ascii="Times New Roman" w:hAnsi="Times New Roman" w:eastAsia="宋体" w:cs="Times New Roman"/>
                <w:color w:val="auto"/>
                <w:kern w:val="0"/>
                <w:sz w:val="21"/>
                <w:szCs w:val="21"/>
                <w:highlight w:val="none"/>
                <w:lang w:bidi="ar"/>
              </w:rPr>
              <w:t>）</w:t>
            </w:r>
            <w:r>
              <w:rPr>
                <w:color w:val="auto"/>
                <w:kern w:val="0"/>
                <w:sz w:val="21"/>
                <w:szCs w:val="21"/>
                <w:highlight w:val="none"/>
                <w:lang w:bidi="ar"/>
              </w:rPr>
              <w:t>，属于</w:t>
            </w:r>
            <w:r>
              <w:rPr>
                <w:rFonts w:hint="eastAsia"/>
                <w:color w:val="auto"/>
                <w:kern w:val="0"/>
                <w:sz w:val="21"/>
                <w:szCs w:val="21"/>
                <w:highlight w:val="none"/>
                <w:lang w:val="en-US" w:eastAsia="zh-CN" w:bidi="ar"/>
              </w:rPr>
              <w:t>重点管控单元</w:t>
            </w:r>
            <w:r>
              <w:rPr>
                <w:color w:val="auto"/>
                <w:kern w:val="0"/>
                <w:sz w:val="21"/>
                <w:szCs w:val="21"/>
                <w:highlight w:val="none"/>
                <w:lang w:bidi="ar"/>
              </w:rPr>
              <w:t>，</w:t>
            </w:r>
            <w:r>
              <w:rPr>
                <w:rFonts w:hint="eastAsia"/>
                <w:color w:val="auto"/>
                <w:kern w:val="0"/>
                <w:sz w:val="21"/>
                <w:szCs w:val="21"/>
                <w:highlight w:val="none"/>
                <w:lang w:bidi="ar"/>
              </w:rPr>
              <w:t>项目与</w:t>
            </w:r>
            <w:r>
              <w:rPr>
                <w:rFonts w:hint="eastAsia"/>
                <w:color w:val="auto"/>
                <w:kern w:val="0"/>
                <w:sz w:val="21"/>
                <w:szCs w:val="21"/>
                <w:highlight w:val="none"/>
                <w:lang w:val="en-US" w:eastAsia="zh-CN" w:bidi="ar"/>
              </w:rPr>
              <w:t>以上</w:t>
            </w:r>
            <w:r>
              <w:rPr>
                <w:rFonts w:hint="eastAsia"/>
                <w:color w:val="auto"/>
                <w:kern w:val="0"/>
                <w:sz w:val="21"/>
                <w:szCs w:val="21"/>
                <w:highlight w:val="none"/>
                <w:lang w:bidi="ar"/>
              </w:rPr>
              <w:t>生态功能区域的准入管控要求符合性分析见表1-</w:t>
            </w:r>
            <w:r>
              <w:rPr>
                <w:rFonts w:hint="eastAsia"/>
                <w:color w:val="auto"/>
                <w:kern w:val="0"/>
                <w:sz w:val="21"/>
                <w:szCs w:val="21"/>
                <w:highlight w:val="none"/>
                <w:lang w:val="en-US" w:eastAsia="zh-CN" w:bidi="ar"/>
              </w:rPr>
              <w:t>4，与生态环境准入清单市级整体要求符合性分析见表1-5。</w:t>
            </w:r>
          </w:p>
          <w:p w14:paraId="35567B22">
            <w:pPr>
              <w:widowControl/>
              <w:spacing w:line="360" w:lineRule="auto"/>
              <w:jc w:val="center"/>
              <w:rPr>
                <w:b/>
                <w:bCs/>
                <w:color w:val="auto"/>
                <w:sz w:val="21"/>
                <w:szCs w:val="21"/>
                <w:highlight w:val="none"/>
              </w:rPr>
            </w:pPr>
            <w:r>
              <w:rPr>
                <w:rFonts w:hint="eastAsia"/>
                <w:b/>
                <w:bCs/>
                <w:color w:val="auto"/>
                <w:sz w:val="21"/>
                <w:szCs w:val="21"/>
                <w:highlight w:val="none"/>
              </w:rPr>
              <w:t>表1</w:t>
            </w:r>
            <w:r>
              <w:rPr>
                <w:rFonts w:hint="eastAsia"/>
                <w:b/>
                <w:bCs/>
                <w:color w:val="auto"/>
                <w:sz w:val="21"/>
                <w:szCs w:val="21"/>
                <w:highlight w:val="none"/>
                <w:lang w:val="en-US" w:eastAsia="zh-CN"/>
              </w:rPr>
              <w:t>-4</w:t>
            </w:r>
            <w:r>
              <w:rPr>
                <w:rFonts w:hint="eastAsia"/>
                <w:b/>
                <w:bCs/>
                <w:color w:val="auto"/>
                <w:sz w:val="21"/>
                <w:szCs w:val="21"/>
                <w:highlight w:val="none"/>
              </w:rPr>
              <w:t xml:space="preserve">    </w:t>
            </w:r>
            <w:r>
              <w:rPr>
                <w:rFonts w:hint="eastAsia"/>
                <w:b/>
                <w:bCs/>
                <w:color w:val="auto"/>
                <w:kern w:val="0"/>
                <w:sz w:val="21"/>
                <w:szCs w:val="21"/>
                <w:highlight w:val="none"/>
                <w:lang w:bidi="ar"/>
              </w:rPr>
              <w:t>本项目与生态环境准入清单符合性分析一览表</w:t>
            </w:r>
          </w:p>
          <w:tbl>
            <w:tblPr>
              <w:tblStyle w:val="24"/>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571"/>
              <w:gridCol w:w="2444"/>
              <w:gridCol w:w="1759"/>
              <w:gridCol w:w="396"/>
            </w:tblGrid>
            <w:tr w14:paraId="6BF01F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818" w:type="pct"/>
                  <w:vMerge w:val="restart"/>
                  <w:tcBorders>
                    <w:tl2br w:val="nil"/>
                    <w:tr2bl w:val="nil"/>
                  </w:tcBorders>
                  <w:noWrap w:val="0"/>
                  <w:vAlign w:val="center"/>
                </w:tcPr>
                <w:p w14:paraId="3E74A9B5">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管控单元</w:t>
                  </w:r>
                </w:p>
              </w:tc>
              <w:tc>
                <w:tcPr>
                  <w:tcW w:w="2469" w:type="pct"/>
                  <w:gridSpan w:val="2"/>
                  <w:tcBorders>
                    <w:tl2br w:val="nil"/>
                    <w:tr2bl w:val="nil"/>
                  </w:tcBorders>
                  <w:noWrap w:val="0"/>
                  <w:vAlign w:val="center"/>
                </w:tcPr>
                <w:p w14:paraId="5BCBE8BC">
                  <w:pPr>
                    <w:keepNext w:val="0"/>
                    <w:keepLines w:val="0"/>
                    <w:pageBreakBefore w:val="0"/>
                    <w:widowControl/>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准入清单要求</w:t>
                  </w:r>
                </w:p>
              </w:tc>
              <w:tc>
                <w:tcPr>
                  <w:tcW w:w="1414" w:type="pct"/>
                  <w:vMerge w:val="restart"/>
                  <w:tcBorders>
                    <w:tl2br w:val="nil"/>
                    <w:tr2bl w:val="nil"/>
                  </w:tcBorders>
                  <w:noWrap w:val="0"/>
                  <w:vAlign w:val="center"/>
                </w:tcPr>
                <w:p w14:paraId="60789D40">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本项目情况</w:t>
                  </w:r>
                </w:p>
              </w:tc>
              <w:tc>
                <w:tcPr>
                  <w:tcW w:w="297" w:type="pct"/>
                  <w:vMerge w:val="restart"/>
                  <w:tcBorders>
                    <w:tl2br w:val="nil"/>
                    <w:tr2bl w:val="nil"/>
                  </w:tcBorders>
                  <w:noWrap w:val="0"/>
                  <w:vAlign w:val="center"/>
                </w:tcPr>
                <w:p w14:paraId="769DB3BD">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符合性</w:t>
                  </w:r>
                </w:p>
              </w:tc>
            </w:tr>
            <w:tr w14:paraId="78352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18" w:type="pct"/>
                  <w:vMerge w:val="continue"/>
                  <w:tcBorders>
                    <w:tl2br w:val="nil"/>
                    <w:tr2bl w:val="nil"/>
                  </w:tcBorders>
                  <w:noWrap w:val="0"/>
                  <w:vAlign w:val="center"/>
                </w:tcPr>
                <w:p w14:paraId="16F74C9B">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p>
              </w:tc>
              <w:tc>
                <w:tcPr>
                  <w:tcW w:w="2469" w:type="pct"/>
                  <w:gridSpan w:val="2"/>
                  <w:tcBorders>
                    <w:tl2br w:val="nil"/>
                    <w:tr2bl w:val="nil"/>
                  </w:tcBorders>
                  <w:noWrap w:val="0"/>
                  <w:vAlign w:val="center"/>
                </w:tcPr>
                <w:p w14:paraId="005A9299">
                  <w:pPr>
                    <w:keepNext w:val="0"/>
                    <w:keepLines w:val="0"/>
                    <w:pageBreakBefore w:val="0"/>
                    <w:widowControl/>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管控要求</w:t>
                  </w:r>
                </w:p>
              </w:tc>
              <w:tc>
                <w:tcPr>
                  <w:tcW w:w="1414" w:type="pct"/>
                  <w:vMerge w:val="continue"/>
                  <w:tcBorders>
                    <w:tl2br w:val="nil"/>
                    <w:tr2bl w:val="nil"/>
                  </w:tcBorders>
                  <w:noWrap w:val="0"/>
                  <w:vAlign w:val="center"/>
                </w:tcPr>
                <w:p w14:paraId="424976A1">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p>
              </w:tc>
              <w:tc>
                <w:tcPr>
                  <w:tcW w:w="297" w:type="pct"/>
                  <w:vMerge w:val="continue"/>
                  <w:tcBorders>
                    <w:tl2br w:val="nil"/>
                    <w:tr2bl w:val="nil"/>
                  </w:tcBorders>
                  <w:noWrap w:val="0"/>
                  <w:vAlign w:val="center"/>
                </w:tcPr>
                <w:p w14:paraId="3190A774">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p>
              </w:tc>
            </w:tr>
            <w:tr w14:paraId="088C23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8" w:type="pct"/>
                  <w:vMerge w:val="restart"/>
                  <w:tcBorders>
                    <w:tl2br w:val="nil"/>
                    <w:tr2bl w:val="nil"/>
                  </w:tcBorders>
                  <w:noWrap w:val="0"/>
                  <w:vAlign w:val="center"/>
                </w:tcPr>
                <w:p w14:paraId="02BDA413">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内蒙古鄂尔多斯苏里格经济开发区</w:t>
                  </w:r>
                  <w:r>
                    <w:rPr>
                      <w:rFonts w:hint="default" w:ascii="Times New Roman" w:hAnsi="Times New Roman" w:eastAsia="宋体" w:cs="Times New Roman"/>
                      <w:color w:val="auto"/>
                      <w:kern w:val="0"/>
                      <w:sz w:val="18"/>
                      <w:szCs w:val="18"/>
                      <w:highlight w:val="none"/>
                      <w:lang w:bidi="ar"/>
                    </w:rPr>
                    <w:t>（ZH15062</w:t>
                  </w:r>
                  <w:r>
                    <w:rPr>
                      <w:rFonts w:hint="default" w:ascii="Times New Roman" w:hAnsi="Times New Roman" w:eastAsia="宋体" w:cs="Times New Roman"/>
                      <w:color w:val="auto"/>
                      <w:kern w:val="0"/>
                      <w:sz w:val="18"/>
                      <w:szCs w:val="18"/>
                      <w:highlight w:val="none"/>
                      <w:lang w:val="en-US" w:eastAsia="zh-CN" w:bidi="ar"/>
                    </w:rPr>
                    <w:t>62</w:t>
                  </w:r>
                  <w:r>
                    <w:rPr>
                      <w:rFonts w:hint="default" w:ascii="Times New Roman" w:hAnsi="Times New Roman" w:eastAsia="宋体" w:cs="Times New Roman"/>
                      <w:color w:val="auto"/>
                      <w:kern w:val="0"/>
                      <w:sz w:val="18"/>
                      <w:szCs w:val="18"/>
                      <w:highlight w:val="none"/>
                      <w:lang w:bidi="ar"/>
                    </w:rPr>
                    <w:t>000</w:t>
                  </w:r>
                  <w:r>
                    <w:rPr>
                      <w:rFonts w:hint="default" w:ascii="Times New Roman" w:hAnsi="Times New Roman" w:eastAsia="宋体" w:cs="Times New Roman"/>
                      <w:color w:val="auto"/>
                      <w:kern w:val="0"/>
                      <w:sz w:val="18"/>
                      <w:szCs w:val="18"/>
                      <w:highlight w:val="none"/>
                      <w:lang w:val="en-US" w:eastAsia="zh-CN" w:bidi="ar"/>
                    </w:rPr>
                    <w:t>2</w:t>
                  </w:r>
                  <w:r>
                    <w:rPr>
                      <w:rFonts w:hint="default" w:ascii="Times New Roman" w:hAnsi="Times New Roman" w:eastAsia="宋体" w:cs="Times New Roman"/>
                      <w:color w:val="auto"/>
                      <w:kern w:val="0"/>
                      <w:sz w:val="18"/>
                      <w:szCs w:val="18"/>
                      <w:highlight w:val="none"/>
                      <w:lang w:bidi="ar"/>
                    </w:rPr>
                    <w:t>）</w:t>
                  </w:r>
                </w:p>
              </w:tc>
              <w:tc>
                <w:tcPr>
                  <w:tcW w:w="564" w:type="pct"/>
                  <w:tcBorders>
                    <w:tl2br w:val="nil"/>
                    <w:tr2bl w:val="nil"/>
                  </w:tcBorders>
                  <w:noWrap w:val="0"/>
                  <w:vAlign w:val="center"/>
                </w:tcPr>
                <w:p w14:paraId="331351B0">
                  <w:pPr>
                    <w:keepNext w:val="0"/>
                    <w:keepLines w:val="0"/>
                    <w:pageBreakBefore w:val="0"/>
                    <w:widowControl/>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val="en-US" w:eastAsia="zh-CN" w:bidi="ar"/>
                    </w:rPr>
                    <w:t>空间布局约束</w:t>
                  </w:r>
                </w:p>
              </w:tc>
              <w:tc>
                <w:tcPr>
                  <w:tcW w:w="1904" w:type="pct"/>
                  <w:tcBorders>
                    <w:tl2br w:val="nil"/>
                    <w:tr2bl w:val="nil"/>
                  </w:tcBorders>
                  <w:noWrap w:val="0"/>
                  <w:vAlign w:val="center"/>
                </w:tcPr>
                <w:p w14:paraId="6032BB16">
                  <w:pPr>
                    <w:pStyle w:val="5"/>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i w:val="0"/>
                      <w:iCs w:val="0"/>
                      <w:caps w:val="0"/>
                      <w:color w:val="auto"/>
                      <w:spacing w:val="0"/>
                      <w:sz w:val="18"/>
                      <w:szCs w:val="18"/>
                      <w:highlight w:val="none"/>
                      <w:shd w:val="clear" w:color="auto" w:fill="FFFFFF"/>
                      <w:lang w:val="en-US" w:eastAsia="zh-CN"/>
                    </w:rPr>
                    <w:t>1.</w:t>
                  </w:r>
                  <w:r>
                    <w:rPr>
                      <w:rFonts w:hint="default" w:ascii="Times New Roman" w:hAnsi="Times New Roman" w:eastAsia="宋体" w:cs="Times New Roman"/>
                      <w:i w:val="0"/>
                      <w:iCs w:val="0"/>
                      <w:caps w:val="0"/>
                      <w:color w:val="auto"/>
                      <w:spacing w:val="0"/>
                      <w:sz w:val="18"/>
                      <w:szCs w:val="18"/>
                      <w:highlight w:val="none"/>
                      <w:shd w:val="clear" w:color="auto" w:fill="FFFFFF"/>
                    </w:rPr>
                    <w:t>禁止不符合园区产业定位及规划环评等要求的项目入园；国家明令淘汰的落后产能和不符合国家产业政策的项目，禁止向工业园区转移</w:t>
                  </w:r>
                </w:p>
              </w:tc>
              <w:tc>
                <w:tcPr>
                  <w:tcW w:w="1414" w:type="pct"/>
                  <w:tcBorders>
                    <w:tl2br w:val="nil"/>
                    <w:tr2bl w:val="nil"/>
                  </w:tcBorders>
                  <w:noWrap w:val="0"/>
                  <w:vAlign w:val="center"/>
                </w:tcPr>
                <w:p w14:paraId="5F4C4E0F">
                  <w:pPr>
                    <w:pStyle w:val="49"/>
                    <w:keepNext w:val="0"/>
                    <w:keepLines w:val="0"/>
                    <w:pageBreakBefore w:val="0"/>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本项目为煤化工中试基地项目，符合园区产业定位，选址满足园区产业布局。</w:t>
                  </w:r>
                </w:p>
              </w:tc>
              <w:tc>
                <w:tcPr>
                  <w:tcW w:w="297" w:type="pct"/>
                  <w:tcBorders>
                    <w:tl2br w:val="nil"/>
                    <w:tr2bl w:val="nil"/>
                  </w:tcBorders>
                  <w:noWrap w:val="0"/>
                  <w:vAlign w:val="center"/>
                </w:tcPr>
                <w:p w14:paraId="0D449993">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符合</w:t>
                  </w:r>
                </w:p>
              </w:tc>
            </w:tr>
            <w:tr w14:paraId="12029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8" w:type="pct"/>
                  <w:vMerge w:val="continue"/>
                  <w:tcBorders>
                    <w:tl2br w:val="nil"/>
                    <w:tr2bl w:val="nil"/>
                  </w:tcBorders>
                  <w:noWrap w:val="0"/>
                  <w:vAlign w:val="center"/>
                </w:tcPr>
                <w:p w14:paraId="09A1E7EB">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p>
              </w:tc>
              <w:tc>
                <w:tcPr>
                  <w:tcW w:w="564" w:type="pct"/>
                  <w:tcBorders>
                    <w:tl2br w:val="nil"/>
                    <w:tr2bl w:val="nil"/>
                  </w:tcBorders>
                  <w:noWrap w:val="0"/>
                  <w:vAlign w:val="center"/>
                </w:tcPr>
                <w:p w14:paraId="41FBCA1E">
                  <w:pPr>
                    <w:keepNext w:val="0"/>
                    <w:keepLines w:val="0"/>
                    <w:pageBreakBefore w:val="0"/>
                    <w:widowControl/>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bidi="ar"/>
                    </w:rPr>
                  </w:pPr>
                  <w:r>
                    <w:rPr>
                      <w:rFonts w:hint="default" w:ascii="Times New Roman" w:hAnsi="Times New Roman" w:eastAsia="宋体" w:cs="Times New Roman"/>
                      <w:color w:val="auto"/>
                      <w:kern w:val="0"/>
                      <w:sz w:val="18"/>
                      <w:szCs w:val="18"/>
                      <w:highlight w:val="none"/>
                      <w:lang w:val="en-US" w:eastAsia="zh-CN" w:bidi="ar"/>
                    </w:rPr>
                    <w:t>污染物排放管控</w:t>
                  </w:r>
                </w:p>
              </w:tc>
              <w:tc>
                <w:tcPr>
                  <w:tcW w:w="1904" w:type="pct"/>
                  <w:tcBorders>
                    <w:tl2br w:val="nil"/>
                    <w:tr2bl w:val="nil"/>
                  </w:tcBorders>
                  <w:noWrap w:val="0"/>
                  <w:vAlign w:val="center"/>
                </w:tcPr>
                <w:p w14:paraId="6E0B8501">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1.加快企业预处理排水输水</w:t>
                  </w:r>
                  <w:r>
                    <w:rPr>
                      <w:rFonts w:hint="eastAsia" w:ascii="Times New Roman" w:hAnsi="Times New Roman" w:eastAsia="宋体" w:cs="Times New Roman"/>
                      <w:color w:val="auto"/>
                      <w:sz w:val="18"/>
                      <w:szCs w:val="18"/>
                      <w:highlight w:val="none"/>
                      <w:lang w:val="en-US" w:eastAsia="zh-CN"/>
                    </w:rPr>
                    <w:t>管网</w:t>
                  </w:r>
                  <w:r>
                    <w:rPr>
                      <w:rFonts w:hint="default" w:ascii="Times New Roman" w:hAnsi="Times New Roman" w:eastAsia="宋体" w:cs="Times New Roman"/>
                      <w:color w:val="auto"/>
                      <w:sz w:val="18"/>
                      <w:szCs w:val="18"/>
                      <w:highlight w:val="none"/>
                      <w:lang w:val="en-US" w:eastAsia="zh-CN"/>
                    </w:rPr>
                    <w:t>改造与监控设施建设，提升园区污水集中处理水平。加快工业企业再生水回用工程建设，推进工业企业再生水利用水平，加强工业节水管理按 “清污分流”、“雨污分流”、“污污分流” 原则，污水应收尽收，全部回用或作为景观用水不外排。</w:t>
                  </w:r>
                </w:p>
                <w:p w14:paraId="1604C51B">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2.实施集中供热，禁止建设分散燃煤锅炉。</w:t>
                  </w:r>
                </w:p>
                <w:p w14:paraId="3D00E23D">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3.加强对废气特别是有毒及恶臭气体的收集和处置，严格控制挥发性有机物（VOCs）排放。</w:t>
                  </w:r>
                </w:p>
                <w:p w14:paraId="17E97E49">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4.固体废物产生量大的化工园区应配套建设固体废物处置设施。</w:t>
                  </w:r>
                </w:p>
                <w:p w14:paraId="4245D1B2">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5.重点行业粉状物料堆场实现全封闭，块状物料安装抑尘设施。</w:t>
                  </w:r>
                </w:p>
                <w:p w14:paraId="25FAD282">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6.燃煤发电机组执行大气污染物超低排放限值。</w:t>
                  </w:r>
                </w:p>
                <w:p w14:paraId="38783CD8">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7.推进高含盐水“零排放”，稳定运行高盐水深度处理和分盐结晶设施，完善配套设施。优化工艺技术，确保高盐水全部结晶处理，严禁排入晾晒池。加快现有晾晒池取缔或转变功能，禁止新建晾晒池、蒸发塘。</w:t>
                  </w:r>
                </w:p>
              </w:tc>
              <w:tc>
                <w:tcPr>
                  <w:tcW w:w="1414" w:type="pct"/>
                  <w:tcBorders>
                    <w:tl2br w:val="nil"/>
                    <w:tr2bl w:val="nil"/>
                  </w:tcBorders>
                  <w:noWrap w:val="0"/>
                  <w:vAlign w:val="center"/>
                </w:tcPr>
                <w:p w14:paraId="4ADA12EE">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1.本项目为中试基地基础设施工程，生活污水化粪池收集后，定期拉运至园区生活污水处处理厂处理；循环水站废水和火炬系统废水收集后经管道送</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color w:val="auto"/>
                      <w:kern w:val="0"/>
                      <w:sz w:val="18"/>
                      <w:szCs w:val="18"/>
                      <w:highlight w:val="none"/>
                      <w:lang w:val="en-US" w:eastAsia="zh-CN" w:bidi="ar"/>
                    </w:rPr>
                    <w:t>回用水处理站和生化水处理站处理</w:t>
                  </w:r>
                  <w:r>
                    <w:rPr>
                      <w:rFonts w:hint="eastAsia" w:ascii="Times New Roman" w:hAnsi="Times New Roman" w:eastAsia="宋体" w:cs="Times New Roman"/>
                      <w:color w:val="auto"/>
                      <w:sz w:val="18"/>
                      <w:szCs w:val="18"/>
                      <w:highlight w:val="none"/>
                      <w:lang w:val="en-US" w:eastAsia="zh-CN"/>
                    </w:rPr>
                    <w:t>；</w:t>
                  </w:r>
                </w:p>
                <w:p w14:paraId="21E38D62">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2.本项目冬季采暖利用</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color w:val="auto"/>
                      <w:sz w:val="18"/>
                      <w:szCs w:val="18"/>
                      <w:highlight w:val="none"/>
                      <w:lang w:val="en-US" w:eastAsia="zh-CN"/>
                    </w:rPr>
                    <w:t>蒸汽经基地内换热站转换热量后采暖，不建设燃煤锅炉。</w:t>
                  </w:r>
                </w:p>
                <w:p w14:paraId="4BC09D30">
                  <w:pPr>
                    <w:pStyle w:val="49"/>
                    <w:keepNext w:val="0"/>
                    <w:keepLines w:val="0"/>
                    <w:pageBreakBefore w:val="0"/>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3.本项目建设了火炬系统，主要用于基地后期中试项目事故状态驰放气等废气的处置；</w:t>
                  </w:r>
                  <w:r>
                    <w:rPr>
                      <w:rFonts w:hint="eastAsia" w:ascii="Times New Roman" w:hAnsi="Times New Roman" w:eastAsia="宋体" w:cs="Times New Roman"/>
                      <w:color w:val="auto"/>
                      <w:kern w:val="0"/>
                      <w:sz w:val="18"/>
                      <w:szCs w:val="18"/>
                      <w:highlight w:val="none"/>
                      <w:lang w:val="en-US" w:eastAsia="zh-CN" w:bidi="ar"/>
                    </w:rPr>
                    <w:t>本项目要求</w:t>
                  </w:r>
                  <w:r>
                    <w:rPr>
                      <w:rFonts w:ascii="宋体" w:hAnsi="宋体" w:eastAsia="宋体" w:cs="宋体"/>
                      <w:color w:val="auto"/>
                      <w:kern w:val="0"/>
                      <w:sz w:val="18"/>
                      <w:szCs w:val="18"/>
                      <w:highlight w:val="none"/>
                      <w:lang w:val="en-US" w:eastAsia="zh-CN" w:bidi="ar"/>
                    </w:rPr>
                    <w:t>危险废物根据其物理化学性质及相容性，选用合适的容器进行收集</w:t>
                  </w:r>
                  <w:r>
                    <w:rPr>
                      <w:rFonts w:hint="eastAsia" w:ascii="宋体" w:hAnsi="宋体" w:eastAsia="宋体" w:cs="宋体"/>
                      <w:color w:val="auto"/>
                      <w:kern w:val="0"/>
                      <w:sz w:val="18"/>
                      <w:szCs w:val="18"/>
                      <w:highlight w:val="none"/>
                      <w:lang w:val="en-US" w:eastAsia="zh-CN" w:bidi="ar"/>
                    </w:rPr>
                    <w:t>并在危废库分区存放</w:t>
                  </w:r>
                  <w:r>
                    <w:rPr>
                      <w:rFonts w:hint="eastAsia" w:ascii="Times New Roman" w:hAnsi="Times New Roman" w:eastAsia="宋体" w:cs="Times New Roman"/>
                      <w:color w:val="auto"/>
                      <w:sz w:val="18"/>
                      <w:szCs w:val="18"/>
                      <w:highlight w:val="none"/>
                      <w:lang w:val="en-US" w:eastAsia="zh-CN"/>
                    </w:rPr>
                    <w:t>，缩短贮存时间，定期外委资质单位处置。根据后续实际危废种类性质，对会产生大量废气的危废采取负压收集和净化措施（不在本次环评范围内）。</w:t>
                  </w:r>
                </w:p>
                <w:p w14:paraId="0E13F93D">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4.本项目不涉及。</w:t>
                  </w:r>
                </w:p>
                <w:p w14:paraId="70A23F9C">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5.本项目生产厂房、仓库均为全封闭标准化的车间库房。</w:t>
                  </w:r>
                </w:p>
                <w:p w14:paraId="3E4FBA8A">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6.本项目不涉及；</w:t>
                  </w:r>
                </w:p>
                <w:p w14:paraId="1BF3332D">
                  <w:pPr>
                    <w:pStyle w:val="49"/>
                    <w:keepNext w:val="0"/>
                    <w:keepLines w:val="0"/>
                    <w:pageBreakBefore w:val="0"/>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7.本项目不涉及。</w:t>
                  </w:r>
                </w:p>
              </w:tc>
              <w:tc>
                <w:tcPr>
                  <w:tcW w:w="297" w:type="pct"/>
                  <w:tcBorders>
                    <w:tl2br w:val="nil"/>
                    <w:tr2bl w:val="nil"/>
                  </w:tcBorders>
                  <w:noWrap w:val="0"/>
                  <w:vAlign w:val="center"/>
                </w:tcPr>
                <w:p w14:paraId="02556FB0">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符合</w:t>
                  </w:r>
                </w:p>
              </w:tc>
            </w:tr>
            <w:tr w14:paraId="3F0F8C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8" w:type="pct"/>
                  <w:vMerge w:val="continue"/>
                  <w:tcBorders>
                    <w:tl2br w:val="nil"/>
                    <w:tr2bl w:val="nil"/>
                  </w:tcBorders>
                  <w:noWrap w:val="0"/>
                  <w:vAlign w:val="center"/>
                </w:tcPr>
                <w:p w14:paraId="3DC2115A">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p>
              </w:tc>
              <w:tc>
                <w:tcPr>
                  <w:tcW w:w="564" w:type="pct"/>
                  <w:tcBorders>
                    <w:tl2br w:val="nil"/>
                    <w:tr2bl w:val="nil"/>
                  </w:tcBorders>
                  <w:noWrap w:val="0"/>
                  <w:vAlign w:val="center"/>
                </w:tcPr>
                <w:p w14:paraId="5F29F4A6">
                  <w:pPr>
                    <w:keepNext w:val="0"/>
                    <w:keepLines w:val="0"/>
                    <w:pageBreakBefore w:val="0"/>
                    <w:widowControl/>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风险管控</w:t>
                  </w:r>
                </w:p>
              </w:tc>
              <w:tc>
                <w:tcPr>
                  <w:tcW w:w="1904" w:type="pct"/>
                  <w:tcBorders>
                    <w:tl2br w:val="nil"/>
                    <w:tr2bl w:val="nil"/>
                  </w:tcBorders>
                  <w:noWrap w:val="0"/>
                  <w:vAlign w:val="center"/>
                </w:tcPr>
                <w:p w14:paraId="284DE5C9">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进一步建立健全工业园区环境风险三级防控体系，强化风险防控管理，制定应急风险预案。全面落实园区、企业环境风险应急预案各项要求，增强突发环境事件处置能力。园区煤化工企业推进高盐水晾晒池风险防控和监管，消除水环境风险隐患。加强高盐水晾晒池风险隐患排查，消除溃坝、溢流风险，确保晾晒池安全运行。</w:t>
                  </w:r>
                </w:p>
                <w:p w14:paraId="7EFF6573">
                  <w:pPr>
                    <w:keepNext w:val="0"/>
                    <w:keepLines w:val="0"/>
                    <w:pageBreakBefore w:val="0"/>
                    <w:widowControl/>
                    <w:kinsoku/>
                    <w:wordWrap/>
                    <w:overflowPunct/>
                    <w:topLinePunct w:val="0"/>
                    <w:bidi w:val="0"/>
                    <w:adjustRightInd/>
                    <w:snapToGrid/>
                    <w:ind w:left="0" w:leftChars="0" w:right="0" w:righ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2.开展涉沙涉化企业、有风险隐患的渣场等风险排查和整改工作，及时消除隐患。按要求建设园区隔离带、绿化防护带和风险事故水池等设施。</w:t>
                  </w:r>
                </w:p>
              </w:tc>
              <w:tc>
                <w:tcPr>
                  <w:tcW w:w="1414" w:type="pct"/>
                  <w:tcBorders>
                    <w:tl2br w:val="nil"/>
                    <w:tr2bl w:val="nil"/>
                  </w:tcBorders>
                  <w:noWrap w:val="0"/>
                  <w:vAlign w:val="center"/>
                </w:tcPr>
                <w:p w14:paraId="5F3EC577">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1.本项目基地内设置了消防泵站及消防水池；同时设置了事故水池与初期雨水收集池。委托第三方机构编制环境风险应急预案，并根据后续入驻中试项目实际情况逐步完善；</w:t>
                  </w:r>
                </w:p>
                <w:p w14:paraId="0A61FF42">
                  <w:pPr>
                    <w:pStyle w:val="49"/>
                    <w:keepNext w:val="0"/>
                    <w:keepLines w:val="0"/>
                    <w:pageBreakBefore w:val="0"/>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2.基地后续入驻的中试项目将严格按照要求开展风险排查。基地建设了一定的绿化面积，建设了风险事故水池和初期雨水池。</w:t>
                  </w:r>
                </w:p>
              </w:tc>
              <w:tc>
                <w:tcPr>
                  <w:tcW w:w="297" w:type="pct"/>
                  <w:tcBorders>
                    <w:tl2br w:val="nil"/>
                    <w:tr2bl w:val="nil"/>
                  </w:tcBorders>
                  <w:noWrap w:val="0"/>
                  <w:vAlign w:val="center"/>
                </w:tcPr>
                <w:p w14:paraId="201D36C0">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符合</w:t>
                  </w:r>
                </w:p>
              </w:tc>
            </w:tr>
            <w:tr w14:paraId="0CB239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18" w:type="pct"/>
                  <w:vMerge w:val="continue"/>
                  <w:tcBorders>
                    <w:tl2br w:val="nil"/>
                    <w:tr2bl w:val="nil"/>
                  </w:tcBorders>
                  <w:noWrap w:val="0"/>
                  <w:vAlign w:val="center"/>
                </w:tcPr>
                <w:p w14:paraId="2CD66D3E">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p>
              </w:tc>
              <w:tc>
                <w:tcPr>
                  <w:tcW w:w="564" w:type="pct"/>
                  <w:tcBorders>
                    <w:tl2br w:val="nil"/>
                    <w:tr2bl w:val="nil"/>
                  </w:tcBorders>
                  <w:noWrap w:val="0"/>
                  <w:vAlign w:val="center"/>
                </w:tcPr>
                <w:p w14:paraId="61A78A3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color w:val="auto"/>
                      <w:kern w:val="0"/>
                      <w:sz w:val="18"/>
                      <w:szCs w:val="18"/>
                      <w:highlight w:val="none"/>
                      <w:lang w:val="en-US" w:eastAsia="zh-CN" w:bidi="ar"/>
                    </w:rPr>
                    <w:t>资源开发效率</w:t>
                  </w:r>
                </w:p>
              </w:tc>
              <w:tc>
                <w:tcPr>
                  <w:tcW w:w="1904" w:type="pct"/>
                  <w:tcBorders>
                    <w:tl2br w:val="nil"/>
                    <w:tr2bl w:val="nil"/>
                  </w:tcBorders>
                  <w:noWrap w:val="0"/>
                  <w:vAlign w:val="center"/>
                </w:tcPr>
                <w:p w14:paraId="53E28C74">
                  <w:pPr>
                    <w:pStyle w:val="5"/>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1.推进能源梯级利用，提高能源利用效率，鼓励使用清洁燃料或可再生能源。</w:t>
                  </w:r>
                </w:p>
                <w:p w14:paraId="27740D35">
                  <w:pPr>
                    <w:pStyle w:val="5"/>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2.严控地下水超采。新建、改建、扩建的高耗水工业项目，禁止擅自使用地下水。食品、制药等项目取用地下水，须经有管理权限的水行政主管部门批准。</w:t>
                  </w:r>
                </w:p>
              </w:tc>
              <w:tc>
                <w:tcPr>
                  <w:tcW w:w="1414" w:type="pct"/>
                  <w:tcBorders>
                    <w:tl2br w:val="nil"/>
                    <w:tr2bl w:val="nil"/>
                  </w:tcBorders>
                  <w:noWrap w:val="0"/>
                  <w:vAlign w:val="center"/>
                </w:tcPr>
                <w:p w14:paraId="691B7507">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1.本项目用电由园区现有供电系统引入；中试项目涉及的气化炉、反应器等需要高温加热的设备设施热源采用</w:t>
                  </w:r>
                  <w:r>
                    <w:rPr>
                      <w:rFonts w:hint="eastAsia" w:ascii="Times New Roman" w:hAnsi="Times New Roman" w:cs="Times New Roman"/>
                      <w:color w:val="auto"/>
                      <w:sz w:val="18"/>
                      <w:szCs w:val="18"/>
                      <w:highlight w:val="none"/>
                      <w:u w:val="none"/>
                      <w:lang w:val="en-US" w:eastAsia="zh-CN"/>
                    </w:rPr>
                    <w:t>中煤鄂尔多斯能源化工有限公司供给的</w:t>
                  </w:r>
                  <w:r>
                    <w:rPr>
                      <w:rFonts w:hint="eastAsia" w:ascii="Times New Roman" w:hAnsi="Times New Roman" w:eastAsia="宋体" w:cs="Times New Roman"/>
                      <w:color w:val="auto"/>
                      <w:sz w:val="18"/>
                      <w:szCs w:val="18"/>
                      <w:highlight w:val="none"/>
                      <w:lang w:val="en-US" w:eastAsia="zh-CN"/>
                    </w:rPr>
                    <w:t>中压蒸汽；</w:t>
                  </w:r>
                </w:p>
                <w:p w14:paraId="445F382D">
                  <w:pPr>
                    <w:pStyle w:val="49"/>
                    <w:keepNext w:val="0"/>
                    <w:keepLines w:val="0"/>
                    <w:pageBreakBefore w:val="0"/>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2.本项目不涉及地下水开采。</w:t>
                  </w:r>
                </w:p>
              </w:tc>
              <w:tc>
                <w:tcPr>
                  <w:tcW w:w="297" w:type="pct"/>
                  <w:tcBorders>
                    <w:tl2br w:val="nil"/>
                    <w:tr2bl w:val="nil"/>
                  </w:tcBorders>
                  <w:noWrap w:val="0"/>
                  <w:vAlign w:val="center"/>
                </w:tcPr>
                <w:p w14:paraId="791DE96F">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符合</w:t>
                  </w:r>
                </w:p>
              </w:tc>
            </w:tr>
          </w:tbl>
          <w:p w14:paraId="459CEE9E">
            <w:pPr>
              <w:widowControl/>
              <w:spacing w:line="360" w:lineRule="auto"/>
              <w:jc w:val="center"/>
              <w:rPr>
                <w:b/>
                <w:bCs/>
                <w:color w:val="auto"/>
                <w:sz w:val="21"/>
                <w:szCs w:val="21"/>
                <w:highlight w:val="none"/>
              </w:rPr>
            </w:pPr>
            <w:r>
              <w:rPr>
                <w:rFonts w:hint="eastAsia"/>
                <w:b/>
                <w:bCs/>
                <w:color w:val="auto"/>
                <w:sz w:val="21"/>
                <w:szCs w:val="21"/>
                <w:highlight w:val="none"/>
              </w:rPr>
              <w:t>表1</w:t>
            </w:r>
            <w:r>
              <w:rPr>
                <w:rFonts w:hint="eastAsia"/>
                <w:b/>
                <w:bCs/>
                <w:color w:val="auto"/>
                <w:sz w:val="21"/>
                <w:szCs w:val="21"/>
                <w:highlight w:val="none"/>
                <w:lang w:val="en-US" w:eastAsia="zh-CN"/>
              </w:rPr>
              <w:t>-5</w:t>
            </w:r>
            <w:r>
              <w:rPr>
                <w:rFonts w:hint="eastAsia"/>
                <w:b/>
                <w:bCs/>
                <w:color w:val="auto"/>
                <w:sz w:val="21"/>
                <w:szCs w:val="21"/>
                <w:highlight w:val="none"/>
              </w:rPr>
              <w:t xml:space="preserve">   </w:t>
            </w:r>
            <w:r>
              <w:rPr>
                <w:rFonts w:hint="eastAsia"/>
                <w:b/>
                <w:bCs/>
                <w:color w:val="auto"/>
                <w:kern w:val="0"/>
                <w:sz w:val="21"/>
                <w:szCs w:val="21"/>
                <w:highlight w:val="none"/>
                <w:lang w:bidi="ar"/>
              </w:rPr>
              <w:t>本项目与生态环境准入清单</w:t>
            </w:r>
            <w:r>
              <w:rPr>
                <w:rFonts w:hint="eastAsia"/>
                <w:b/>
                <w:bCs/>
                <w:color w:val="auto"/>
                <w:kern w:val="0"/>
                <w:sz w:val="21"/>
                <w:szCs w:val="21"/>
                <w:highlight w:val="none"/>
                <w:lang w:val="en-US" w:eastAsia="zh-CN" w:bidi="ar"/>
              </w:rPr>
              <w:t>市级整体要求</w:t>
            </w:r>
            <w:r>
              <w:rPr>
                <w:rFonts w:hint="eastAsia"/>
                <w:b/>
                <w:bCs/>
                <w:color w:val="auto"/>
                <w:kern w:val="0"/>
                <w:sz w:val="21"/>
                <w:szCs w:val="21"/>
                <w:highlight w:val="none"/>
                <w:lang w:bidi="ar"/>
              </w:rPr>
              <w:t>符合性分析一览表</w:t>
            </w:r>
          </w:p>
          <w:tbl>
            <w:tblPr>
              <w:tblStyle w:val="2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3551"/>
              <w:gridCol w:w="2227"/>
              <w:gridCol w:w="468"/>
            </w:tblGrid>
            <w:tr w14:paraId="7E70A8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pct"/>
                  <w:tcBorders>
                    <w:tl2br w:val="nil"/>
                    <w:tr2bl w:val="nil"/>
                  </w:tcBorders>
                  <w:noWrap w:val="0"/>
                  <w:vAlign w:val="center"/>
                </w:tcPr>
                <w:p w14:paraId="32AA95B7">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管控维度</w:t>
                  </w:r>
                </w:p>
              </w:tc>
              <w:tc>
                <w:tcPr>
                  <w:tcW w:w="2543" w:type="pct"/>
                  <w:tcBorders>
                    <w:tl2br w:val="nil"/>
                    <w:tr2bl w:val="nil"/>
                  </w:tcBorders>
                  <w:noWrap w:val="0"/>
                  <w:vAlign w:val="center"/>
                </w:tcPr>
                <w:p w14:paraId="18B6B99A">
                  <w:pPr>
                    <w:keepNext w:val="0"/>
                    <w:keepLines w:val="0"/>
                    <w:pageBreakBefore w:val="0"/>
                    <w:widowControl/>
                    <w:kinsoku/>
                    <w:wordWrap/>
                    <w:overflowPunct/>
                    <w:topLinePunct w:val="0"/>
                    <w:bidi w:val="0"/>
                    <w:adjustRightInd/>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准入要求</w:t>
                  </w:r>
                </w:p>
              </w:tc>
              <w:tc>
                <w:tcPr>
                  <w:tcW w:w="1595" w:type="pct"/>
                  <w:tcBorders>
                    <w:tl2br w:val="nil"/>
                    <w:tr2bl w:val="nil"/>
                  </w:tcBorders>
                  <w:noWrap w:val="0"/>
                  <w:vAlign w:val="center"/>
                </w:tcPr>
                <w:p w14:paraId="44175D4E">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本项目情况</w:t>
                  </w:r>
                </w:p>
              </w:tc>
              <w:tc>
                <w:tcPr>
                  <w:tcW w:w="335" w:type="pct"/>
                  <w:tcBorders>
                    <w:tl2br w:val="nil"/>
                    <w:tr2bl w:val="nil"/>
                  </w:tcBorders>
                  <w:noWrap w:val="0"/>
                  <w:vAlign w:val="center"/>
                </w:tcPr>
                <w:p w14:paraId="08620850">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符合性</w:t>
                  </w:r>
                </w:p>
              </w:tc>
            </w:tr>
            <w:tr w14:paraId="2D7982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25" w:type="pct"/>
                  <w:tcBorders>
                    <w:tl2br w:val="nil"/>
                    <w:tr2bl w:val="nil"/>
                  </w:tcBorders>
                  <w:noWrap w:val="0"/>
                  <w:vAlign w:val="center"/>
                </w:tcPr>
                <w:p w14:paraId="2BBFFFC9">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b/>
                      <w:bCs/>
                      <w:i w:val="0"/>
                      <w:iCs w:val="0"/>
                      <w:caps w:val="0"/>
                      <w:color w:val="auto"/>
                      <w:spacing w:val="0"/>
                      <w:sz w:val="18"/>
                      <w:szCs w:val="18"/>
                      <w:highlight w:val="none"/>
                    </w:rPr>
                    <w:t>空间布局约束</w:t>
                  </w:r>
                </w:p>
              </w:tc>
              <w:tc>
                <w:tcPr>
                  <w:tcW w:w="2543" w:type="pct"/>
                  <w:tcBorders>
                    <w:tl2br w:val="nil"/>
                    <w:tr2bl w:val="nil"/>
                  </w:tcBorders>
                  <w:noWrap w:val="0"/>
                  <w:vAlign w:val="center"/>
                </w:tcPr>
                <w:p w14:paraId="4C2207F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除国家规划布局和自治区延链补链的现代煤化工项目外，“十四五”期间原则上不再审批新的现代煤化工项目。严禁新建虚拟货币“挖矿”项目。</w:t>
                  </w:r>
                </w:p>
                <w:p w14:paraId="4C999DBA">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禁止布局现有化工园区以外新的化工园区。严格控制新建、扩建高耗水项目，促进火力发电、焦化等高耗水行业节水改造。严格落实水资源超载地区新增用水项目和取水许可“双限批”。对未达到国家和自治区先进用水定额标准的新建工业项目一律不予审批取水，对超过取用水定额标准的现有工业项目要尽快实施节水改造，改造后仍达不到国家和自治区用水定额通用值的，延续取水许可时不予批准。严格控制耕地灌溉面积，坚守“四水四定”底线，不得借助新建、扩建、改建项目擅自增大灌溉面积，对于地类属性为非耕地的，逐步退出种植，还林还草。</w:t>
                  </w:r>
                </w:p>
                <w:p w14:paraId="05B5291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煤化工产业需布设在产业园区，并符合所在园区的规划及规划环评要求。项目远离生态红线控制区，并与居民区或城市规划的居住用地保持一定缓冲距离。</w:t>
                  </w:r>
                </w:p>
                <w:p w14:paraId="16BD1BF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园区产业准入标准：</w:t>
                  </w:r>
                </w:p>
                <w:p w14:paraId="43797D1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煤化工行业。除在建项目和列入国家规划项目外，原则上不再新批单纯煤制甲醇、煤制烯烃等项目，确需建设的必须配套下游延伸加工项目。</w:t>
                  </w:r>
                </w:p>
                <w:p w14:paraId="229ECC3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格执行新建、改建、扩建工程项目安全设施、职业健康“三同时”制度，严格把控高危行业安全准入条件，高危项目审批必须把安全生产作为前置条件，实行重大安全风险“一票否决”。各园区应编制《安全准入管理办法》，对企业的安全准入条件做详细的规定。</w:t>
                  </w:r>
                </w:p>
                <w:p w14:paraId="533911B6">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新上工业项目要严格控制高碳产业的重复建设，引导地区间产业有序转移。</w:t>
                  </w:r>
                </w:p>
                <w:p w14:paraId="24471BDE">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强化源头管控，对不符合产业政策、产业定位、未落实用能指标的高耗能项目，不予立项。</w:t>
                  </w:r>
                </w:p>
                <w:p w14:paraId="6B4224B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禁新上不符合产业政策、“三线一单”生态环境分区管控方案、规划、环评、能耗以及水耗等相关规定的项目。加强河湖空间管控，严禁侵占河道、围垦湖泊、非法采砂，确保岸线优化配置、集约开发和可持续利用。从严格管控园区空间开发边界、构建存量用地评价退出机制、完善产业用地再开发分类引导等方面优化构建工业园区空间体系。</w:t>
                  </w:r>
                </w:p>
                <w:p w14:paraId="3F822714">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严格耗煤项目审批管理，控制煤炭增量消费。</w:t>
                  </w:r>
                </w:p>
                <w:p w14:paraId="740A5C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0"/>
                    <w:jc w:val="left"/>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    从2021年起，不再审批焦炭、兰炭、电石、聚氯乙烯、烧碱（废盐综合利用的离子膜烧碱装置除外）、纯碱（《西部地区鼓励类产业目录（2020年本）》中内蒙古鼓励类项目除外）、合成氨（确有必要建设的焦炉煤气综合利用制合成気、可再生能源制复制合成复除外）、尿素、磷按、甲醇（确有必要建设的焦炉煤气综合利用制甲醇、可再生能源制氢制甲醇除外）、乙二醇、黄磷、水泥（熟料）、平板玻璃、超高功率以下石墨电极、钢铁（已进入产能置换公示阶段的，按国家规定执行）、铁合金（作为多晶硅配套原料、可再生能源电力使用比例达到60%以上的工业硅除外）、电解铝（国家批复同意的高铝粉煤灰提取氧化铝配套电解铝除外）、氧化铝（高铝粉煤灰提取氧化铝除外）、蓝宝石等新增产能项目；确有必要建设的，须在区内实施产能减量或等量置换。</w:t>
                  </w:r>
                  <w:r>
                    <w:rPr>
                      <w:rFonts w:hint="eastAsia" w:ascii="Times New Roman" w:hAnsi="Times New Roman" w:eastAsia="宋体" w:cs="Times New Roman"/>
                      <w:i w:val="0"/>
                      <w:iCs w:val="0"/>
                      <w:caps w:val="0"/>
                      <w:color w:val="auto"/>
                      <w:spacing w:val="0"/>
                      <w:kern w:val="0"/>
                      <w:sz w:val="18"/>
                      <w:szCs w:val="18"/>
                      <w:highlight w:val="none"/>
                      <w:lang w:val="en-US" w:eastAsia="zh-CN" w:bidi="ar"/>
                    </w:rPr>
                    <w:t>......</w:t>
                  </w:r>
                </w:p>
              </w:tc>
              <w:tc>
                <w:tcPr>
                  <w:tcW w:w="1595" w:type="pct"/>
                  <w:tcBorders>
                    <w:tl2br w:val="nil"/>
                    <w:tr2bl w:val="nil"/>
                  </w:tcBorders>
                  <w:noWrap w:val="0"/>
                  <w:vAlign w:val="center"/>
                </w:tcPr>
                <w:p w14:paraId="1153CE7D">
                  <w:pPr>
                    <w:keepNext w:val="0"/>
                    <w:keepLines w:val="0"/>
                    <w:pageBreakBefore w:val="0"/>
                    <w:widowControl/>
                    <w:suppressLineNumbers w:val="0"/>
                    <w:kinsoku/>
                    <w:wordWrap/>
                    <w:overflowPunct/>
                    <w:topLinePunct w:val="0"/>
                    <w:autoSpaceDE/>
                    <w:autoSpaceDN/>
                    <w:bidi w:val="0"/>
                    <w:adjustRightInd/>
                    <w:snapToGrid/>
                    <w:ind w:firstLine="360" w:firstLineChars="200"/>
                    <w:jc w:val="both"/>
                    <w:textAlignment w:val="auto"/>
                    <w:rPr>
                      <w:rFonts w:hint="eastAsia" w:ascii="宋体" w:hAnsi="宋体" w:eastAsia="宋体" w:cs="宋体"/>
                      <w:color w:val="auto"/>
                      <w:kern w:val="0"/>
                      <w:sz w:val="18"/>
                      <w:szCs w:val="18"/>
                      <w:highlight w:val="none"/>
                      <w:lang w:val="en-US" w:eastAsia="zh-CN" w:bidi="ar"/>
                    </w:rPr>
                  </w:pPr>
                  <w:r>
                    <w:rPr>
                      <w:rFonts w:hint="eastAsia" w:ascii="Times New Roman" w:hAnsi="Times New Roman" w:eastAsia="宋体" w:cs="Times New Roman"/>
                      <w:color w:val="auto"/>
                      <w:sz w:val="18"/>
                      <w:szCs w:val="18"/>
                      <w:highlight w:val="none"/>
                      <w:lang w:val="en-US" w:eastAsia="zh-CN"/>
                    </w:rPr>
                    <w:t>本项目为现代煤化工中试基地项目，是图克工业园区</w:t>
                  </w:r>
                  <w:r>
                    <w:rPr>
                      <w:rFonts w:ascii="宋体" w:hAnsi="宋体" w:eastAsia="宋体" w:cs="宋体"/>
                      <w:color w:val="auto"/>
                      <w:kern w:val="0"/>
                      <w:sz w:val="18"/>
                      <w:szCs w:val="18"/>
                      <w:highlight w:val="none"/>
                      <w:lang w:val="en-US" w:eastAsia="zh-CN" w:bidi="ar"/>
                    </w:rPr>
                    <w:t>创新的“技术引擎”</w:t>
                  </w:r>
                  <w:r>
                    <w:rPr>
                      <w:rFonts w:hint="eastAsia" w:ascii="宋体" w:hAnsi="宋体" w:eastAsia="宋体" w:cs="宋体"/>
                      <w:color w:val="auto"/>
                      <w:kern w:val="0"/>
                      <w:sz w:val="18"/>
                      <w:szCs w:val="18"/>
                      <w:highlight w:val="none"/>
                      <w:lang w:val="en-US" w:eastAsia="zh-CN" w:bidi="ar"/>
                    </w:rPr>
                    <w:t>，</w:t>
                  </w:r>
                  <w:r>
                    <w:rPr>
                      <w:rFonts w:ascii="宋体" w:hAnsi="宋体" w:eastAsia="宋体" w:cs="宋体"/>
                      <w:color w:val="auto"/>
                      <w:kern w:val="0"/>
                      <w:sz w:val="18"/>
                      <w:szCs w:val="18"/>
                      <w:highlight w:val="none"/>
                      <w:lang w:val="en-US" w:eastAsia="zh-CN" w:bidi="ar"/>
                    </w:rPr>
                    <w:t>为园区提供“可落地的技术”，解决园区产业升级的技术瓶颈</w:t>
                  </w:r>
                  <w:r>
                    <w:rPr>
                      <w:rFonts w:hint="eastAsia" w:ascii="宋体" w:hAnsi="宋体" w:eastAsia="宋体" w:cs="宋体"/>
                      <w:color w:val="auto"/>
                      <w:kern w:val="0"/>
                      <w:sz w:val="18"/>
                      <w:szCs w:val="18"/>
                      <w:highlight w:val="none"/>
                      <w:lang w:val="en-US" w:eastAsia="zh-CN" w:bidi="ar"/>
                    </w:rPr>
                    <w:t>。</w:t>
                  </w:r>
                </w:p>
                <w:p w14:paraId="6C93C4A6">
                  <w:pPr>
                    <w:keepNext w:val="0"/>
                    <w:keepLines w:val="0"/>
                    <w:pageBreakBefore w:val="0"/>
                    <w:widowControl/>
                    <w:suppressLineNumbers w:val="0"/>
                    <w:kinsoku/>
                    <w:wordWrap/>
                    <w:overflowPunct/>
                    <w:topLinePunct w:val="0"/>
                    <w:autoSpaceDE/>
                    <w:autoSpaceDN/>
                    <w:bidi w:val="0"/>
                    <w:adjustRightInd/>
                    <w:snapToGrid/>
                    <w:ind w:firstLine="360" w:firstLineChars="200"/>
                    <w:jc w:val="both"/>
                    <w:textAlignment w:val="auto"/>
                    <w:rPr>
                      <w:rFonts w:hint="default"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本项目位于已批复规划环评的现有工业园区。本项目为煤化工高新技术研发项目，不属于</w:t>
                  </w:r>
                  <w:r>
                    <w:rPr>
                      <w:rFonts w:hint="default" w:ascii="Times New Roman" w:hAnsi="Times New Roman" w:eastAsia="宋体" w:cs="Times New Roman"/>
                      <w:i w:val="0"/>
                      <w:iCs w:val="0"/>
                      <w:caps w:val="0"/>
                      <w:color w:val="auto"/>
                      <w:spacing w:val="0"/>
                      <w:kern w:val="0"/>
                      <w:sz w:val="18"/>
                      <w:szCs w:val="18"/>
                      <w:highlight w:val="none"/>
                      <w:lang w:val="en-US" w:eastAsia="zh-CN" w:bidi="ar"/>
                    </w:rPr>
                    <w:t>高耗水项目</w:t>
                  </w: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；本项目用水由园区中水供给；本项目不涉及耕地。</w:t>
                  </w:r>
                </w:p>
                <w:p w14:paraId="7267E318">
                  <w:pPr>
                    <w:keepNext w:val="0"/>
                    <w:keepLines w:val="0"/>
                    <w:pageBreakBefore w:val="0"/>
                    <w:widowControl/>
                    <w:suppressLineNumbers w:val="0"/>
                    <w:kinsoku/>
                    <w:wordWrap/>
                    <w:overflowPunct/>
                    <w:topLinePunct w:val="0"/>
                    <w:autoSpaceDE/>
                    <w:autoSpaceDN/>
                    <w:bidi w:val="0"/>
                    <w:adjustRightInd/>
                    <w:snapToGrid/>
                    <w:ind w:firstLine="360" w:firstLineChars="200"/>
                    <w:jc w:val="both"/>
                    <w:textAlignment w:val="auto"/>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本项目位于图克工业项目区内，符合园区规划和规划环评要求。项目选址位于规划的南化工片区，符合园区功能布局，不涉及生态红线。</w:t>
                  </w:r>
                </w:p>
                <w:p w14:paraId="3E533714">
                  <w:pPr>
                    <w:keepNext w:val="0"/>
                    <w:keepLines w:val="0"/>
                    <w:pageBreakBefore w:val="0"/>
                    <w:widowControl/>
                    <w:suppressLineNumbers w:val="0"/>
                    <w:kinsoku/>
                    <w:wordWrap/>
                    <w:overflowPunct/>
                    <w:topLinePunct w:val="0"/>
                    <w:autoSpaceDE/>
                    <w:autoSpaceDN/>
                    <w:bidi w:val="0"/>
                    <w:adjustRightInd/>
                    <w:snapToGrid/>
                    <w:ind w:firstLine="360" w:firstLineChars="200"/>
                    <w:jc w:val="both"/>
                    <w:textAlignment w:val="auto"/>
                    <w:rPr>
                      <w:rFonts w:hint="eastAsia"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本项目为现代煤化工中试基地项目，不属于</w:t>
                  </w:r>
                  <w:r>
                    <w:rPr>
                      <w:rFonts w:hint="default" w:ascii="Times New Roman" w:hAnsi="Times New Roman" w:eastAsia="宋体" w:cs="Times New Roman"/>
                      <w:i w:val="0"/>
                      <w:iCs w:val="0"/>
                      <w:caps w:val="0"/>
                      <w:color w:val="auto"/>
                      <w:spacing w:val="0"/>
                      <w:kern w:val="0"/>
                      <w:sz w:val="18"/>
                      <w:szCs w:val="18"/>
                      <w:highlight w:val="none"/>
                      <w:lang w:val="en-US" w:eastAsia="zh-CN" w:bidi="ar"/>
                    </w:rPr>
                    <w:t>单纯煤制甲醇、煤制烯烃等项目</w:t>
                  </w:r>
                  <w:r>
                    <w:rPr>
                      <w:rFonts w:hint="eastAsia" w:ascii="Times New Roman" w:hAnsi="Times New Roman" w:eastAsia="宋体" w:cs="Times New Roman"/>
                      <w:i w:val="0"/>
                      <w:iCs w:val="0"/>
                      <w:caps w:val="0"/>
                      <w:color w:val="auto"/>
                      <w:spacing w:val="0"/>
                      <w:kern w:val="0"/>
                      <w:sz w:val="18"/>
                      <w:szCs w:val="18"/>
                      <w:highlight w:val="none"/>
                      <w:lang w:val="en-US" w:eastAsia="zh-CN" w:bidi="ar"/>
                    </w:rPr>
                    <w:t>。</w:t>
                  </w:r>
                </w:p>
                <w:p w14:paraId="735AE34C">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本项目已委托第三方编制安全评价报告。</w:t>
                  </w:r>
                </w:p>
                <w:p w14:paraId="3DE3720E">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本项目为煤化工中试基地项目，不属于高碳项目。</w:t>
                  </w:r>
                </w:p>
                <w:p w14:paraId="1609B010">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本项目不属于高耗能项目。</w:t>
                  </w:r>
                </w:p>
                <w:p w14:paraId="659C37B4">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color w:val="auto"/>
                      <w:sz w:val="18"/>
                      <w:szCs w:val="18"/>
                      <w:highlight w:val="none"/>
                      <w:lang w:val="en-US" w:eastAsia="zh-CN"/>
                    </w:rPr>
                    <w:t>本项目符合</w:t>
                  </w:r>
                  <w:r>
                    <w:rPr>
                      <w:rFonts w:hint="default" w:ascii="Times New Roman" w:hAnsi="Times New Roman" w:eastAsia="宋体" w:cs="Times New Roman"/>
                      <w:i w:val="0"/>
                      <w:iCs w:val="0"/>
                      <w:caps w:val="0"/>
                      <w:color w:val="auto"/>
                      <w:spacing w:val="0"/>
                      <w:kern w:val="0"/>
                      <w:sz w:val="18"/>
                      <w:szCs w:val="18"/>
                      <w:highlight w:val="none"/>
                      <w:lang w:val="en-US" w:eastAsia="zh-CN" w:bidi="ar"/>
                    </w:rPr>
                    <w:t>产业政策、“三线一单”生态环境分区管控方案、规划、环评、能耗以及水耗等相关规定的项目</w:t>
                  </w: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。本项目不占用河湖空间。</w:t>
                  </w:r>
                </w:p>
                <w:p w14:paraId="768C87AA">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本项目为煤化工中试基地工程，</w:t>
                  </w:r>
                  <w:r>
                    <w:rPr>
                      <w:rFonts w:hint="eastAsia" w:ascii="Times New Roman" w:hAnsi="Times New Roman" w:eastAsia="宋体" w:cs="Times New Roman"/>
                      <w:i w:val="0"/>
                      <w:iCs w:val="0"/>
                      <w:caps w:val="0"/>
                      <w:color w:val="auto"/>
                      <w:spacing w:val="0"/>
                      <w:kern w:val="0"/>
                      <w:sz w:val="18"/>
                      <w:szCs w:val="18"/>
                      <w:highlight w:val="none"/>
                      <w:u w:val="none"/>
                      <w:lang w:val="en-US" w:eastAsia="zh-CN" w:bidi="ar"/>
                    </w:rPr>
                    <w:t>煤炭为主要的试验原料，</w:t>
                  </w:r>
                  <w:r>
                    <w:rPr>
                      <w:rFonts w:hint="eastAsia" w:ascii="Times New Roman" w:hAnsi="Times New Roman" w:eastAsia="宋体" w:cs="Times New Roman"/>
                      <w:i w:val="0"/>
                      <w:iCs w:val="0"/>
                      <w:caps w:val="0"/>
                      <w:color w:val="auto"/>
                      <w:spacing w:val="0"/>
                      <w:kern w:val="0"/>
                      <w:sz w:val="18"/>
                      <w:szCs w:val="18"/>
                      <w:highlight w:val="none"/>
                      <w:lang w:val="en-US" w:eastAsia="zh-CN" w:bidi="ar"/>
                    </w:rPr>
                    <w:t>煤炭耗量有限。</w:t>
                  </w:r>
                </w:p>
                <w:p w14:paraId="6483D5FE">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default"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本项目为现代煤化工中试基地项目，不属于不再审批的项目；</w:t>
                  </w:r>
                </w:p>
                <w:p w14:paraId="36281956">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default" w:ascii="Times New Roman" w:hAnsi="Times New Roman" w:eastAsia="宋体" w:cs="Times New Roman"/>
                      <w:i w:val="0"/>
                      <w:iCs w:val="0"/>
                      <w:caps w:val="0"/>
                      <w:color w:val="auto"/>
                      <w:spacing w:val="0"/>
                      <w:kern w:val="0"/>
                      <w:sz w:val="18"/>
                      <w:szCs w:val="18"/>
                      <w:highlight w:val="none"/>
                      <w:lang w:val="en-US" w:eastAsia="zh-CN" w:bidi="ar"/>
                    </w:rPr>
                  </w:pPr>
                </w:p>
              </w:tc>
              <w:tc>
                <w:tcPr>
                  <w:tcW w:w="335" w:type="pct"/>
                  <w:tcBorders>
                    <w:tl2br w:val="nil"/>
                    <w:tr2bl w:val="nil"/>
                  </w:tcBorders>
                  <w:noWrap w:val="0"/>
                  <w:vAlign w:val="center"/>
                </w:tcPr>
                <w:p w14:paraId="08BF066E">
                  <w:pPr>
                    <w:keepNext w:val="0"/>
                    <w:keepLines w:val="0"/>
                    <w:pageBreakBefore w:val="0"/>
                    <w:widowControl/>
                    <w:kinsoku/>
                    <w:wordWrap/>
                    <w:overflowPunct/>
                    <w:topLinePunct w:val="0"/>
                    <w:bidi w:val="0"/>
                    <w:snapToGrid/>
                    <w:spacing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符合</w:t>
                  </w:r>
                </w:p>
              </w:tc>
            </w:tr>
            <w:tr w14:paraId="2BB42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25" w:type="pct"/>
                  <w:tcBorders>
                    <w:tl2br w:val="nil"/>
                    <w:tr2bl w:val="nil"/>
                  </w:tcBorders>
                  <w:noWrap w:val="0"/>
                  <w:vAlign w:val="center"/>
                </w:tcPr>
                <w:p w14:paraId="3A91B9AB">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b/>
                      <w:bCs/>
                      <w:i w:val="0"/>
                      <w:iCs w:val="0"/>
                      <w:caps w:val="0"/>
                      <w:color w:val="auto"/>
                      <w:spacing w:val="0"/>
                      <w:sz w:val="18"/>
                      <w:szCs w:val="18"/>
                      <w:highlight w:val="none"/>
                    </w:rPr>
                    <w:t>污染物排放管控</w:t>
                  </w:r>
                </w:p>
              </w:tc>
              <w:tc>
                <w:tcPr>
                  <w:tcW w:w="2543" w:type="pct"/>
                  <w:tcBorders>
                    <w:tl2br w:val="nil"/>
                    <w:tr2bl w:val="nil"/>
                  </w:tcBorders>
                  <w:noWrap w:val="0"/>
                  <w:vAlign w:val="center"/>
                </w:tcPr>
                <w:p w14:paraId="6C8B56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格落实污染物排放总量控制制度，把主要污染物排放总量指标作为环评审批的前置条件。对未完成上一年度主要污染物总量减排目标的地区或企业、环境质量未达到环境功能区划要求、被实施区域限批的地区及未进行排污权交易的工业企业建设项目暂停新增主要污染物排放建设项目的总量审批。推动具备条件的园区实施循环化改造，实现园区的能源、水、土地等资源利用效率大幅提升，二氧化碳、固体废物、废水、主要大气污染物排放量大幅降低。</w:t>
                  </w:r>
                </w:p>
                <w:p w14:paraId="672543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减少污染物入河量，加强入河排污口监督管理。严格水功能区管理监督，控制入河入湖排污总量。</w:t>
                  </w:r>
                </w:p>
                <w:p w14:paraId="3E7EB7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eastAsia" w:ascii="Times New Roman" w:hAnsi="Times New Roman" w:eastAsia="宋体" w:cs="Times New Roman"/>
                      <w:i w:val="0"/>
                      <w:iCs w:val="0"/>
                      <w:caps w:val="0"/>
                      <w:color w:val="auto"/>
                      <w:spacing w:val="0"/>
                      <w:kern w:val="0"/>
                      <w:sz w:val="18"/>
                      <w:szCs w:val="18"/>
                      <w:highlight w:val="none"/>
                      <w:lang w:val="en-US" w:eastAsia="zh-CN" w:bidi="ar"/>
                    </w:rPr>
                    <w:t>......</w:t>
                  </w:r>
                  <w:r>
                    <w:rPr>
                      <w:rFonts w:hint="default" w:ascii="Times New Roman" w:hAnsi="Times New Roman" w:eastAsia="宋体" w:cs="Times New Roman"/>
                      <w:i w:val="0"/>
                      <w:iCs w:val="0"/>
                      <w:caps w:val="0"/>
                      <w:color w:val="auto"/>
                      <w:spacing w:val="0"/>
                      <w:kern w:val="0"/>
                      <w:sz w:val="18"/>
                      <w:szCs w:val="18"/>
                      <w:highlight w:val="none"/>
                      <w:lang w:val="en-US" w:eastAsia="zh-CN" w:bidi="ar"/>
                    </w:rPr>
                    <w:t>满足《现代煤化工建设项目环境准入条件(试行)》的相关要求，严格控制二氧化硫、氮氧化物、细颗粒物、挥发性有机物及其他有毒有害大气污染物排放，固体废弃物和高含盐废水做到无害化处理及资源化利用。</w:t>
                  </w:r>
                </w:p>
                <w:p w14:paraId="7277BB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科学有序推进碳达峰碳中和。积极稳妥推进碳达峰碳中和“1+N+X”政策体系落实，推动国家出台《新时期推进内蒙古绿色低碳高质量发展若干支持意见》，在落实碳达峰碳中和目标任务过程中锻造新的产业竞争优势。推动能源、工业、建筑、交通等领域清洁低碳转型，建立健全碳排放统计核算制度，提升生态系统碳汇能力。</w:t>
                  </w:r>
                </w:p>
                <w:p w14:paraId="65D9F6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遵循清洁生产理念，采用能源转换率高、水资源消耗低、污染物排放强度小的工艺。通过园区集中供热供电、电直供等方式，优化项目热电供应方案。确需建设自备热电站的，锅炉烟气应采取高效的脱硫、脱硝和除尘措施，烟气中的烟尘、二氧化硫、氮氧化物排放应满足超低排放要求。煤化工项目产生的酸性气体和挥发性有机气体采取相应的治理措施。强化节水措施和用水管理，减少新鲜水用量；根据“清污分流、污污 分治、深度处理、分质回用”的原则，合理划分排水系统，优化污水处理和回用方案，做到污水不外排。大力推行清洁生产和循环经济。加快工业污染源从末端治理为主导向生产全过程控制的转变，实现节能、降耗、减污、增效，一步到位削减污染物排放量。鼓励发展高效节水工艺技术设备，淘汰高耗水工艺、技术设备，提高污水回用率。采用水污染治理技术以及清洁生产、技术改造等措施和增加城镇污水处理厂处理能力，实现废污水的资源化。</w:t>
                  </w:r>
                </w:p>
                <w:p w14:paraId="309A19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全面实行污染物排放总量控制和排污许可证制度，对所有工业园区和新、改扩建项目，在严格执行环境影响评价制度和环保“三同时”制度的同时，核定允许排放量，没有排放容量的功能区首要任务是对现有污染源的治理，严格控制新建项目的审批，认真实施环境容量“一票否决制”。各地新建、改扩建项目、“以新带老”项目中承诺的总量控制措施必须具体、完善。环保部门对达标排放且排放的水污染物总量在允许范围内的工业企业，核发排污许可证，对达标排放但总量超过控制指标的，当地政府责令限期治理。</w:t>
                  </w:r>
                </w:p>
                <w:p w14:paraId="5E6222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格执行污染物排放标准，采取切实有效措施从严控制特征污染物的逸散与排放，生产废水严禁直接外排，产生的生化污泥或盐泥经鉴定属于危险废物的要按照危险废物进行处理，属于一般工业固体废物的按照一般工业固体废物进行管理。</w:t>
                  </w:r>
                </w:p>
              </w:tc>
              <w:tc>
                <w:tcPr>
                  <w:tcW w:w="1595" w:type="pct"/>
                  <w:tcBorders>
                    <w:tl2br w:val="nil"/>
                    <w:tr2bl w:val="nil"/>
                  </w:tcBorders>
                  <w:noWrap w:val="0"/>
                  <w:vAlign w:val="center"/>
                </w:tcPr>
                <w:p w14:paraId="49DA523B">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本项目不涉及总量控制指标；本项目生活污水排入园区污水处理厂处理，循环水废水、火炬系统废水管道送</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color w:val="auto"/>
                      <w:kern w:val="0"/>
                      <w:sz w:val="18"/>
                      <w:szCs w:val="18"/>
                      <w:highlight w:val="none"/>
                      <w:lang w:val="en-US" w:eastAsia="zh-CN" w:bidi="ar"/>
                    </w:rPr>
                    <w:t>回用水处理站和生化水处理站处理</w:t>
                  </w:r>
                  <w:r>
                    <w:rPr>
                      <w:rFonts w:hint="eastAsia" w:ascii="Times New Roman" w:hAnsi="Times New Roman" w:eastAsia="宋体" w:cs="Times New Roman"/>
                      <w:color w:val="auto"/>
                      <w:sz w:val="18"/>
                      <w:szCs w:val="18"/>
                      <w:highlight w:val="none"/>
                      <w:lang w:val="en-US" w:eastAsia="zh-CN"/>
                    </w:rPr>
                    <w:t>，不会向地表水排放；</w:t>
                  </w:r>
                </w:p>
                <w:p w14:paraId="059799D7">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本项目不设置地表水排污口；</w:t>
                  </w:r>
                </w:p>
                <w:p w14:paraId="2325206F">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color w:val="auto"/>
                      <w:sz w:val="18"/>
                      <w:szCs w:val="18"/>
                      <w:highlight w:val="none"/>
                      <w:lang w:val="en-US" w:eastAsia="zh-CN"/>
                    </w:rPr>
                    <w:t>本项目为煤化工中试基地项目，符合</w:t>
                  </w:r>
                  <w:r>
                    <w:rPr>
                      <w:rFonts w:hint="default" w:ascii="Times New Roman" w:hAnsi="Times New Roman" w:eastAsia="宋体" w:cs="Times New Roman"/>
                      <w:i w:val="0"/>
                      <w:iCs w:val="0"/>
                      <w:caps w:val="0"/>
                      <w:color w:val="auto"/>
                      <w:spacing w:val="0"/>
                      <w:kern w:val="0"/>
                      <w:sz w:val="18"/>
                      <w:szCs w:val="18"/>
                      <w:highlight w:val="none"/>
                      <w:lang w:val="en-US" w:eastAsia="zh-CN" w:bidi="ar"/>
                    </w:rPr>
                    <w:t>《现代煤化工建设项目环境准入条件(试行)》的相关要求</w:t>
                  </w:r>
                  <w:r>
                    <w:rPr>
                      <w:rFonts w:hint="eastAsia" w:ascii="Times New Roman" w:hAnsi="Times New Roman" w:eastAsia="宋体" w:cs="Times New Roman"/>
                      <w:i w:val="0"/>
                      <w:iCs w:val="0"/>
                      <w:caps w:val="0"/>
                      <w:color w:val="auto"/>
                      <w:spacing w:val="0"/>
                      <w:kern w:val="0"/>
                      <w:sz w:val="18"/>
                      <w:szCs w:val="18"/>
                      <w:highlight w:val="none"/>
                      <w:lang w:val="en-US" w:eastAsia="zh-CN" w:bidi="ar"/>
                    </w:rPr>
                    <w:t>。</w:t>
                  </w:r>
                </w:p>
                <w:p w14:paraId="47AEE270">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本项目为现代煤化工中试基地项目，其中试研发成果可有效减少煤化工产业碳排放。</w:t>
                  </w:r>
                </w:p>
                <w:p w14:paraId="6E948F17">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本项目供热由园区</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i w:val="0"/>
                      <w:iCs w:val="0"/>
                      <w:caps w:val="0"/>
                      <w:color w:val="auto"/>
                      <w:spacing w:val="0"/>
                      <w:kern w:val="0"/>
                      <w:sz w:val="18"/>
                      <w:szCs w:val="18"/>
                      <w:highlight w:val="none"/>
                      <w:lang w:val="en-US" w:eastAsia="zh-CN" w:bidi="ar"/>
                    </w:rPr>
                    <w:t>中压蒸汽供给；中试基地建设火炬系统两套，用于处理后续中试项目事故状态驰放气排放。本项目生活污水化粪池收集后，定期清掏运至园区污水处理厂处理；</w:t>
                  </w:r>
                  <w:r>
                    <w:rPr>
                      <w:rFonts w:hint="eastAsia" w:ascii="Times New Roman" w:hAnsi="Times New Roman" w:eastAsia="宋体" w:cs="Times New Roman"/>
                      <w:color w:val="auto"/>
                      <w:sz w:val="18"/>
                      <w:szCs w:val="18"/>
                      <w:highlight w:val="none"/>
                      <w:lang w:val="en-US" w:eastAsia="zh-CN"/>
                    </w:rPr>
                    <w:t>循环水废水、火炬系统废水管道送</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color w:val="auto"/>
                      <w:kern w:val="0"/>
                      <w:sz w:val="18"/>
                      <w:szCs w:val="18"/>
                      <w:highlight w:val="none"/>
                      <w:lang w:val="en-US" w:eastAsia="zh-CN" w:bidi="ar"/>
                    </w:rPr>
                    <w:t>回用水处理站和生化水处理站处理</w:t>
                  </w:r>
                  <w:r>
                    <w:rPr>
                      <w:rFonts w:hint="eastAsia" w:ascii="Times New Roman" w:hAnsi="Times New Roman" w:eastAsia="宋体" w:cs="Times New Roman"/>
                      <w:i w:val="0"/>
                      <w:iCs w:val="0"/>
                      <w:caps w:val="0"/>
                      <w:color w:val="auto"/>
                      <w:spacing w:val="0"/>
                      <w:kern w:val="0"/>
                      <w:sz w:val="18"/>
                      <w:szCs w:val="18"/>
                      <w:highlight w:val="none"/>
                      <w:lang w:val="en-US" w:eastAsia="zh-CN" w:bidi="ar"/>
                    </w:rPr>
                    <w:t>。</w:t>
                  </w:r>
                </w:p>
                <w:p w14:paraId="3CFC6210">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eastAsia"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本项目不涉及总量控制指标，后续入驻的中试项目总量指标由具体项目申请；</w:t>
                  </w:r>
                </w:p>
                <w:p w14:paraId="28D64609">
                  <w:pPr>
                    <w:pStyle w:val="49"/>
                    <w:keepNext w:val="0"/>
                    <w:keepLines w:val="0"/>
                    <w:pageBreakBefore w:val="0"/>
                    <w:widowControl w:val="0"/>
                    <w:kinsoku/>
                    <w:wordWrap/>
                    <w:overflowPunct/>
                    <w:topLinePunct w:val="0"/>
                    <w:autoSpaceDE w:val="0"/>
                    <w:autoSpaceDN w:val="0"/>
                    <w:bidi w:val="0"/>
                    <w:adjustRightInd w:val="0"/>
                    <w:snapToGrid/>
                    <w:spacing w:line="240" w:lineRule="auto"/>
                    <w:ind w:firstLine="360" w:firstLineChars="200"/>
                    <w:jc w:val="both"/>
                    <w:textAlignment w:val="auto"/>
                    <w:rPr>
                      <w:rFonts w:hint="default" w:ascii="Times New Roman" w:hAnsi="Times New Roman" w:eastAsia="宋体" w:cs="Times New Roman"/>
                      <w:i w:val="0"/>
                      <w:iCs w:val="0"/>
                      <w:caps w:val="0"/>
                      <w:color w:val="auto"/>
                      <w:spacing w:val="0"/>
                      <w:kern w:val="0"/>
                      <w:sz w:val="18"/>
                      <w:szCs w:val="18"/>
                      <w:highlight w:val="none"/>
                      <w:lang w:val="en-US" w:eastAsia="zh-CN" w:bidi="ar"/>
                    </w:rPr>
                  </w:pPr>
                  <w:r>
                    <w:rPr>
                      <w:rFonts w:hint="eastAsia" w:ascii="Times New Roman" w:hAnsi="Times New Roman" w:eastAsia="宋体" w:cs="Times New Roman"/>
                      <w:i w:val="0"/>
                      <w:iCs w:val="0"/>
                      <w:caps w:val="0"/>
                      <w:color w:val="auto"/>
                      <w:spacing w:val="0"/>
                      <w:kern w:val="0"/>
                      <w:sz w:val="18"/>
                      <w:szCs w:val="18"/>
                      <w:highlight w:val="none"/>
                      <w:lang w:val="en-US" w:eastAsia="zh-CN" w:bidi="ar"/>
                    </w:rPr>
                    <w:t>本项目生产废水依托</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i w:val="0"/>
                      <w:iCs w:val="0"/>
                      <w:caps w:val="0"/>
                      <w:color w:val="auto"/>
                      <w:spacing w:val="0"/>
                      <w:kern w:val="0"/>
                      <w:sz w:val="18"/>
                      <w:szCs w:val="18"/>
                      <w:highlight w:val="none"/>
                      <w:lang w:val="en-US" w:eastAsia="zh-CN" w:bidi="ar"/>
                    </w:rPr>
                    <w:t>处理，不直排。建设危废库1座，用于贮存后续中试项目产生的危废。</w:t>
                  </w:r>
                </w:p>
              </w:tc>
              <w:tc>
                <w:tcPr>
                  <w:tcW w:w="335" w:type="pct"/>
                  <w:tcBorders>
                    <w:tl2br w:val="nil"/>
                    <w:tr2bl w:val="nil"/>
                  </w:tcBorders>
                  <w:noWrap w:val="0"/>
                  <w:vAlign w:val="center"/>
                </w:tcPr>
                <w:p w14:paraId="3231DFD9">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符合</w:t>
                  </w:r>
                </w:p>
              </w:tc>
            </w:tr>
            <w:tr w14:paraId="4FFCE0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25" w:type="pct"/>
                  <w:tcBorders>
                    <w:tl2br w:val="nil"/>
                    <w:tr2bl w:val="nil"/>
                  </w:tcBorders>
                  <w:noWrap w:val="0"/>
                  <w:vAlign w:val="center"/>
                </w:tcPr>
                <w:p w14:paraId="46880067">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b/>
                      <w:bCs/>
                      <w:i w:val="0"/>
                      <w:iCs w:val="0"/>
                      <w:caps w:val="0"/>
                      <w:color w:val="auto"/>
                      <w:spacing w:val="0"/>
                      <w:sz w:val="18"/>
                      <w:szCs w:val="18"/>
                      <w:highlight w:val="none"/>
                    </w:rPr>
                    <w:t>环境风险防控</w:t>
                  </w:r>
                </w:p>
              </w:tc>
              <w:tc>
                <w:tcPr>
                  <w:tcW w:w="2543" w:type="pct"/>
                  <w:tcBorders>
                    <w:tl2br w:val="nil"/>
                    <w:tr2bl w:val="nil"/>
                  </w:tcBorders>
                  <w:noWrap w:val="0"/>
                  <w:vAlign w:val="center"/>
                </w:tcPr>
                <w:p w14:paraId="67EB469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建立重污染天气预警体系，重点实施区域联防联控。完善重度及以上污染天气的区域联合预警机制，预测到区域将出现大范围重污染天气时，各相关城市按级别启动应急响应措施，实施区域应急联动。</w:t>
                  </w:r>
                </w:p>
                <w:p w14:paraId="4FDADEB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加强重大环境风险源的风险管控，构建区域环境风险联防联控机制，建立突发环境事故状态下的应急监测与人员疏散联动机制。健全环境信息强制性披露制度。全面落实园区、企业环境风险应急预案各项要求，增强突发环境事件处置能力。开展涉危涉化企业、有风险隐患的渣场等风险排查和整改工作，及时消除隐患。健全市、旗区二级联动的生态环境事件应急网络。</w:t>
                  </w:r>
                </w:p>
                <w:p w14:paraId="2BD778C0">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深入推进跨区域、跨部门的突发环境事件应急协调机制，健全综合应急救援体系，建立社会化救援机制。完善突发环境事件信息报告和公开机制。建立并及时更新环境风险源动态档案和数据库。实时掌握重点污染点源、重点区域环境质量状况，对超容量问题及时预警。</w:t>
                  </w:r>
                </w:p>
                <w:p w14:paraId="6EBDFE8D">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煤化工产业示范区严格贯彻执行“大气十条”、“水十条”、“土十条”、《现代煤化工建设项目环境准入条件》等相关法律法规和国家政策的规定。新(改、扩)建危险化学品项目应符合规划环评结论新(改、扩)建精细化学品项目必须完成热反应安全风险评估，严格禁止反应工艺危险度5级和光气及光气化工艺项目建设，限制工艺危险度4级项目。化工园区必须开展安全风险评估，科学确定区域风险等级和风险容量，不达标不予认定化工园区。未通过认定的化工园区，不得新(改、扩)建化工项目(安全、环保、节能、节水和智能化等技术改造项目除外)。劳动密集型的非化工企业不得与危险化学品企业混建在同一园区内。</w:t>
                  </w:r>
                </w:p>
              </w:tc>
              <w:tc>
                <w:tcPr>
                  <w:tcW w:w="1595" w:type="pct"/>
                  <w:tcBorders>
                    <w:tl2br w:val="nil"/>
                    <w:tr2bl w:val="nil"/>
                  </w:tcBorders>
                  <w:noWrap w:val="0"/>
                  <w:vAlign w:val="center"/>
                </w:tcPr>
                <w:p w14:paraId="73EECF39">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中试基地投用后，逐步完善应急体系，并与园区应急体系联动；</w:t>
                  </w:r>
                </w:p>
                <w:p w14:paraId="08ADFC90">
                  <w:pPr>
                    <w:pStyle w:val="49"/>
                    <w:keepNext w:val="0"/>
                    <w:keepLines w:val="0"/>
                    <w:pageBreakBefore w:val="0"/>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本项目为煤化工中试基地项目，符合园区产业定位和产业布局。本次工程为中试基地基础设施工程，后续实际中试项目</w:t>
                  </w:r>
                  <w:r>
                    <w:rPr>
                      <w:rFonts w:hint="default" w:ascii="Times New Roman" w:hAnsi="Times New Roman" w:eastAsia="宋体" w:cs="Times New Roman"/>
                      <w:i w:val="0"/>
                      <w:iCs w:val="0"/>
                      <w:caps w:val="0"/>
                      <w:color w:val="auto"/>
                      <w:spacing w:val="0"/>
                      <w:kern w:val="0"/>
                      <w:sz w:val="18"/>
                      <w:szCs w:val="18"/>
                      <w:highlight w:val="none"/>
                      <w:lang w:val="en-US" w:eastAsia="zh-CN" w:bidi="ar"/>
                    </w:rPr>
                    <w:t>严格贯彻执行“大气十条”、“水十条”、“土十条”、《现代煤化工建设项目环境准入条件》等相关法律法规和国家政策的规定。</w:t>
                  </w:r>
                </w:p>
              </w:tc>
              <w:tc>
                <w:tcPr>
                  <w:tcW w:w="335" w:type="pct"/>
                  <w:tcBorders>
                    <w:tl2br w:val="nil"/>
                    <w:tr2bl w:val="nil"/>
                  </w:tcBorders>
                  <w:noWrap w:val="0"/>
                  <w:vAlign w:val="center"/>
                </w:tcPr>
                <w:p w14:paraId="08482C9A">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符合</w:t>
                  </w:r>
                </w:p>
              </w:tc>
            </w:tr>
            <w:tr w14:paraId="2D6C39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25" w:type="pct"/>
                  <w:tcBorders>
                    <w:tl2br w:val="nil"/>
                    <w:tr2bl w:val="nil"/>
                  </w:tcBorders>
                  <w:noWrap w:val="0"/>
                  <w:vAlign w:val="center"/>
                </w:tcPr>
                <w:p w14:paraId="0502466B">
                  <w:pPr>
                    <w:keepNext w:val="0"/>
                    <w:keepLines w:val="0"/>
                    <w:pageBreakBefore w:val="0"/>
                    <w:widowControl/>
                    <w:kinsoku/>
                    <w:wordWrap/>
                    <w:overflowPunct/>
                    <w:topLinePunct w:val="0"/>
                    <w:bidi w:val="0"/>
                    <w:snapToGrid/>
                    <w:spacing w:line="240" w:lineRule="auto"/>
                    <w:ind w:left="0" w:leftChars="0" w:right="0" w:rightChars="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default" w:ascii="Times New Roman" w:hAnsi="Times New Roman" w:eastAsia="宋体" w:cs="Times New Roman"/>
                      <w:b/>
                      <w:bCs/>
                      <w:i w:val="0"/>
                      <w:iCs w:val="0"/>
                      <w:caps w:val="0"/>
                      <w:color w:val="auto"/>
                      <w:spacing w:val="0"/>
                      <w:sz w:val="18"/>
                      <w:szCs w:val="18"/>
                      <w:highlight w:val="none"/>
                    </w:rPr>
                    <w:t>资源开发效率</w:t>
                  </w:r>
                </w:p>
              </w:tc>
              <w:tc>
                <w:tcPr>
                  <w:tcW w:w="2543" w:type="pct"/>
                  <w:tcBorders>
                    <w:tl2br w:val="nil"/>
                    <w:tr2bl w:val="nil"/>
                  </w:tcBorders>
                  <w:noWrap w:val="0"/>
                  <w:vAlign w:val="center"/>
                </w:tcPr>
                <w:p w14:paraId="3498D0F5">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格执行取用水总量控制制度，推进矿井水综合利用。对取用水总量已达到或超过控制指标的地区，暂停审批其建设项目新增取水许可。建立重点监控用水单位名录。煤炭矿区的补充用水、周边地区生产和生态用水应优先使用矿井水，加强洗煤废水循环利用。电力、造纸、石油化工、食品发酵等高耗水行业达到先进定额标准。强化水资源论证管理，优化水源配置，鼓励优先配置利用中水、疏干水等非常规水源。提高用水效率，提升工业中水回用率，新、改扩建项目优先利用污水处理厂再生水。推广以浅埋滴灌为主、喷灌为辅的农业节水设备和技术。依法规范机井建设管理，排查登记已建机井，未经批准的和公共供水管网覆盖范围内的自备水井，一律予以关闭。</w:t>
                  </w:r>
                </w:p>
                <w:p w14:paraId="0DD0458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格地下水管理保护，建立健全地下水管控指标体系，严控地下水开采，综合采取节水、水源置换等措施，继续加强鄂尔多斯台地超采区综合治理，强化地下水动态监测分析、预测预警，科学制定实施监管政策措施。严控地下水超采，严格执行《地下水超采区和重要地下水水源地水位与水量双控方案》及其修编稿。实行地下水“五控”制度，“五控”即严格管控地下水开发利用总量、水位、用途、水质及机电井数量。严格地下水的管理和保护，加强地下水动态监测，实行地下水取用水总量控制和水位控制。严格控制开采深层承压水，地热水、矿泉水开发应严格实行取水许可和采矿许可。突出抓好地下水超采区巩固治理，超采区内禁止工农业生产及服务业新增取用地下水。违规取用水整治工作及取用水专项整治行动。落实水资源消耗总量和强度双控，暂停水资源超载地区新增取水许可。坚持黄河水、当地地表水、地下水、非常规水源统一调配，在考虑鄂尔多斯市地下水源置换的条件下，用好用足黄河水，同时充分挖掘非常规水利用潜力。对黄河干支流规模以上取水口全面实施动态监管。</w:t>
                  </w:r>
                </w:p>
                <w:p w14:paraId="3FBDF7F1">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严控制存量高耗能企业新增用能，严格落实能耗“双控”机制，努力降低生产过程中的资源能源消耗和污染产生量，大力推广应用节能新技术、新产品、新设备和新工艺。严控产能过剩项目新增产能，严控高耗能、高排放、高污染、低水平项目市场准入，严控存在重大安全隐患的项目。按照国家发展和改革委员会《产业结构调整指导目录》及化工行业相关政策规定，严格焦炭、电石等化工行业技术标准，严控合成氨、甲醇、乙二醇、烧碱、磷按、黄磷等危险化学品新增产能。新 (改、扩)建“两高”危险化学品生产项目，单位产品能耗须达到国家能耗限额标准先进值或国家能效标杆水平。</w:t>
                  </w:r>
                </w:p>
                <w:p w14:paraId="63CAE2A7">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2"/>
                    <w:jc w:val="both"/>
                    <w:textAlignment w:val="auto"/>
                    <w:rPr>
                      <w:rFonts w:hint="default" w:ascii="Times New Roman" w:hAnsi="Times New Roman" w:eastAsia="宋体" w:cs="Times New Roman"/>
                      <w:i w:val="0"/>
                      <w:iCs w:val="0"/>
                      <w:caps w:val="0"/>
                      <w:color w:val="auto"/>
                      <w:spacing w:val="0"/>
                      <w:sz w:val="18"/>
                      <w:szCs w:val="18"/>
                      <w:highlight w:val="none"/>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在工业用水方面，工业企业再生水输水模式采用“点对点”模式，主要用于冷却用水，在工业园区的企业由园区自行统一建设再生水支管，园区按需建设再生水深度处理设施，以达到工业用水水质标准。试点期间，将加大再生水提标改造和配套管网基础设施建设，强化激励、政策措施，激励工业使用再生水积极性，使工业再生水利用量达到 1034.5万m³，占批复再水量比例提高到 65%。对工业园区、各类开发区、新区等，开展规划水资源论证，优先配置再生水作为园区生产用水的重要来源，严格控制新水取用量。煤化工产业能耗指标、水资源消耗指标应满足《现代煤化工产业创新发展布局方案》要求，污染物排放总量满足所在园区总量控制要求。</w:t>
                  </w:r>
                </w:p>
                <w:p w14:paraId="5417BBEB">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240" w:lineRule="auto"/>
                    <w:ind w:left="0" w:right="0" w:firstLine="420"/>
                    <w:jc w:val="both"/>
                    <w:textAlignment w:val="auto"/>
                    <w:rPr>
                      <w:rFonts w:hint="default" w:ascii="Times New Roman" w:hAnsi="Times New Roman" w:eastAsia="宋体" w:cs="Times New Roman"/>
                      <w:color w:val="auto"/>
                      <w:kern w:val="0"/>
                      <w:sz w:val="18"/>
                      <w:szCs w:val="18"/>
                      <w:highlight w:val="none"/>
                      <w:lang w:val="en-US" w:eastAsia="zh-CN"/>
                    </w:rPr>
                  </w:pPr>
                  <w:r>
                    <w:rPr>
                      <w:rFonts w:hint="default" w:ascii="Times New Roman" w:hAnsi="Times New Roman" w:eastAsia="宋体" w:cs="Times New Roman"/>
                      <w:i w:val="0"/>
                      <w:iCs w:val="0"/>
                      <w:caps w:val="0"/>
                      <w:color w:val="auto"/>
                      <w:spacing w:val="0"/>
                      <w:kern w:val="0"/>
                      <w:sz w:val="18"/>
                      <w:szCs w:val="18"/>
                      <w:highlight w:val="none"/>
                      <w:lang w:val="en-US" w:eastAsia="zh-CN" w:bidi="ar"/>
                    </w:rPr>
                    <w:t>新建高耗能项目、在满足本地区能耗双控的前提下，工艺技术装备须达到国内先进水平、能源利用效率须达到国家先进标准。新建、改扩建“两高”项目在满足本地区能耗“双控”、碳排放强度控制要求的前提下，应采用先进适用的工艺技术和装备，单位产品物耗、能耗、水耗等达到国家单位产品能耗限额标准的先进值或国际同行业先进水平。加强化工、有色、建材、焦化、煤化工等高耗能行业达到国家能耗限额标准先进值。严控高耗水行业大规模发展，建立严格的用水制度，提高现代煤化工行业用水效率，推广采用高度先进节水技术，新建项目用水指标需要达到先进值。</w:t>
                  </w:r>
                </w:p>
              </w:tc>
              <w:tc>
                <w:tcPr>
                  <w:tcW w:w="1595" w:type="pct"/>
                  <w:tcBorders>
                    <w:tl2br w:val="nil"/>
                    <w:tr2bl w:val="nil"/>
                  </w:tcBorders>
                  <w:noWrap w:val="0"/>
                  <w:vAlign w:val="center"/>
                </w:tcPr>
                <w:p w14:paraId="42277F68">
                  <w:pPr>
                    <w:pStyle w:val="49"/>
                    <w:keepNext w:val="0"/>
                    <w:keepLines w:val="0"/>
                    <w:pageBreakBefore w:val="0"/>
                    <w:kinsoku/>
                    <w:wordWrap/>
                    <w:overflowPunct/>
                    <w:topLinePunct w:val="0"/>
                    <w:bidi w:val="0"/>
                    <w:snapToGrid/>
                    <w:spacing w:line="240" w:lineRule="auto"/>
                    <w:jc w:val="both"/>
                    <w:textAlignment w:val="auto"/>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本项目用水由园区中水管网供给；不涉及地下水开采取用；</w:t>
                  </w:r>
                </w:p>
                <w:p w14:paraId="2740B2F9">
                  <w:pPr>
                    <w:pStyle w:val="49"/>
                    <w:keepNext w:val="0"/>
                    <w:keepLines w:val="0"/>
                    <w:pageBreakBefore w:val="0"/>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本项目不属于高耗能、</w:t>
                  </w:r>
                  <w:r>
                    <w:rPr>
                      <w:rFonts w:hint="default" w:ascii="Times New Roman" w:hAnsi="Times New Roman" w:eastAsia="宋体" w:cs="Times New Roman"/>
                      <w:i w:val="0"/>
                      <w:iCs w:val="0"/>
                      <w:caps w:val="0"/>
                      <w:color w:val="auto"/>
                      <w:spacing w:val="0"/>
                      <w:kern w:val="0"/>
                      <w:sz w:val="18"/>
                      <w:szCs w:val="18"/>
                      <w:highlight w:val="none"/>
                      <w:lang w:val="en-US" w:eastAsia="zh-CN" w:bidi="ar"/>
                    </w:rPr>
                    <w:t>高排放、高污染、低水平项目</w:t>
                  </w:r>
                  <w:r>
                    <w:rPr>
                      <w:rFonts w:hint="eastAsia" w:ascii="Times New Roman" w:hAnsi="Times New Roman" w:eastAsia="宋体" w:cs="Times New Roman"/>
                      <w:i w:val="0"/>
                      <w:iCs w:val="0"/>
                      <w:caps w:val="0"/>
                      <w:color w:val="auto"/>
                      <w:spacing w:val="0"/>
                      <w:kern w:val="0"/>
                      <w:sz w:val="18"/>
                      <w:szCs w:val="18"/>
                      <w:highlight w:val="none"/>
                      <w:lang w:val="en-US" w:eastAsia="zh-CN" w:bidi="ar"/>
                    </w:rPr>
                    <w:t>。</w:t>
                  </w:r>
                </w:p>
              </w:tc>
              <w:tc>
                <w:tcPr>
                  <w:tcW w:w="335" w:type="pct"/>
                  <w:tcBorders>
                    <w:tl2br w:val="nil"/>
                    <w:tr2bl w:val="nil"/>
                  </w:tcBorders>
                  <w:noWrap w:val="0"/>
                  <w:vAlign w:val="center"/>
                </w:tcPr>
                <w:p w14:paraId="5067A6C5">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符合</w:t>
                  </w:r>
                </w:p>
              </w:tc>
            </w:tr>
          </w:tbl>
          <w:p w14:paraId="5993CC64">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shd w:val="clear" w:color="auto" w:fill="FFFFFF"/>
                <w:lang w:val="en-US" w:eastAsia="zh-CN"/>
              </w:rPr>
            </w:pPr>
          </w:p>
          <w:p w14:paraId="7ED848DB">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shd w:val="clear" w:color="auto" w:fill="FFFFFF"/>
              </w:rPr>
            </w:pPr>
          </w:p>
          <w:p w14:paraId="341F3E00">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shd w:val="clear" w:color="auto" w:fill="FFFFFF"/>
              </w:rPr>
            </w:pPr>
          </w:p>
          <w:p w14:paraId="741E1172">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shd w:val="clear" w:color="auto" w:fill="FFFFFF"/>
              </w:rPr>
            </w:pPr>
          </w:p>
          <w:p w14:paraId="53DF31EC">
            <w:pPr>
              <w:autoSpaceDE w:val="0"/>
              <w:autoSpaceDN w:val="0"/>
              <w:adjustRightInd w:val="0"/>
              <w:snapToGrid w:val="0"/>
              <w:rPr>
                <w:rFonts w:hint="default" w:ascii="Times New Roman" w:hAnsi="Times New Roman" w:eastAsia="宋体" w:cs="Times New Roman"/>
                <w:color w:val="auto"/>
                <w:sz w:val="21"/>
                <w:szCs w:val="21"/>
                <w:highlight w:val="none"/>
                <w:shd w:val="clear" w:color="auto" w:fill="FFFFFF"/>
              </w:rPr>
            </w:pPr>
          </w:p>
        </w:tc>
      </w:tr>
    </w:tbl>
    <w:p w14:paraId="42175B4A">
      <w:pPr>
        <w:spacing w:line="360" w:lineRule="auto"/>
        <w:outlineLvl w:val="0"/>
        <w:rPr>
          <w:rFonts w:eastAsia="黑体"/>
          <w:color w:val="auto"/>
          <w:sz w:val="30"/>
          <w:highlight w:val="none"/>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425EF90D">
      <w:pPr>
        <w:pStyle w:val="20"/>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二、建设内容</w:t>
      </w:r>
    </w:p>
    <w:tbl>
      <w:tblPr>
        <w:tblStyle w:val="24"/>
        <w:tblW w:w="90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8380"/>
      </w:tblGrid>
      <w:tr w14:paraId="1707ED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710" w:type="dxa"/>
            <w:noWrap w:val="0"/>
            <w:vAlign w:val="center"/>
          </w:tcPr>
          <w:p w14:paraId="157C547A">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地理位置</w:t>
            </w:r>
          </w:p>
        </w:tc>
        <w:tc>
          <w:tcPr>
            <w:tcW w:w="8380" w:type="dxa"/>
            <w:noWrap w:val="0"/>
            <w:vAlign w:val="center"/>
          </w:tcPr>
          <w:p w14:paraId="37E0FB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color w:val="auto"/>
                <w:szCs w:val="21"/>
                <w:highlight w:val="none"/>
                <w:u w:val="none"/>
                <w:lang w:eastAsia="zh-CN"/>
              </w:rPr>
            </w:pPr>
            <w:r>
              <w:rPr>
                <w:rFonts w:hint="eastAsia"/>
                <w:color w:val="auto"/>
                <w:kern w:val="21"/>
                <w:szCs w:val="21"/>
                <w:highlight w:val="none"/>
                <w:u w:val="none"/>
                <w:lang w:val="en-US" w:eastAsia="zh-CN"/>
              </w:rPr>
              <w:t>本项目厂区位于内蒙古自治区鄂尔多斯市乌审旗苏里格经济开发区图克工业项目区，中试基地厂址中心坐标为（</w:t>
            </w:r>
            <w:r>
              <w:rPr>
                <w:rFonts w:hint="eastAsia" w:ascii="Times New Roman" w:hAnsi="Times New Roman" w:cs="Times New Roman"/>
                <w:color w:val="auto"/>
                <w:szCs w:val="21"/>
                <w:highlight w:val="none"/>
                <w:u w:val="none"/>
                <w:lang w:val="en-US" w:eastAsia="zh-CN"/>
              </w:rPr>
              <w:t>东经</w:t>
            </w:r>
            <w:r>
              <w:rPr>
                <w:rFonts w:hint="default" w:ascii="Times New Roman" w:hAnsi="Times New Roman" w:cs="Times New Roman"/>
                <w:color w:val="auto"/>
                <w:szCs w:val="21"/>
                <w:highlight w:val="none"/>
                <w:u w:val="none"/>
              </w:rPr>
              <w:t>1</w:t>
            </w:r>
            <w:r>
              <w:rPr>
                <w:rFonts w:hint="default" w:ascii="Times New Roman" w:hAnsi="Times New Roman" w:cs="Times New Roman"/>
                <w:color w:val="auto"/>
                <w:szCs w:val="21"/>
                <w:highlight w:val="none"/>
                <w:u w:val="none"/>
                <w:lang w:val="en-US" w:eastAsia="zh-CN"/>
              </w:rPr>
              <w:t>09</w:t>
            </w:r>
            <w:r>
              <w:rPr>
                <w:rFonts w:hint="default" w:ascii="Times New Roman" w:hAnsi="Times New Roman" w:cs="Times New Roman"/>
                <w:color w:val="auto"/>
                <w:szCs w:val="21"/>
                <w:highlight w:val="none"/>
                <w:u w:val="none"/>
              </w:rPr>
              <w:t>度</w:t>
            </w:r>
            <w:r>
              <w:rPr>
                <w:rFonts w:hint="default" w:ascii="Times New Roman" w:hAnsi="Times New Roman" w:cs="Times New Roman"/>
                <w:color w:val="auto"/>
                <w:szCs w:val="21"/>
                <w:highlight w:val="none"/>
                <w:u w:val="none"/>
                <w:lang w:val="en-US" w:eastAsia="zh-CN"/>
              </w:rPr>
              <w:t>2</w:t>
            </w:r>
            <w:r>
              <w:rPr>
                <w:rFonts w:hint="eastAsia"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57.654</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北纬</w:t>
            </w:r>
            <w:r>
              <w:rPr>
                <w:rFonts w:hint="default" w:ascii="Times New Roman" w:hAnsi="Times New Roman" w:cs="Times New Roman"/>
                <w:color w:val="auto"/>
                <w:szCs w:val="21"/>
                <w:highlight w:val="none"/>
                <w:u w:val="none"/>
              </w:rPr>
              <w:t>3</w:t>
            </w:r>
            <w:r>
              <w:rPr>
                <w:rFonts w:hint="default"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度</w:t>
            </w:r>
            <w:r>
              <w:rPr>
                <w:rFonts w:hint="eastAsia" w:ascii="Times New Roman" w:hAnsi="Times New Roman" w:cs="Times New Roman"/>
                <w:color w:val="auto"/>
                <w:szCs w:val="21"/>
                <w:highlight w:val="none"/>
                <w:u w:val="none"/>
                <w:lang w:val="en-US" w:eastAsia="zh-CN"/>
              </w:rPr>
              <w:t>5</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9.793</w:t>
            </w:r>
            <w:r>
              <w:rPr>
                <w:rFonts w:hint="default" w:ascii="Times New Roman" w:hAnsi="Times New Roman" w:cs="Times New Roman"/>
                <w:color w:val="auto"/>
                <w:szCs w:val="21"/>
                <w:highlight w:val="none"/>
                <w:u w:val="none"/>
              </w:rPr>
              <w:t>秒</w:t>
            </w:r>
            <w:r>
              <w:rPr>
                <w:rFonts w:hint="eastAsia"/>
                <w:color w:val="auto"/>
                <w:kern w:val="21"/>
                <w:szCs w:val="21"/>
                <w:highlight w:val="none"/>
                <w:u w:val="none"/>
                <w:lang w:val="en-US" w:eastAsia="zh-CN"/>
              </w:rPr>
              <w:t>）</w:t>
            </w:r>
            <w:r>
              <w:rPr>
                <w:rFonts w:hint="eastAsia" w:ascii="Times New Roman" w:hAnsi="Times New Roman" w:cs="Times New Roman"/>
                <w:color w:val="auto"/>
                <w:szCs w:val="21"/>
                <w:highlight w:val="none"/>
                <w:u w:val="none"/>
                <w:lang w:eastAsia="zh-CN"/>
              </w:rPr>
              <w:t>。</w:t>
            </w:r>
          </w:p>
          <w:p w14:paraId="04DE6C2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color w:val="auto"/>
                <w:kern w:val="0"/>
                <w:szCs w:val="21"/>
                <w:highlight w:val="none"/>
                <w:lang w:val="en-US" w:eastAsia="zh-CN"/>
              </w:rPr>
            </w:pPr>
            <w:r>
              <w:rPr>
                <w:rFonts w:hint="eastAsia" w:ascii="Times New Roman" w:hAnsi="Times New Roman" w:cs="Times New Roman"/>
                <w:color w:val="auto"/>
                <w:szCs w:val="21"/>
                <w:highlight w:val="none"/>
                <w:u w:val="none"/>
                <w:lang w:val="en-US" w:eastAsia="zh-CN"/>
              </w:rPr>
              <w:t>配套外部管廊工程起点为中煤鄂尔多斯能源化工有限公司，坐标为（东经</w:t>
            </w:r>
            <w:r>
              <w:rPr>
                <w:rFonts w:hint="default" w:ascii="Times New Roman" w:hAnsi="Times New Roman" w:cs="Times New Roman"/>
                <w:color w:val="auto"/>
                <w:szCs w:val="21"/>
                <w:highlight w:val="none"/>
                <w:u w:val="none"/>
              </w:rPr>
              <w:t>1</w:t>
            </w:r>
            <w:r>
              <w:rPr>
                <w:rFonts w:hint="default" w:ascii="Times New Roman" w:hAnsi="Times New Roman" w:cs="Times New Roman"/>
                <w:color w:val="auto"/>
                <w:szCs w:val="21"/>
                <w:highlight w:val="none"/>
                <w:u w:val="none"/>
                <w:lang w:val="en-US" w:eastAsia="zh-CN"/>
              </w:rPr>
              <w:t>09</w:t>
            </w:r>
            <w:r>
              <w:rPr>
                <w:rFonts w:hint="default" w:ascii="Times New Roman" w:hAnsi="Times New Roman" w:cs="Times New Roman"/>
                <w:color w:val="auto"/>
                <w:szCs w:val="21"/>
                <w:highlight w:val="none"/>
                <w:u w:val="none"/>
              </w:rPr>
              <w:t>度</w:t>
            </w:r>
            <w:r>
              <w:rPr>
                <w:rFonts w:hint="default" w:ascii="Times New Roman" w:hAnsi="Times New Roman" w:cs="Times New Roman"/>
                <w:color w:val="auto"/>
                <w:szCs w:val="21"/>
                <w:highlight w:val="none"/>
                <w:u w:val="none"/>
                <w:lang w:val="en-US" w:eastAsia="zh-CN"/>
              </w:rPr>
              <w:t>2</w:t>
            </w:r>
            <w:r>
              <w:rPr>
                <w:rFonts w:hint="eastAsia"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38.683</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北纬</w:t>
            </w:r>
            <w:r>
              <w:rPr>
                <w:rFonts w:hint="default" w:ascii="Times New Roman" w:hAnsi="Times New Roman" w:cs="Times New Roman"/>
                <w:color w:val="auto"/>
                <w:szCs w:val="21"/>
                <w:highlight w:val="none"/>
                <w:u w:val="none"/>
              </w:rPr>
              <w:t>3</w:t>
            </w:r>
            <w:r>
              <w:rPr>
                <w:rFonts w:hint="default"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度</w:t>
            </w:r>
            <w:r>
              <w:rPr>
                <w:rFonts w:hint="eastAsia" w:ascii="Times New Roman" w:hAnsi="Times New Roman" w:cs="Times New Roman"/>
                <w:color w:val="auto"/>
                <w:szCs w:val="21"/>
                <w:highlight w:val="none"/>
                <w:u w:val="none"/>
                <w:lang w:val="en-US" w:eastAsia="zh-CN"/>
              </w:rPr>
              <w:t>5</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9.632</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），终点为本项目厂界西侧管廊对接点，坐标为（东经</w:t>
            </w:r>
            <w:r>
              <w:rPr>
                <w:rFonts w:hint="default" w:ascii="Times New Roman" w:hAnsi="Times New Roman" w:cs="Times New Roman"/>
                <w:color w:val="auto"/>
                <w:szCs w:val="21"/>
                <w:highlight w:val="none"/>
                <w:u w:val="none"/>
              </w:rPr>
              <w:t>1</w:t>
            </w:r>
            <w:r>
              <w:rPr>
                <w:rFonts w:hint="default" w:ascii="Times New Roman" w:hAnsi="Times New Roman" w:cs="Times New Roman"/>
                <w:color w:val="auto"/>
                <w:szCs w:val="21"/>
                <w:highlight w:val="none"/>
                <w:u w:val="none"/>
                <w:lang w:val="en-US" w:eastAsia="zh-CN"/>
              </w:rPr>
              <w:t>09</w:t>
            </w:r>
            <w:r>
              <w:rPr>
                <w:rFonts w:hint="default" w:ascii="Times New Roman" w:hAnsi="Times New Roman" w:cs="Times New Roman"/>
                <w:color w:val="auto"/>
                <w:szCs w:val="21"/>
                <w:highlight w:val="none"/>
                <w:u w:val="none"/>
              </w:rPr>
              <w:t>度</w:t>
            </w:r>
            <w:r>
              <w:rPr>
                <w:rFonts w:hint="default" w:ascii="Times New Roman" w:hAnsi="Times New Roman" w:cs="Times New Roman"/>
                <w:color w:val="auto"/>
                <w:szCs w:val="21"/>
                <w:highlight w:val="none"/>
                <w:u w:val="none"/>
                <w:lang w:val="en-US" w:eastAsia="zh-CN"/>
              </w:rPr>
              <w:t>2</w:t>
            </w:r>
            <w:r>
              <w:rPr>
                <w:rFonts w:hint="eastAsia"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47.943</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北纬</w:t>
            </w:r>
            <w:r>
              <w:rPr>
                <w:rFonts w:hint="default" w:ascii="Times New Roman" w:hAnsi="Times New Roman" w:cs="Times New Roman"/>
                <w:color w:val="auto"/>
                <w:szCs w:val="21"/>
                <w:highlight w:val="none"/>
                <w:u w:val="none"/>
              </w:rPr>
              <w:t>3</w:t>
            </w:r>
            <w:r>
              <w:rPr>
                <w:rFonts w:hint="default" w:ascii="Times New Roman" w:hAnsi="Times New Roman" w:cs="Times New Roman"/>
                <w:color w:val="auto"/>
                <w:szCs w:val="21"/>
                <w:highlight w:val="none"/>
                <w:u w:val="none"/>
                <w:lang w:val="en-US" w:eastAsia="zh-CN"/>
              </w:rPr>
              <w:t>9</w:t>
            </w:r>
            <w:r>
              <w:rPr>
                <w:rFonts w:hint="default" w:ascii="Times New Roman" w:hAnsi="Times New Roman" w:cs="Times New Roman"/>
                <w:color w:val="auto"/>
                <w:szCs w:val="21"/>
                <w:highlight w:val="none"/>
                <w:u w:val="none"/>
              </w:rPr>
              <w:t>度</w:t>
            </w:r>
            <w:r>
              <w:rPr>
                <w:rFonts w:hint="eastAsia" w:ascii="Times New Roman" w:hAnsi="Times New Roman" w:cs="Times New Roman"/>
                <w:color w:val="auto"/>
                <w:szCs w:val="21"/>
                <w:highlight w:val="none"/>
                <w:u w:val="none"/>
                <w:lang w:val="en-US" w:eastAsia="zh-CN"/>
              </w:rPr>
              <w:t>5</w:t>
            </w:r>
            <w:r>
              <w:rPr>
                <w:rFonts w:hint="default" w:ascii="Times New Roman" w:hAnsi="Times New Roman" w:cs="Times New Roman"/>
                <w:color w:val="auto"/>
                <w:szCs w:val="21"/>
                <w:highlight w:val="none"/>
                <w:u w:val="none"/>
              </w:rPr>
              <w:t>分</w:t>
            </w:r>
            <w:r>
              <w:rPr>
                <w:rFonts w:hint="eastAsia" w:ascii="Times New Roman" w:hAnsi="Times New Roman" w:cs="Times New Roman"/>
                <w:color w:val="auto"/>
                <w:szCs w:val="21"/>
                <w:highlight w:val="none"/>
                <w:u w:val="none"/>
                <w:lang w:val="en-US" w:eastAsia="zh-CN"/>
              </w:rPr>
              <w:t>9.819</w:t>
            </w:r>
            <w:r>
              <w:rPr>
                <w:rFonts w:hint="default" w:ascii="Times New Roman" w:hAnsi="Times New Roman" w:cs="Times New Roman"/>
                <w:color w:val="auto"/>
                <w:szCs w:val="21"/>
                <w:highlight w:val="none"/>
                <w:u w:val="none"/>
              </w:rPr>
              <w:t>秒</w:t>
            </w:r>
            <w:r>
              <w:rPr>
                <w:rFonts w:hint="eastAsia" w:ascii="Times New Roman" w:hAnsi="Times New Roman" w:cs="Times New Roman"/>
                <w:color w:val="auto"/>
                <w:szCs w:val="21"/>
                <w:highlight w:val="none"/>
                <w:u w:val="none"/>
                <w:lang w:val="en-US" w:eastAsia="zh-CN"/>
              </w:rPr>
              <w:t>）</w:t>
            </w:r>
          </w:p>
        </w:tc>
      </w:tr>
      <w:tr w14:paraId="387184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710" w:type="dxa"/>
            <w:noWrap w:val="0"/>
            <w:vAlign w:val="center"/>
          </w:tcPr>
          <w:p w14:paraId="30F03466">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项目组成及规模</w:t>
            </w:r>
          </w:p>
        </w:tc>
        <w:tc>
          <w:tcPr>
            <w:tcW w:w="8380" w:type="dxa"/>
            <w:noWrap w:val="0"/>
            <w:vAlign w:val="top"/>
          </w:tcPr>
          <w:p w14:paraId="181FD430">
            <w:pPr>
              <w:keepNext w:val="0"/>
              <w:keepLines w:val="0"/>
              <w:pageBreakBefore w:val="0"/>
              <w:widowControl w:val="0"/>
              <w:kinsoku/>
              <w:wordWrap/>
              <w:overflowPunct/>
              <w:topLinePunct w:val="0"/>
              <w:autoSpaceDE w:val="0"/>
              <w:autoSpaceDN/>
              <w:bidi w:val="0"/>
              <w:adjustRightInd/>
              <w:snapToGrid/>
              <w:spacing w:line="360" w:lineRule="auto"/>
              <w:ind w:firstLine="422" w:firstLineChars="200"/>
              <w:textAlignment w:val="auto"/>
              <w:rPr>
                <w:rFonts w:hint="default" w:ascii="Times New Roman" w:hAnsi="Times New Roman" w:eastAsia="宋体" w:cs="Times New Roman"/>
                <w:b/>
                <w:color w:val="auto"/>
                <w:sz w:val="21"/>
                <w:szCs w:val="21"/>
                <w:highlight w:val="none"/>
                <w:lang w:val="en-US" w:eastAsia="zh-CN"/>
              </w:rPr>
            </w:pPr>
            <w:bookmarkStart w:id="1" w:name="OLE_LINK415"/>
            <w:bookmarkStart w:id="2" w:name="OLE_LINK419"/>
            <w:r>
              <w:rPr>
                <w:rFonts w:hint="default" w:ascii="Times New Roman" w:hAnsi="Times New Roman" w:eastAsia="宋体" w:cs="Times New Roman"/>
                <w:b/>
                <w:color w:val="auto"/>
                <w:sz w:val="21"/>
                <w:szCs w:val="21"/>
                <w:highlight w:val="none"/>
                <w:lang w:val="en-US" w:eastAsia="zh-CN"/>
              </w:rPr>
              <w:t>1、项目由来</w:t>
            </w:r>
          </w:p>
          <w:p w14:paraId="0601CA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苏里格经济开发区图克工业项目区作为国家能源战略布局的重要节点与区域煤化工产业核心承载区，当前正面临“规模扩张与质量提升”的双重挑战。首先，园区虽已形成煤制甲醇、煤制烯烃、煤制乙二醇等规模化产能，但核心技术（如煤气化、催化合成）仍依赖外部引进，自主研发成果因缺乏中试验证环节难以工业化落地。其次，面对“双碳”目标约束与传统煤化工“高能耗、高排放”的矛盾，园区亟需通过技术创新推动产业升级。再次，图克项目区地处蒙陕宁能源金三角核心区，虽毗邻西安、兰州等科教资源富集区，但“产学研用”协同效率有待提升——科研成果因缺乏本地化中试平台，常向东部发达地区转化，导致区域创新资源“外流”。</w:t>
            </w:r>
          </w:p>
          <w:p w14:paraId="46867C4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鉴于以上因素，建设煤化工中试基地是破解发展瓶颈、推动高质量发展的必然选择。而图克工业项目区凭借独特的区位优势、完善的产业配套及政策支持，已完全具备建设中试基地的硬件与软件条件。图克工业项目区所在的苏里格经济开发区，是国家能源集团等龙头企业的重要布局区，周边煤炭探明储量超千亿吨，且以低硫、低灰、高发热量的优质动力煤及化工用煤为主，天然适配煤化工“煤-化”转化需求。同时，项目区已形成煤制甲醇、煤制烯烃、煤制乙二醇等产业集群，配套有完善的公用工程体系（如集中供水、供电、供热管网，铁路专用线，危废处置中心等），为企业提供低成本蒸汽、工业水及物流保障，可大幅降低中试基地建设与运行的基础设施投入，为技术放大试验提供“原料-能源-配套”一体化支撑。另外，项目区已引入中科院大连化物所、西北化工研究院等科研机构设立技术转化中心，并与中国石油大学（北京）、内蒙古大学等高校建立产学研合作机制，具备较强的技术研发与转化能力。同时图克项目区作为自治区级高新技术产业开发区，可享受税收优惠、用地保障、科技专项补贴等政策红利，为中试基地建设提供政策支撑。</w:t>
            </w:r>
          </w:p>
          <w:p w14:paraId="52F8AC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w w:val="100"/>
                <w:sz w:val="21"/>
                <w:szCs w:val="21"/>
                <w:highlight w:val="none"/>
                <w:u w:val="none"/>
                <w:lang w:val="en-US" w:eastAsia="zh-CN"/>
              </w:rPr>
            </w:pPr>
            <w:r>
              <w:rPr>
                <w:rFonts w:hint="default" w:ascii="Times New Roman" w:hAnsi="Times New Roman" w:eastAsia="宋体" w:cs="Times New Roman"/>
                <w:color w:val="auto"/>
                <w:kern w:val="0"/>
                <w:sz w:val="21"/>
                <w:szCs w:val="21"/>
                <w:highlight w:val="none"/>
                <w:lang w:val="en-US" w:eastAsia="zh-CN" w:bidi="ar"/>
              </w:rPr>
              <w:t>综上，苏里格经济开发区图克工业项目区建设煤化工中试基地，既是破解产业升级瓶颈、服务国家战略的必然要求，也是依托资源禀赋、产业基础与创新条件的可行选择</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w w:val="100"/>
                <w:sz w:val="21"/>
                <w:szCs w:val="21"/>
                <w:highlight w:val="none"/>
                <w:u w:val="none"/>
                <w:lang w:val="en-US" w:eastAsia="zh-CN"/>
              </w:rPr>
              <w:t>故</w:t>
            </w:r>
            <w:r>
              <w:rPr>
                <w:rFonts w:hint="default" w:ascii="Times New Roman" w:hAnsi="Times New Roman" w:eastAsia="宋体" w:cs="Times New Roman"/>
                <w:color w:val="auto"/>
                <w:w w:val="100"/>
                <w:kern w:val="21"/>
                <w:sz w:val="21"/>
                <w:szCs w:val="21"/>
                <w:highlight w:val="none"/>
                <w:u w:val="none"/>
                <w:lang w:val="en-US" w:eastAsia="zh-CN"/>
              </w:rPr>
              <w:t>鄂尔多斯市苏里格建设发展有限公司决定建设鄂尔多斯现代煤化工创新技术中试项目，</w:t>
            </w:r>
            <w:r>
              <w:rPr>
                <w:rFonts w:hint="default" w:ascii="Times New Roman" w:hAnsi="Times New Roman" w:eastAsia="宋体" w:cs="Times New Roman"/>
                <w:color w:val="auto"/>
                <w:w w:val="100"/>
                <w:sz w:val="21"/>
                <w:szCs w:val="21"/>
                <w:highlight w:val="none"/>
                <w:u w:val="none"/>
                <w:lang w:val="en-US" w:eastAsia="zh-CN"/>
              </w:rPr>
              <w:t>本次工程为中试基地基础设施建设工程。</w:t>
            </w:r>
          </w:p>
          <w:p w14:paraId="3A9CA350">
            <w:pPr>
              <w:keepNext w:val="0"/>
              <w:keepLines w:val="0"/>
              <w:widowControl/>
              <w:suppressLineNumbers w:val="0"/>
              <w:jc w:val="left"/>
              <w:rPr>
                <w:color w:val="auto"/>
                <w:highlight w:val="none"/>
              </w:rPr>
            </w:pPr>
          </w:p>
          <w:p w14:paraId="6F33BF95">
            <w:pPr>
              <w:keepNext w:val="0"/>
              <w:keepLines w:val="0"/>
              <w:widowControl/>
              <w:suppressLineNumbers w:val="0"/>
              <w:jc w:val="left"/>
              <w:rPr>
                <w:color w:val="auto"/>
                <w:highlight w:val="none"/>
              </w:rPr>
            </w:pPr>
          </w:p>
          <w:bookmarkEnd w:id="1"/>
          <w:bookmarkEnd w:id="2"/>
          <w:p w14:paraId="5412B6B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eastAsia" w:ascii="Times New Roman" w:hAnsi="Times New Roman" w:cs="Times New Roman"/>
                <w:b/>
                <w:bCs/>
                <w:color w:val="auto"/>
                <w:kern w:val="0"/>
                <w:szCs w:val="21"/>
                <w:highlight w:val="none"/>
                <w:lang w:val="en-US" w:eastAsia="zh-CN"/>
              </w:rPr>
            </w:pPr>
            <w:r>
              <w:rPr>
                <w:rFonts w:hint="eastAsia" w:ascii="Times New Roman" w:hAnsi="Times New Roman" w:cs="Times New Roman"/>
                <w:b/>
                <w:bCs/>
                <w:color w:val="auto"/>
                <w:kern w:val="0"/>
                <w:szCs w:val="21"/>
                <w:highlight w:val="none"/>
                <w:lang w:val="en-US" w:eastAsia="zh-CN"/>
              </w:rPr>
              <w:t>2、建设内容</w:t>
            </w:r>
          </w:p>
          <w:p w14:paraId="7A46DAF3">
            <w:pPr>
              <w:pStyle w:val="19"/>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本项目分两期建设，其中一期工程建设内容包括中试基地内基础设施工程和</w:t>
            </w:r>
            <w:r>
              <w:rPr>
                <w:rFonts w:hint="eastAsia" w:ascii="Times New Roman" w:hAnsi="Times New Roman" w:cs="Times New Roman"/>
                <w:b w:val="0"/>
                <w:bCs w:val="0"/>
                <w:color w:val="auto"/>
                <w:kern w:val="0"/>
                <w:sz w:val="21"/>
                <w:szCs w:val="21"/>
                <w:highlight w:val="none"/>
                <w:lang w:val="en-US" w:eastAsia="zh-CN"/>
              </w:rPr>
              <w:t>基地</w:t>
            </w:r>
            <w:r>
              <w:rPr>
                <w:rFonts w:hint="default" w:ascii="Times New Roman" w:hAnsi="Times New Roman" w:cs="Times New Roman"/>
                <w:b w:val="0"/>
                <w:bCs w:val="0"/>
                <w:color w:val="auto"/>
                <w:kern w:val="0"/>
                <w:sz w:val="21"/>
                <w:szCs w:val="21"/>
                <w:highlight w:val="none"/>
                <w:lang w:val="en-US" w:eastAsia="zh-CN"/>
              </w:rPr>
              <w:t>外管廊工程两部分，</w:t>
            </w:r>
            <w:r>
              <w:rPr>
                <w:rFonts w:hint="eastAsia" w:ascii="Times New Roman" w:hAnsi="Times New Roman" w:cs="Times New Roman"/>
                <w:b w:val="0"/>
                <w:bCs w:val="0"/>
                <w:color w:val="auto"/>
                <w:kern w:val="0"/>
                <w:sz w:val="21"/>
                <w:szCs w:val="21"/>
                <w:highlight w:val="none"/>
                <w:lang w:val="en-US" w:eastAsia="zh-CN"/>
              </w:rPr>
              <w:t>基地</w:t>
            </w:r>
            <w:r>
              <w:rPr>
                <w:rFonts w:hint="default" w:ascii="Times New Roman" w:hAnsi="Times New Roman" w:cs="Times New Roman"/>
                <w:b w:val="0"/>
                <w:bCs w:val="0"/>
                <w:color w:val="auto"/>
                <w:kern w:val="0"/>
                <w:sz w:val="21"/>
                <w:szCs w:val="21"/>
                <w:highlight w:val="none"/>
                <w:lang w:val="en-US" w:eastAsia="zh-CN"/>
              </w:rPr>
              <w:t>内基础设施工程包括11座标准化厂房、</w:t>
            </w:r>
            <w:r>
              <w:rPr>
                <w:rFonts w:hint="default" w:ascii="Times New Roman" w:hAnsi="Times New Roman" w:cs="Times New Roman"/>
                <w:bCs/>
                <w:color w:val="auto"/>
                <w:sz w:val="21"/>
                <w:szCs w:val="21"/>
                <w:highlight w:val="none"/>
              </w:rPr>
              <w:t>1</w:t>
            </w:r>
            <w:r>
              <w:rPr>
                <w:rFonts w:hint="default" w:ascii="Times New Roman" w:hAnsi="Times New Roman" w:cs="Times New Roman"/>
                <w:bCs/>
                <w:color w:val="auto"/>
                <w:sz w:val="21"/>
                <w:szCs w:val="21"/>
                <w:highlight w:val="none"/>
                <w:lang w:val="en-US" w:eastAsia="zh-CN"/>
              </w:rPr>
              <w:t>座</w:t>
            </w:r>
            <w:r>
              <w:rPr>
                <w:rFonts w:hint="default" w:ascii="Times New Roman" w:hAnsi="Times New Roman" w:cs="Times New Roman"/>
                <w:bCs/>
                <w:color w:val="auto"/>
                <w:sz w:val="21"/>
                <w:szCs w:val="21"/>
                <w:highlight w:val="none"/>
              </w:rPr>
              <w:t>甲类仓库、</w:t>
            </w:r>
            <w:r>
              <w:rPr>
                <w:rFonts w:hint="eastAsia" w:ascii="Times New Roman" w:hAnsi="Times New Roman" w:cs="Times New Roman"/>
                <w:bCs/>
                <w:color w:val="auto"/>
                <w:sz w:val="21"/>
                <w:szCs w:val="21"/>
                <w:highlight w:val="none"/>
                <w:lang w:val="en-US" w:eastAsia="zh-CN"/>
              </w:rPr>
              <w:t>1</w:t>
            </w:r>
            <w:r>
              <w:rPr>
                <w:rFonts w:hint="default" w:ascii="Times New Roman" w:hAnsi="Times New Roman" w:cs="Times New Roman"/>
                <w:bCs/>
                <w:color w:val="auto"/>
                <w:sz w:val="21"/>
                <w:szCs w:val="21"/>
                <w:highlight w:val="none"/>
                <w:lang w:val="en-US" w:eastAsia="zh-CN"/>
              </w:rPr>
              <w:t>座</w:t>
            </w:r>
            <w:r>
              <w:rPr>
                <w:rFonts w:hint="eastAsia" w:ascii="Times New Roman" w:hAnsi="Times New Roman" w:cs="Times New Roman"/>
                <w:bCs/>
                <w:color w:val="auto"/>
                <w:sz w:val="21"/>
                <w:szCs w:val="21"/>
                <w:highlight w:val="none"/>
                <w:lang w:val="en-US" w:eastAsia="zh-CN"/>
              </w:rPr>
              <w:t>乙</w:t>
            </w:r>
            <w:r>
              <w:rPr>
                <w:rFonts w:hint="default" w:ascii="Times New Roman" w:hAnsi="Times New Roman" w:cs="Times New Roman"/>
                <w:bCs/>
                <w:color w:val="auto"/>
                <w:sz w:val="21"/>
                <w:szCs w:val="21"/>
                <w:highlight w:val="none"/>
              </w:rPr>
              <w:t>类仓库</w:t>
            </w:r>
            <w:r>
              <w:rPr>
                <w:rFonts w:hint="default" w:ascii="Times New Roman" w:hAnsi="Times New Roman" w:cs="Times New Roman"/>
                <w:b w:val="0"/>
                <w:bCs w:val="0"/>
                <w:color w:val="auto"/>
                <w:kern w:val="0"/>
                <w:sz w:val="21"/>
                <w:szCs w:val="21"/>
                <w:highlight w:val="none"/>
                <w:lang w:val="en-US" w:eastAsia="zh-CN"/>
              </w:rPr>
              <w:t>、</w:t>
            </w:r>
            <w:r>
              <w:rPr>
                <w:rFonts w:hint="eastAsia" w:ascii="Times New Roman" w:hAnsi="Times New Roman" w:cs="Times New Roman"/>
                <w:b w:val="0"/>
                <w:bCs w:val="0"/>
                <w:color w:val="auto"/>
                <w:kern w:val="0"/>
                <w:sz w:val="21"/>
                <w:szCs w:val="21"/>
                <w:highlight w:val="none"/>
                <w:lang w:val="en-US" w:eastAsia="zh-CN"/>
              </w:rPr>
              <w:t>1座丙类仓库、1座危废库、</w:t>
            </w:r>
            <w:r>
              <w:rPr>
                <w:rFonts w:hint="default" w:ascii="Times New Roman" w:hAnsi="Times New Roman" w:cs="Times New Roman"/>
                <w:b w:val="0"/>
                <w:bCs w:val="0"/>
                <w:color w:val="auto"/>
                <w:kern w:val="0"/>
                <w:sz w:val="21"/>
                <w:szCs w:val="21"/>
                <w:highlight w:val="none"/>
                <w:lang w:val="en-US" w:eastAsia="zh-CN"/>
              </w:rPr>
              <w:t>1座综合楼、1座研发楼</w:t>
            </w:r>
            <w:r>
              <w:rPr>
                <w:rFonts w:hint="eastAsia" w:ascii="Times New Roman" w:hAnsi="Times New Roman" w:cs="Times New Roman"/>
                <w:bCs/>
                <w:color w:val="auto"/>
                <w:sz w:val="21"/>
                <w:szCs w:val="21"/>
                <w:highlight w:val="none"/>
                <w:lang w:val="en-US" w:eastAsia="zh-CN"/>
              </w:rPr>
              <w:t>和</w:t>
            </w:r>
            <w:r>
              <w:rPr>
                <w:rFonts w:hint="default" w:ascii="Times New Roman" w:hAnsi="Times New Roman" w:cs="Times New Roman"/>
                <w:bCs/>
                <w:color w:val="auto"/>
                <w:sz w:val="21"/>
                <w:szCs w:val="21"/>
                <w:highlight w:val="none"/>
                <w:lang w:val="en-US" w:eastAsia="zh-CN"/>
              </w:rPr>
              <w:t>4</w:t>
            </w:r>
            <w:r>
              <w:rPr>
                <w:rFonts w:hint="eastAsia" w:ascii="Times New Roman" w:hAnsi="Times New Roman" w:cs="Times New Roman"/>
                <w:bCs/>
                <w:color w:val="auto"/>
                <w:sz w:val="21"/>
                <w:szCs w:val="21"/>
                <w:highlight w:val="none"/>
                <w:lang w:val="en-US" w:eastAsia="zh-CN"/>
              </w:rPr>
              <w:t>处</w:t>
            </w:r>
            <w:r>
              <w:rPr>
                <w:rFonts w:hint="default" w:ascii="Times New Roman" w:hAnsi="Times New Roman" w:cs="Times New Roman"/>
                <w:bCs/>
                <w:color w:val="auto"/>
                <w:sz w:val="21"/>
                <w:szCs w:val="21"/>
                <w:highlight w:val="none"/>
                <w:lang w:val="en-US" w:eastAsia="zh-CN"/>
              </w:rPr>
              <w:t>露天实验区</w:t>
            </w:r>
            <w:r>
              <w:rPr>
                <w:rFonts w:hint="eastAsia" w:ascii="Times New Roman" w:hAnsi="Times New Roman" w:cs="Times New Roman"/>
                <w:bCs/>
                <w:color w:val="auto"/>
                <w:sz w:val="21"/>
                <w:szCs w:val="21"/>
                <w:highlight w:val="none"/>
                <w:lang w:val="en-US" w:eastAsia="zh-CN"/>
              </w:rPr>
              <w:t>（预留）</w:t>
            </w:r>
            <w:r>
              <w:rPr>
                <w:rFonts w:hint="default" w:ascii="Times New Roman" w:hAnsi="Times New Roman" w:cs="Times New Roman"/>
                <w:bCs/>
                <w:color w:val="auto"/>
                <w:sz w:val="21"/>
                <w:szCs w:val="21"/>
                <w:highlight w:val="none"/>
                <w:lang w:val="en-US" w:eastAsia="zh-CN"/>
              </w:rPr>
              <w:t>以及</w:t>
            </w:r>
            <w:r>
              <w:rPr>
                <w:rFonts w:hint="default" w:ascii="Times New Roman" w:hAnsi="Times New Roman" w:cs="Times New Roman"/>
                <w:bCs/>
                <w:color w:val="auto"/>
                <w:sz w:val="21"/>
                <w:szCs w:val="21"/>
                <w:highlight w:val="none"/>
              </w:rPr>
              <w:t>供电、供热、供气、安全</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bCs/>
                <w:color w:val="auto"/>
                <w:sz w:val="21"/>
                <w:szCs w:val="21"/>
                <w:highlight w:val="none"/>
              </w:rPr>
              <w:t>环保等公辅工程</w:t>
            </w:r>
            <w:r>
              <w:rPr>
                <w:rFonts w:hint="default" w:ascii="Times New Roman" w:hAnsi="Times New Roman" w:cs="Times New Roman"/>
                <w:bCs/>
                <w:color w:val="auto"/>
                <w:sz w:val="21"/>
                <w:szCs w:val="21"/>
                <w:highlight w:val="none"/>
                <w:lang w:val="en-US" w:eastAsia="zh-CN"/>
              </w:rPr>
              <w:t>；</w:t>
            </w:r>
            <w:r>
              <w:rPr>
                <w:rFonts w:hint="eastAsia" w:ascii="Times New Roman" w:hAnsi="Times New Roman" w:cs="Times New Roman"/>
                <w:bCs/>
                <w:color w:val="auto"/>
                <w:sz w:val="21"/>
                <w:szCs w:val="21"/>
                <w:highlight w:val="none"/>
                <w:lang w:val="en-US" w:eastAsia="zh-CN"/>
              </w:rPr>
              <w:t>基地</w:t>
            </w:r>
            <w:r>
              <w:rPr>
                <w:rFonts w:hint="default" w:ascii="Times New Roman" w:hAnsi="Times New Roman" w:cs="Times New Roman"/>
                <w:bCs/>
                <w:color w:val="auto"/>
                <w:sz w:val="21"/>
                <w:szCs w:val="21"/>
                <w:highlight w:val="none"/>
                <w:lang w:val="en-US" w:eastAsia="zh-CN"/>
              </w:rPr>
              <w:t>外管廊工程为架空独立管廊，总长</w:t>
            </w:r>
            <w:r>
              <w:rPr>
                <w:rFonts w:hint="eastAsia" w:ascii="Times New Roman" w:hAnsi="Times New Roman" w:cs="Times New Roman"/>
                <w:bCs/>
                <w:color w:val="auto"/>
                <w:sz w:val="21"/>
                <w:szCs w:val="21"/>
                <w:highlight w:val="none"/>
                <w:lang w:val="en-US" w:eastAsia="zh-CN"/>
              </w:rPr>
              <w:t>215.5</w:t>
            </w:r>
            <w:r>
              <w:rPr>
                <w:rFonts w:hint="default" w:ascii="Times New Roman" w:hAnsi="Times New Roman" w:cs="Times New Roman"/>
                <w:bCs/>
                <w:color w:val="auto"/>
                <w:sz w:val="21"/>
                <w:szCs w:val="21"/>
                <w:highlight w:val="none"/>
                <w:lang w:val="en-US" w:eastAsia="zh-CN"/>
              </w:rPr>
              <w:t>m，</w:t>
            </w:r>
            <w:r>
              <w:rPr>
                <w:rFonts w:hint="default" w:ascii="Times New Roman" w:hAnsi="Times New Roman" w:cs="Times New Roman"/>
                <w:color w:val="auto"/>
                <w:sz w:val="21"/>
                <w:szCs w:val="21"/>
                <w:highlight w:val="none"/>
                <w:lang w:val="en-US" w:eastAsia="zh-CN"/>
              </w:rPr>
              <w:t>铺设各种</w:t>
            </w:r>
            <w:r>
              <w:rPr>
                <w:rFonts w:hint="default" w:ascii="Times New Roman" w:hAnsi="Times New Roman" w:eastAsia="宋体" w:cs="Times New Roman"/>
                <w:color w:val="auto"/>
                <w:sz w:val="21"/>
                <w:szCs w:val="21"/>
                <w:highlight w:val="none"/>
              </w:rPr>
              <w:t>试验气体</w:t>
            </w:r>
            <w:r>
              <w:rPr>
                <w:rFonts w:hint="default" w:ascii="Times New Roman" w:hAnsi="Times New Roman" w:cs="Times New Roman"/>
                <w:color w:val="auto"/>
                <w:sz w:val="21"/>
                <w:szCs w:val="21"/>
                <w:highlight w:val="none"/>
                <w:lang w:val="en-US" w:eastAsia="zh-CN"/>
              </w:rPr>
              <w:t>管道</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包括</w:t>
            </w:r>
            <w:r>
              <w:rPr>
                <w:rFonts w:hint="default" w:ascii="Times New Roman" w:hAnsi="Times New Roman" w:eastAsia="宋体" w:cs="Times New Roman"/>
                <w:color w:val="auto"/>
                <w:sz w:val="21"/>
                <w:szCs w:val="21"/>
                <w:highlight w:val="none"/>
              </w:rPr>
              <w:t>富一氧化碳气体管道</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二氧化碳气体管道</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氢气管道</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中压氮气管道</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低压</w:t>
            </w:r>
            <w:r>
              <w:rPr>
                <w:rFonts w:hint="default" w:ascii="Times New Roman" w:hAnsi="Times New Roman" w:eastAsia="宋体" w:cs="Times New Roman"/>
                <w:color w:val="auto"/>
                <w:sz w:val="21"/>
                <w:szCs w:val="21"/>
                <w:highlight w:val="none"/>
              </w:rPr>
              <w:t>氮气管道</w:t>
            </w:r>
            <w:r>
              <w:rPr>
                <w:rFonts w:hint="default" w:ascii="Times New Roman" w:hAnsi="Times New Roman"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工厂</w:t>
            </w:r>
            <w:r>
              <w:rPr>
                <w:rFonts w:hint="default" w:ascii="Times New Roman" w:hAnsi="Times New Roman" w:eastAsia="宋体" w:cs="Times New Roman"/>
                <w:color w:val="auto"/>
                <w:sz w:val="21"/>
                <w:szCs w:val="21"/>
                <w:highlight w:val="none"/>
              </w:rPr>
              <w:t>空气管道</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仪表空气管道</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中压蒸汽管道</w:t>
            </w:r>
            <w:r>
              <w:rPr>
                <w:rFonts w:hint="default"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蒸汽凝液管道、</w:t>
            </w:r>
            <w:r>
              <w:rPr>
                <w:rFonts w:hint="default" w:ascii="Times New Roman" w:hAnsi="Times New Roman" w:eastAsia="宋体" w:cs="Times New Roman"/>
                <w:color w:val="auto"/>
                <w:sz w:val="21"/>
                <w:szCs w:val="21"/>
                <w:highlight w:val="none"/>
              </w:rPr>
              <w:t>循环水</w:t>
            </w:r>
            <w:r>
              <w:rPr>
                <w:rFonts w:hint="eastAsia" w:ascii="Times New Roman" w:hAnsi="Times New Roman" w:eastAsia="宋体" w:cs="Times New Roman"/>
                <w:color w:val="auto"/>
                <w:sz w:val="21"/>
                <w:szCs w:val="21"/>
                <w:highlight w:val="none"/>
                <w:lang w:val="en-US" w:eastAsia="zh-CN"/>
              </w:rPr>
              <w:t>排污</w:t>
            </w:r>
            <w:r>
              <w:rPr>
                <w:rFonts w:hint="default" w:ascii="Times New Roman" w:hAnsi="Times New Roman" w:eastAsia="宋体" w:cs="Times New Roman"/>
                <w:color w:val="auto"/>
                <w:sz w:val="21"/>
                <w:szCs w:val="21"/>
                <w:highlight w:val="none"/>
              </w:rPr>
              <w:t>管道</w:t>
            </w:r>
            <w:r>
              <w:rPr>
                <w:rFonts w:hint="default" w:ascii="Times New Roman" w:hAnsi="Times New Roman" w:cs="Times New Roman"/>
                <w:color w:val="auto"/>
                <w:sz w:val="21"/>
                <w:szCs w:val="21"/>
                <w:highlight w:val="none"/>
                <w:lang w:val="en-US" w:eastAsia="zh-CN"/>
              </w:rPr>
              <w:t>和</w:t>
            </w:r>
            <w:r>
              <w:rPr>
                <w:rFonts w:hint="eastAsia" w:ascii="Times New Roman" w:hAnsi="Times New Roman" w:eastAsia="宋体" w:cs="Times New Roman"/>
                <w:color w:val="auto"/>
                <w:sz w:val="21"/>
                <w:szCs w:val="21"/>
                <w:highlight w:val="none"/>
                <w:lang w:val="en-US" w:eastAsia="zh-CN"/>
              </w:rPr>
              <w:t>火炬废水</w:t>
            </w:r>
            <w:r>
              <w:rPr>
                <w:rFonts w:hint="default" w:ascii="Times New Roman" w:hAnsi="Times New Roman" w:eastAsia="宋体" w:cs="Times New Roman"/>
                <w:color w:val="auto"/>
                <w:sz w:val="21"/>
                <w:szCs w:val="21"/>
                <w:highlight w:val="none"/>
              </w:rPr>
              <w:t>管道等</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二期工程建设3座标准化厂房。</w:t>
            </w:r>
          </w:p>
          <w:p w14:paraId="7EDA3CD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val="0"/>
                <w:color w:val="auto"/>
                <w:kern w:val="0"/>
                <w:sz w:val="21"/>
                <w:szCs w:val="21"/>
                <w:highlight w:val="none"/>
                <w:lang w:val="en-US" w:eastAsia="zh-CN"/>
              </w:rPr>
            </w:pPr>
            <w:r>
              <w:rPr>
                <w:rFonts w:hint="default" w:ascii="Times New Roman" w:hAnsi="Times New Roman" w:cs="Times New Roman"/>
                <w:b w:val="0"/>
                <w:bCs w:val="0"/>
                <w:color w:val="auto"/>
                <w:kern w:val="0"/>
                <w:sz w:val="21"/>
                <w:szCs w:val="21"/>
                <w:highlight w:val="none"/>
                <w:lang w:val="en-US" w:eastAsia="zh-CN"/>
              </w:rPr>
              <w:t>具体建设内容见表2-1。</w:t>
            </w:r>
          </w:p>
          <w:p w14:paraId="49E78B7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auto"/>
                <w:kern w:val="0"/>
                <w:szCs w:val="21"/>
                <w:highlight w:val="none"/>
                <w:lang w:val="en-US" w:eastAsia="zh-CN"/>
              </w:rPr>
            </w:pPr>
            <w:r>
              <w:rPr>
                <w:rFonts w:hint="eastAsia" w:ascii="Times New Roman" w:hAnsi="Times New Roman" w:cs="Times New Roman"/>
                <w:b/>
                <w:bCs/>
                <w:color w:val="auto"/>
                <w:kern w:val="0"/>
                <w:szCs w:val="21"/>
                <w:highlight w:val="none"/>
                <w:lang w:val="en-US" w:eastAsia="zh-CN"/>
              </w:rPr>
              <w:t>表2-1    本项目建设内容一览表</w:t>
            </w:r>
          </w:p>
          <w:tbl>
            <w:tblPr>
              <w:tblStyle w:val="25"/>
              <w:tblW w:w="4997"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436"/>
              <w:gridCol w:w="434"/>
              <w:gridCol w:w="1621"/>
              <w:gridCol w:w="2119"/>
              <w:gridCol w:w="2334"/>
              <w:gridCol w:w="781"/>
            </w:tblGrid>
            <w:tr w14:paraId="75680F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33" w:type="pct"/>
                  <w:gridSpan w:val="2"/>
                  <w:tcBorders>
                    <w:tl2br w:val="nil"/>
                    <w:tr2bl w:val="nil"/>
                  </w:tcBorders>
                  <w:noWrap w:val="0"/>
                  <w:vAlign w:val="center"/>
                </w:tcPr>
                <w:p w14:paraId="4B86033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工程</w:t>
                  </w:r>
                </w:p>
                <w:p w14:paraId="08BAD11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类别</w:t>
                  </w:r>
                </w:p>
              </w:tc>
              <w:tc>
                <w:tcPr>
                  <w:tcW w:w="1259" w:type="pct"/>
                  <w:gridSpan w:val="2"/>
                  <w:tcBorders>
                    <w:tl2br w:val="nil"/>
                    <w:tr2bl w:val="nil"/>
                  </w:tcBorders>
                  <w:noWrap w:val="0"/>
                  <w:vAlign w:val="center"/>
                </w:tcPr>
                <w:p w14:paraId="7035D9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工程名称</w:t>
                  </w:r>
                </w:p>
              </w:tc>
              <w:tc>
                <w:tcPr>
                  <w:tcW w:w="2728" w:type="pct"/>
                  <w:gridSpan w:val="2"/>
                  <w:tcBorders>
                    <w:tl2br w:val="nil"/>
                    <w:tr2bl w:val="nil"/>
                  </w:tcBorders>
                  <w:noWrap w:val="0"/>
                  <w:vAlign w:val="center"/>
                </w:tcPr>
                <w:p w14:paraId="0EAF5CB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工程内容</w:t>
                  </w:r>
                </w:p>
              </w:tc>
              <w:tc>
                <w:tcPr>
                  <w:tcW w:w="478" w:type="pct"/>
                  <w:tcBorders>
                    <w:tl2br w:val="nil"/>
                    <w:tr2bl w:val="nil"/>
                  </w:tcBorders>
                  <w:noWrap w:val="0"/>
                  <w:vAlign w:val="center"/>
                </w:tcPr>
                <w:p w14:paraId="5BB76E9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备注</w:t>
                  </w:r>
                </w:p>
              </w:tc>
            </w:tr>
            <w:tr w14:paraId="6820D4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restart"/>
                  <w:tcBorders>
                    <w:tl2br w:val="nil"/>
                    <w:tr2bl w:val="nil"/>
                  </w:tcBorders>
                  <w:noWrap w:val="0"/>
                  <w:vAlign w:val="center"/>
                </w:tcPr>
                <w:p w14:paraId="48DD6E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主体工程</w:t>
                  </w:r>
                </w:p>
              </w:tc>
              <w:tc>
                <w:tcPr>
                  <w:tcW w:w="266" w:type="pct"/>
                  <w:vMerge w:val="restart"/>
                  <w:tcBorders>
                    <w:tl2br w:val="nil"/>
                    <w:tr2bl w:val="nil"/>
                  </w:tcBorders>
                  <w:noWrap w:val="0"/>
                  <w:vAlign w:val="center"/>
                </w:tcPr>
                <w:p w14:paraId="14E4879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一期工程</w:t>
                  </w:r>
                </w:p>
              </w:tc>
              <w:tc>
                <w:tcPr>
                  <w:tcW w:w="266" w:type="pct"/>
                  <w:vMerge w:val="restart"/>
                  <w:tcBorders>
                    <w:tl2br w:val="nil"/>
                    <w:tr2bl w:val="nil"/>
                  </w:tcBorders>
                  <w:noWrap w:val="0"/>
                  <w:vAlign w:val="center"/>
                </w:tcPr>
                <w:p w14:paraId="798C21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标准化厂房</w:t>
                  </w:r>
                </w:p>
              </w:tc>
              <w:tc>
                <w:tcPr>
                  <w:tcW w:w="992" w:type="pct"/>
                  <w:tcBorders>
                    <w:tl2br w:val="nil"/>
                    <w:tr2bl w:val="nil"/>
                  </w:tcBorders>
                  <w:noWrap w:val="0"/>
                  <w:vAlign w:val="center"/>
                </w:tcPr>
                <w:p w14:paraId="0F5B6A3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1#实验装置甲类厂房</w:t>
                  </w:r>
                </w:p>
              </w:tc>
              <w:tc>
                <w:tcPr>
                  <w:tcW w:w="2728" w:type="pct"/>
                  <w:gridSpan w:val="2"/>
                  <w:tcBorders>
                    <w:tl2br w:val="nil"/>
                    <w:tr2bl w:val="nil"/>
                  </w:tcBorders>
                  <w:noWrap w:val="0"/>
                  <w:vAlign w:val="center"/>
                </w:tcPr>
                <w:p w14:paraId="33DB3BBC">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占地面积1709.25m</w:t>
                  </w:r>
                  <w:r>
                    <w:rPr>
                      <w:rFonts w:hint="eastAsia"/>
                      <w:color w:val="auto"/>
                      <w:kern w:val="0"/>
                      <w:sz w:val="18"/>
                      <w:szCs w:val="18"/>
                      <w:highlight w:val="none"/>
                      <w:vertAlign w:val="superscript"/>
                    </w:rPr>
                    <w:t>2</w:t>
                  </w:r>
                  <w:r>
                    <w:rPr>
                      <w:rFonts w:hint="eastAsia"/>
                      <w:color w:val="auto"/>
                      <w:kern w:val="0"/>
                      <w:sz w:val="18"/>
                      <w:szCs w:val="18"/>
                      <w:highlight w:val="none"/>
                    </w:rPr>
                    <w:t>，建筑面积1709.2568m</w:t>
                  </w:r>
                  <w:r>
                    <w:rPr>
                      <w:rFonts w:hint="eastAsia"/>
                      <w:color w:val="auto"/>
                      <w:kern w:val="0"/>
                      <w:sz w:val="18"/>
                      <w:szCs w:val="18"/>
                      <w:highlight w:val="none"/>
                      <w:vertAlign w:val="superscript"/>
                    </w:rPr>
                    <w:t>2</w:t>
                  </w:r>
                  <w:r>
                    <w:rPr>
                      <w:rFonts w:hint="eastAsia"/>
                      <w:color w:val="auto"/>
                      <w:kern w:val="0"/>
                      <w:sz w:val="18"/>
                      <w:szCs w:val="18"/>
                      <w:highlight w:val="none"/>
                    </w:rPr>
                    <w:t>，1层，高15.15m，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52041B7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494A3C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33BD34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A3BBE5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2A8B361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662869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2#实验装置甲类厂房</w:t>
                  </w:r>
                </w:p>
              </w:tc>
              <w:tc>
                <w:tcPr>
                  <w:tcW w:w="2728" w:type="pct"/>
                  <w:gridSpan w:val="2"/>
                  <w:tcBorders>
                    <w:tl2br w:val="nil"/>
                    <w:tr2bl w:val="nil"/>
                  </w:tcBorders>
                  <w:noWrap w:val="0"/>
                  <w:vAlign w:val="center"/>
                </w:tcPr>
                <w:p w14:paraId="3F453D99">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占地面积1709.25m</w:t>
                  </w:r>
                  <w:r>
                    <w:rPr>
                      <w:rFonts w:hint="eastAsia"/>
                      <w:color w:val="auto"/>
                      <w:kern w:val="0"/>
                      <w:sz w:val="18"/>
                      <w:szCs w:val="18"/>
                      <w:highlight w:val="none"/>
                      <w:vertAlign w:val="superscript"/>
                    </w:rPr>
                    <w:t>2</w:t>
                  </w:r>
                  <w:r>
                    <w:rPr>
                      <w:rFonts w:hint="eastAsia"/>
                      <w:color w:val="auto"/>
                      <w:kern w:val="0"/>
                      <w:sz w:val="18"/>
                      <w:szCs w:val="18"/>
                      <w:highlight w:val="none"/>
                    </w:rPr>
                    <w:t>，建筑面积1709.2568m</w:t>
                  </w:r>
                  <w:r>
                    <w:rPr>
                      <w:rFonts w:hint="eastAsia"/>
                      <w:color w:val="auto"/>
                      <w:kern w:val="0"/>
                      <w:sz w:val="18"/>
                      <w:szCs w:val="18"/>
                      <w:highlight w:val="none"/>
                      <w:vertAlign w:val="superscript"/>
                    </w:rPr>
                    <w:t>2</w:t>
                  </w:r>
                  <w:r>
                    <w:rPr>
                      <w:rFonts w:hint="eastAsia"/>
                      <w:color w:val="auto"/>
                      <w:kern w:val="0"/>
                      <w:sz w:val="18"/>
                      <w:szCs w:val="18"/>
                      <w:highlight w:val="none"/>
                    </w:rPr>
                    <w:t>，1层，高15.15m，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6C68EE4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647B8B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7916430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292FE1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17D17C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51907C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3#实验装置甲类厂房</w:t>
                  </w:r>
                </w:p>
              </w:tc>
              <w:tc>
                <w:tcPr>
                  <w:tcW w:w="2728" w:type="pct"/>
                  <w:gridSpan w:val="2"/>
                  <w:tcBorders>
                    <w:tl2br w:val="nil"/>
                    <w:tr2bl w:val="nil"/>
                  </w:tcBorders>
                  <w:noWrap w:val="0"/>
                  <w:vAlign w:val="center"/>
                </w:tcPr>
                <w:p w14:paraId="6F8129EA">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占地面积1182.50m</w:t>
                  </w:r>
                  <w:r>
                    <w:rPr>
                      <w:rFonts w:hint="eastAsia"/>
                      <w:color w:val="auto"/>
                      <w:kern w:val="0"/>
                      <w:sz w:val="18"/>
                      <w:szCs w:val="18"/>
                      <w:highlight w:val="none"/>
                      <w:vertAlign w:val="superscript"/>
                    </w:rPr>
                    <w:t>2</w:t>
                  </w:r>
                  <w:r>
                    <w:rPr>
                      <w:rFonts w:hint="eastAsia"/>
                      <w:color w:val="auto"/>
                      <w:kern w:val="0"/>
                      <w:sz w:val="18"/>
                      <w:szCs w:val="18"/>
                      <w:highlight w:val="none"/>
                    </w:rPr>
                    <w:t>，建筑面积1182.50m</w:t>
                  </w:r>
                  <w:r>
                    <w:rPr>
                      <w:rFonts w:hint="eastAsia"/>
                      <w:color w:val="auto"/>
                      <w:kern w:val="0"/>
                      <w:sz w:val="18"/>
                      <w:szCs w:val="18"/>
                      <w:highlight w:val="none"/>
                      <w:vertAlign w:val="superscript"/>
                    </w:rPr>
                    <w:t>2</w:t>
                  </w:r>
                  <w:r>
                    <w:rPr>
                      <w:rFonts w:hint="eastAsia"/>
                      <w:color w:val="auto"/>
                      <w:kern w:val="0"/>
                      <w:sz w:val="18"/>
                      <w:szCs w:val="18"/>
                      <w:highlight w:val="none"/>
                    </w:rPr>
                    <w:t>，1层，高13.15m，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100EA91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12DC4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745A4E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29D8DAE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749149B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305FD45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4#实验装置甲类厂房</w:t>
                  </w:r>
                </w:p>
              </w:tc>
              <w:tc>
                <w:tcPr>
                  <w:tcW w:w="2728" w:type="pct"/>
                  <w:gridSpan w:val="2"/>
                  <w:tcBorders>
                    <w:tl2br w:val="nil"/>
                    <w:tr2bl w:val="nil"/>
                  </w:tcBorders>
                  <w:noWrap w:val="0"/>
                  <w:vAlign w:val="center"/>
                </w:tcPr>
                <w:p w14:paraId="0373DD30">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占地面积1182.50m</w:t>
                  </w:r>
                  <w:r>
                    <w:rPr>
                      <w:rFonts w:hint="eastAsia"/>
                      <w:color w:val="auto"/>
                      <w:kern w:val="0"/>
                      <w:sz w:val="18"/>
                      <w:szCs w:val="18"/>
                      <w:highlight w:val="none"/>
                      <w:vertAlign w:val="superscript"/>
                    </w:rPr>
                    <w:t>2</w:t>
                  </w:r>
                  <w:r>
                    <w:rPr>
                      <w:rFonts w:hint="eastAsia"/>
                      <w:color w:val="auto"/>
                      <w:kern w:val="0"/>
                      <w:sz w:val="18"/>
                      <w:szCs w:val="18"/>
                      <w:highlight w:val="none"/>
                    </w:rPr>
                    <w:t>，建筑面积1182.50m</w:t>
                  </w:r>
                  <w:r>
                    <w:rPr>
                      <w:rFonts w:hint="eastAsia"/>
                      <w:color w:val="auto"/>
                      <w:kern w:val="0"/>
                      <w:sz w:val="18"/>
                      <w:szCs w:val="18"/>
                      <w:highlight w:val="none"/>
                      <w:vertAlign w:val="superscript"/>
                    </w:rPr>
                    <w:t>2</w:t>
                  </w:r>
                  <w:r>
                    <w:rPr>
                      <w:rFonts w:hint="eastAsia"/>
                      <w:color w:val="auto"/>
                      <w:kern w:val="0"/>
                      <w:sz w:val="18"/>
                      <w:szCs w:val="18"/>
                      <w:highlight w:val="none"/>
                    </w:rPr>
                    <w:t>，1层，高13.15m，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260507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521910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4E7AE1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7543DC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097EEEC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2E37A87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5#实验装置乙类厂房</w:t>
                  </w:r>
                </w:p>
              </w:tc>
              <w:tc>
                <w:tcPr>
                  <w:tcW w:w="2728" w:type="pct"/>
                  <w:gridSpan w:val="2"/>
                  <w:tcBorders>
                    <w:tl2br w:val="nil"/>
                    <w:tr2bl w:val="nil"/>
                  </w:tcBorders>
                  <w:noWrap w:val="0"/>
                  <w:vAlign w:val="center"/>
                </w:tcPr>
                <w:p w14:paraId="41FC737D">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w:t>
                  </w:r>
                  <w:r>
                    <w:rPr>
                      <w:rFonts w:hint="eastAsia"/>
                      <w:color w:val="auto"/>
                      <w:kern w:val="0"/>
                      <w:sz w:val="18"/>
                      <w:szCs w:val="18"/>
                      <w:highlight w:val="none"/>
                      <w:lang w:val="en-US" w:eastAsia="zh-CN"/>
                    </w:rPr>
                    <w:t>764.44</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1094.92</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w:t>
                  </w:r>
                  <w:r>
                    <w:rPr>
                      <w:rFonts w:hint="eastAsia"/>
                      <w:color w:val="auto"/>
                      <w:kern w:val="0"/>
                      <w:sz w:val="18"/>
                      <w:szCs w:val="18"/>
                      <w:highlight w:val="none"/>
                      <w:lang w:val="en-US" w:eastAsia="zh-CN"/>
                    </w:rPr>
                    <w:t>2</w:t>
                  </w:r>
                  <w:r>
                    <w:rPr>
                      <w:rFonts w:hint="eastAsia"/>
                      <w:color w:val="auto"/>
                      <w:kern w:val="0"/>
                      <w:sz w:val="18"/>
                      <w:szCs w:val="18"/>
                      <w:highlight w:val="none"/>
                    </w:rPr>
                    <w:t>层，高15.15m，框架结构。</w:t>
                  </w:r>
                </w:p>
              </w:tc>
              <w:tc>
                <w:tcPr>
                  <w:tcW w:w="478" w:type="pct"/>
                  <w:tcBorders>
                    <w:tl2br w:val="nil"/>
                    <w:tr2bl w:val="nil"/>
                  </w:tcBorders>
                  <w:noWrap w:val="0"/>
                  <w:vAlign w:val="center"/>
                </w:tcPr>
                <w:p w14:paraId="6AE204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1EA648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3373FA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093BFC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ED494C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335067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6#实验装置乙类厂房</w:t>
                  </w:r>
                </w:p>
              </w:tc>
              <w:tc>
                <w:tcPr>
                  <w:tcW w:w="2728" w:type="pct"/>
                  <w:gridSpan w:val="2"/>
                  <w:tcBorders>
                    <w:tl2br w:val="nil"/>
                    <w:tr2bl w:val="nil"/>
                  </w:tcBorders>
                  <w:noWrap w:val="0"/>
                  <w:vAlign w:val="center"/>
                </w:tcPr>
                <w:p w14:paraId="6BB96D67">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w:t>
                  </w:r>
                  <w:r>
                    <w:rPr>
                      <w:rFonts w:hint="eastAsia"/>
                      <w:color w:val="auto"/>
                      <w:kern w:val="0"/>
                      <w:sz w:val="18"/>
                      <w:szCs w:val="18"/>
                      <w:highlight w:val="none"/>
                      <w:lang w:val="en-US" w:eastAsia="zh-CN"/>
                    </w:rPr>
                    <w:t>755.76</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918.26</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w:t>
                  </w:r>
                  <w:r>
                    <w:rPr>
                      <w:rFonts w:hint="eastAsia"/>
                      <w:color w:val="auto"/>
                      <w:kern w:val="0"/>
                      <w:sz w:val="18"/>
                      <w:szCs w:val="18"/>
                      <w:highlight w:val="none"/>
                      <w:lang w:val="en-US" w:eastAsia="zh-CN"/>
                    </w:rPr>
                    <w:t>2</w:t>
                  </w:r>
                  <w:r>
                    <w:rPr>
                      <w:rFonts w:hint="eastAsia"/>
                      <w:color w:val="auto"/>
                      <w:kern w:val="0"/>
                      <w:sz w:val="18"/>
                      <w:szCs w:val="18"/>
                      <w:highlight w:val="none"/>
                    </w:rPr>
                    <w:t>层，高15.15m，框架结构。</w:t>
                  </w:r>
                </w:p>
              </w:tc>
              <w:tc>
                <w:tcPr>
                  <w:tcW w:w="478" w:type="pct"/>
                  <w:tcBorders>
                    <w:tl2br w:val="nil"/>
                    <w:tr2bl w:val="nil"/>
                  </w:tcBorders>
                  <w:noWrap w:val="0"/>
                  <w:vAlign w:val="center"/>
                </w:tcPr>
                <w:p w14:paraId="370431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4A1D58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42F1F33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14F9C6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8F047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5D67EE0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7#实验装置乙类厂房</w:t>
                  </w:r>
                </w:p>
              </w:tc>
              <w:tc>
                <w:tcPr>
                  <w:tcW w:w="2728" w:type="pct"/>
                  <w:gridSpan w:val="2"/>
                  <w:tcBorders>
                    <w:tl2br w:val="nil"/>
                    <w:tr2bl w:val="nil"/>
                  </w:tcBorders>
                  <w:noWrap w:val="0"/>
                  <w:vAlign w:val="center"/>
                </w:tcPr>
                <w:p w14:paraId="3588A540">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w:t>
                  </w:r>
                  <w:r>
                    <w:rPr>
                      <w:rFonts w:hint="eastAsia"/>
                      <w:color w:val="auto"/>
                      <w:kern w:val="0"/>
                      <w:sz w:val="18"/>
                      <w:szCs w:val="18"/>
                      <w:highlight w:val="none"/>
                      <w:lang w:val="en-US" w:eastAsia="zh-CN"/>
                    </w:rPr>
                    <w:t>764.44</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1094.92</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w:t>
                  </w:r>
                  <w:r>
                    <w:rPr>
                      <w:rFonts w:hint="eastAsia"/>
                      <w:color w:val="auto"/>
                      <w:kern w:val="0"/>
                      <w:sz w:val="18"/>
                      <w:szCs w:val="18"/>
                      <w:highlight w:val="none"/>
                      <w:lang w:val="en-US" w:eastAsia="zh-CN"/>
                    </w:rPr>
                    <w:t>2</w:t>
                  </w:r>
                  <w:r>
                    <w:rPr>
                      <w:rFonts w:hint="eastAsia"/>
                      <w:color w:val="auto"/>
                      <w:kern w:val="0"/>
                      <w:sz w:val="18"/>
                      <w:szCs w:val="18"/>
                      <w:highlight w:val="none"/>
                    </w:rPr>
                    <w:t>层，高15.15m，框架结构。</w:t>
                  </w:r>
                </w:p>
              </w:tc>
              <w:tc>
                <w:tcPr>
                  <w:tcW w:w="478" w:type="pct"/>
                  <w:tcBorders>
                    <w:tl2br w:val="nil"/>
                    <w:tr2bl w:val="nil"/>
                  </w:tcBorders>
                  <w:noWrap w:val="0"/>
                  <w:vAlign w:val="center"/>
                </w:tcPr>
                <w:p w14:paraId="0BCB0E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21F6F2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21170E6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7D44B1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AB9E79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051E32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8#实验装置乙类厂房</w:t>
                  </w:r>
                </w:p>
              </w:tc>
              <w:tc>
                <w:tcPr>
                  <w:tcW w:w="2728" w:type="pct"/>
                  <w:gridSpan w:val="2"/>
                  <w:tcBorders>
                    <w:tl2br w:val="nil"/>
                    <w:tr2bl w:val="nil"/>
                  </w:tcBorders>
                  <w:noWrap w:val="0"/>
                  <w:vAlign w:val="center"/>
                </w:tcPr>
                <w:p w14:paraId="19DC900D">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w:t>
                  </w:r>
                  <w:r>
                    <w:rPr>
                      <w:rFonts w:hint="eastAsia"/>
                      <w:color w:val="auto"/>
                      <w:kern w:val="0"/>
                      <w:sz w:val="18"/>
                      <w:szCs w:val="18"/>
                      <w:highlight w:val="none"/>
                      <w:lang w:val="en-US" w:eastAsia="zh-CN"/>
                    </w:rPr>
                    <w:t>755.76</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918.26</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w:t>
                  </w:r>
                  <w:r>
                    <w:rPr>
                      <w:rFonts w:hint="eastAsia"/>
                      <w:color w:val="auto"/>
                      <w:kern w:val="0"/>
                      <w:sz w:val="18"/>
                      <w:szCs w:val="18"/>
                      <w:highlight w:val="none"/>
                      <w:lang w:val="en-US" w:eastAsia="zh-CN"/>
                    </w:rPr>
                    <w:t>2</w:t>
                  </w:r>
                  <w:r>
                    <w:rPr>
                      <w:rFonts w:hint="eastAsia"/>
                      <w:color w:val="auto"/>
                      <w:kern w:val="0"/>
                      <w:sz w:val="18"/>
                      <w:szCs w:val="18"/>
                      <w:highlight w:val="none"/>
                    </w:rPr>
                    <w:t>层，高15.15m，框架结构。</w:t>
                  </w:r>
                </w:p>
              </w:tc>
              <w:tc>
                <w:tcPr>
                  <w:tcW w:w="478" w:type="pct"/>
                  <w:tcBorders>
                    <w:tl2br w:val="nil"/>
                    <w:tr2bl w:val="nil"/>
                  </w:tcBorders>
                  <w:noWrap w:val="0"/>
                  <w:vAlign w:val="center"/>
                </w:tcPr>
                <w:p w14:paraId="78CDAD6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264BC6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53CF2A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24F610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0B4507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6021F8B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9#实验装置甲类厂房</w:t>
                  </w:r>
                </w:p>
              </w:tc>
              <w:tc>
                <w:tcPr>
                  <w:tcW w:w="2728" w:type="pct"/>
                  <w:gridSpan w:val="2"/>
                  <w:tcBorders>
                    <w:tl2br w:val="nil"/>
                    <w:tr2bl w:val="nil"/>
                  </w:tcBorders>
                  <w:noWrap w:val="0"/>
                  <w:vAlign w:val="center"/>
                </w:tcPr>
                <w:p w14:paraId="65398E96">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占地面积1947.75m</w:t>
                  </w:r>
                  <w:r>
                    <w:rPr>
                      <w:rFonts w:hint="eastAsia"/>
                      <w:color w:val="auto"/>
                      <w:kern w:val="0"/>
                      <w:sz w:val="18"/>
                      <w:szCs w:val="18"/>
                      <w:highlight w:val="none"/>
                      <w:vertAlign w:val="superscript"/>
                    </w:rPr>
                    <w:t>2</w:t>
                  </w:r>
                  <w:r>
                    <w:rPr>
                      <w:rFonts w:hint="eastAsia"/>
                      <w:color w:val="auto"/>
                      <w:kern w:val="0"/>
                      <w:sz w:val="18"/>
                      <w:szCs w:val="18"/>
                      <w:highlight w:val="none"/>
                    </w:rPr>
                    <w:t>，建筑面积1947.75m</w:t>
                  </w:r>
                  <w:r>
                    <w:rPr>
                      <w:rFonts w:hint="eastAsia"/>
                      <w:color w:val="auto"/>
                      <w:kern w:val="0"/>
                      <w:sz w:val="18"/>
                      <w:szCs w:val="18"/>
                      <w:highlight w:val="none"/>
                      <w:vertAlign w:val="superscript"/>
                    </w:rPr>
                    <w:t>2</w:t>
                  </w:r>
                  <w:r>
                    <w:rPr>
                      <w:rFonts w:hint="eastAsia"/>
                      <w:color w:val="auto"/>
                      <w:kern w:val="0"/>
                      <w:sz w:val="18"/>
                      <w:szCs w:val="18"/>
                      <w:highlight w:val="none"/>
                    </w:rPr>
                    <w:t>，1层，高15.15m，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71086C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3D7A68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7415724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744198E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45372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5C596D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10#实验装置乙类厂房</w:t>
                  </w:r>
                </w:p>
              </w:tc>
              <w:tc>
                <w:tcPr>
                  <w:tcW w:w="2728" w:type="pct"/>
                  <w:gridSpan w:val="2"/>
                  <w:tcBorders>
                    <w:tl2br w:val="nil"/>
                    <w:tr2bl w:val="nil"/>
                  </w:tcBorders>
                  <w:noWrap w:val="0"/>
                  <w:vAlign w:val="center"/>
                </w:tcPr>
                <w:p w14:paraId="1E60F9A4">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占地面积1470m</w:t>
                  </w:r>
                  <w:r>
                    <w:rPr>
                      <w:rFonts w:hint="eastAsia"/>
                      <w:color w:val="auto"/>
                      <w:kern w:val="0"/>
                      <w:sz w:val="18"/>
                      <w:szCs w:val="18"/>
                      <w:highlight w:val="none"/>
                      <w:vertAlign w:val="superscript"/>
                    </w:rPr>
                    <w:t>2</w:t>
                  </w:r>
                  <w:r>
                    <w:rPr>
                      <w:rFonts w:hint="eastAsia"/>
                      <w:color w:val="auto"/>
                      <w:kern w:val="0"/>
                      <w:sz w:val="18"/>
                      <w:szCs w:val="18"/>
                      <w:highlight w:val="none"/>
                    </w:rPr>
                    <w:t>，建筑面积1470m</w:t>
                  </w:r>
                  <w:r>
                    <w:rPr>
                      <w:rFonts w:hint="eastAsia"/>
                      <w:color w:val="auto"/>
                      <w:kern w:val="0"/>
                      <w:sz w:val="18"/>
                      <w:szCs w:val="18"/>
                      <w:highlight w:val="none"/>
                      <w:vertAlign w:val="superscript"/>
                    </w:rPr>
                    <w:t>2</w:t>
                  </w:r>
                  <w:r>
                    <w:rPr>
                      <w:rFonts w:hint="eastAsia"/>
                      <w:color w:val="auto"/>
                      <w:kern w:val="0"/>
                      <w:sz w:val="18"/>
                      <w:szCs w:val="18"/>
                      <w:highlight w:val="none"/>
                    </w:rPr>
                    <w:t>，1层，高13.15m，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7B709CF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557FB3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3EBB53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8462B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697E5C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2CA3953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11#实验装置乙类厂房</w:t>
                  </w:r>
                </w:p>
              </w:tc>
              <w:tc>
                <w:tcPr>
                  <w:tcW w:w="2728" w:type="pct"/>
                  <w:gridSpan w:val="2"/>
                  <w:tcBorders>
                    <w:tl2br w:val="nil"/>
                    <w:tr2bl w:val="nil"/>
                  </w:tcBorders>
                  <w:noWrap w:val="0"/>
                  <w:vAlign w:val="center"/>
                </w:tcPr>
                <w:p w14:paraId="5243166B">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占地面积1947.75m</w:t>
                  </w:r>
                  <w:r>
                    <w:rPr>
                      <w:rFonts w:hint="eastAsia"/>
                      <w:color w:val="auto"/>
                      <w:kern w:val="0"/>
                      <w:sz w:val="18"/>
                      <w:szCs w:val="18"/>
                      <w:highlight w:val="none"/>
                      <w:vertAlign w:val="superscript"/>
                    </w:rPr>
                    <w:t>2</w:t>
                  </w:r>
                  <w:r>
                    <w:rPr>
                      <w:rFonts w:hint="eastAsia"/>
                      <w:color w:val="auto"/>
                      <w:kern w:val="0"/>
                      <w:sz w:val="18"/>
                      <w:szCs w:val="18"/>
                      <w:highlight w:val="none"/>
                    </w:rPr>
                    <w:t>，建筑面积1947.75m</w:t>
                  </w:r>
                  <w:r>
                    <w:rPr>
                      <w:rFonts w:hint="eastAsia"/>
                      <w:color w:val="auto"/>
                      <w:kern w:val="0"/>
                      <w:sz w:val="18"/>
                      <w:szCs w:val="18"/>
                      <w:highlight w:val="none"/>
                      <w:vertAlign w:val="superscript"/>
                    </w:rPr>
                    <w:t>2</w:t>
                  </w:r>
                  <w:r>
                    <w:rPr>
                      <w:rFonts w:hint="eastAsia"/>
                      <w:color w:val="auto"/>
                      <w:kern w:val="0"/>
                      <w:sz w:val="18"/>
                      <w:szCs w:val="18"/>
                      <w:highlight w:val="none"/>
                    </w:rPr>
                    <w:t>，1层，高13.15m，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5364E4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3A696B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0C136BD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16C04D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5F1F726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12#露天实验区</w:t>
                  </w:r>
                </w:p>
              </w:tc>
              <w:tc>
                <w:tcPr>
                  <w:tcW w:w="1298" w:type="pct"/>
                  <w:tcBorders>
                    <w:tl2br w:val="nil"/>
                    <w:tr2bl w:val="nil"/>
                  </w:tcBorders>
                  <w:noWrap w:val="0"/>
                  <w:vAlign w:val="center"/>
                </w:tcPr>
                <w:p w14:paraId="757EE485">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占地面积5151.5m</w:t>
                  </w:r>
                  <w:r>
                    <w:rPr>
                      <w:rFonts w:hint="eastAsia"/>
                      <w:color w:val="auto"/>
                      <w:kern w:val="0"/>
                      <w:sz w:val="18"/>
                      <w:szCs w:val="18"/>
                      <w:highlight w:val="none"/>
                      <w:vertAlign w:val="superscript"/>
                    </w:rPr>
                    <w:t>2</w:t>
                  </w:r>
                  <w:r>
                    <w:rPr>
                      <w:rFonts w:hint="eastAsia"/>
                      <w:color w:val="auto"/>
                      <w:kern w:val="0"/>
                      <w:sz w:val="18"/>
                      <w:szCs w:val="18"/>
                      <w:highlight w:val="none"/>
                    </w:rPr>
                    <w:t>。</w:t>
                  </w:r>
                </w:p>
              </w:tc>
              <w:tc>
                <w:tcPr>
                  <w:tcW w:w="1430" w:type="pct"/>
                  <w:vMerge w:val="restart"/>
                  <w:tcBorders>
                    <w:tl2br w:val="nil"/>
                    <w:tr2bl w:val="nil"/>
                  </w:tcBorders>
                  <w:noWrap w:val="0"/>
                  <w:vAlign w:val="center"/>
                </w:tcPr>
                <w:p w14:paraId="600F1211">
                  <w:pPr>
                    <w:adjustRightInd w:val="0"/>
                    <w:snapToGrid w:val="0"/>
                    <w:rPr>
                      <w:rFonts w:hint="eastAsia"/>
                      <w:color w:val="auto"/>
                      <w:kern w:val="0"/>
                      <w:sz w:val="18"/>
                      <w:szCs w:val="18"/>
                      <w:highlight w:val="none"/>
                    </w:rPr>
                  </w:pPr>
                  <w:r>
                    <w:rPr>
                      <w:rFonts w:hint="eastAsia" w:ascii="Times New Roman" w:hAnsi="Times New Roman" w:cs="Times New Roman"/>
                      <w:b w:val="0"/>
                      <w:bCs w:val="0"/>
                      <w:color w:val="auto"/>
                      <w:kern w:val="0"/>
                      <w:sz w:val="18"/>
                      <w:szCs w:val="18"/>
                      <w:highlight w:val="none"/>
                      <w:vertAlign w:val="baseline"/>
                      <w:lang w:val="en-US" w:eastAsia="zh-CN"/>
                    </w:rPr>
                    <w:t>根据入驻中试项目实际情况建设具体设施，本次工程仅规划预留相应用地。</w:t>
                  </w:r>
                </w:p>
              </w:tc>
              <w:tc>
                <w:tcPr>
                  <w:tcW w:w="478" w:type="pct"/>
                  <w:tcBorders>
                    <w:tl2br w:val="nil"/>
                    <w:tr2bl w:val="nil"/>
                  </w:tcBorders>
                  <w:noWrap w:val="0"/>
                  <w:vAlign w:val="center"/>
                </w:tcPr>
                <w:p w14:paraId="444DDB7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预留</w:t>
                  </w:r>
                </w:p>
              </w:tc>
            </w:tr>
            <w:tr w14:paraId="2B6558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23CEB6B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1D5FC6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6439B24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13#露天实验区</w:t>
                  </w:r>
                </w:p>
              </w:tc>
              <w:tc>
                <w:tcPr>
                  <w:tcW w:w="1298" w:type="pct"/>
                  <w:tcBorders>
                    <w:tl2br w:val="nil"/>
                    <w:tr2bl w:val="nil"/>
                  </w:tcBorders>
                  <w:noWrap w:val="0"/>
                  <w:vAlign w:val="center"/>
                </w:tcPr>
                <w:p w14:paraId="49495E07">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w:t>
                  </w:r>
                  <w:r>
                    <w:rPr>
                      <w:rFonts w:hint="eastAsia"/>
                      <w:color w:val="auto"/>
                      <w:kern w:val="0"/>
                      <w:sz w:val="18"/>
                      <w:szCs w:val="18"/>
                      <w:highlight w:val="none"/>
                      <w:lang w:val="en-US" w:eastAsia="zh-CN"/>
                    </w:rPr>
                    <w:t>2575.84</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w:t>
                  </w:r>
                </w:p>
              </w:tc>
              <w:tc>
                <w:tcPr>
                  <w:tcW w:w="1430" w:type="pct"/>
                  <w:vMerge w:val="continue"/>
                  <w:tcBorders>
                    <w:tl2br w:val="nil"/>
                    <w:tr2bl w:val="nil"/>
                  </w:tcBorders>
                  <w:noWrap w:val="0"/>
                  <w:vAlign w:val="center"/>
                </w:tcPr>
                <w:p w14:paraId="7A575729">
                  <w:pPr>
                    <w:adjustRightInd w:val="0"/>
                    <w:snapToGrid w:val="0"/>
                    <w:rPr>
                      <w:rFonts w:hint="eastAsia"/>
                      <w:color w:val="auto"/>
                      <w:kern w:val="0"/>
                      <w:sz w:val="18"/>
                      <w:szCs w:val="18"/>
                      <w:highlight w:val="none"/>
                    </w:rPr>
                  </w:pPr>
                </w:p>
              </w:tc>
              <w:tc>
                <w:tcPr>
                  <w:tcW w:w="478" w:type="pct"/>
                  <w:tcBorders>
                    <w:tl2br w:val="nil"/>
                    <w:tr2bl w:val="nil"/>
                  </w:tcBorders>
                  <w:noWrap w:val="0"/>
                  <w:vAlign w:val="center"/>
                </w:tcPr>
                <w:p w14:paraId="5DF330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预留</w:t>
                  </w:r>
                </w:p>
              </w:tc>
            </w:tr>
            <w:tr w14:paraId="6E1C2D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5CB784F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775AFD3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6F36B5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14#露天实验区</w:t>
                  </w:r>
                </w:p>
              </w:tc>
              <w:tc>
                <w:tcPr>
                  <w:tcW w:w="1298" w:type="pct"/>
                  <w:tcBorders>
                    <w:tl2br w:val="nil"/>
                    <w:tr2bl w:val="nil"/>
                  </w:tcBorders>
                  <w:noWrap w:val="0"/>
                  <w:vAlign w:val="center"/>
                </w:tcPr>
                <w:p w14:paraId="33816BB5">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w:t>
                  </w:r>
                  <w:r>
                    <w:rPr>
                      <w:rFonts w:hint="eastAsia"/>
                      <w:color w:val="auto"/>
                      <w:kern w:val="0"/>
                      <w:sz w:val="18"/>
                      <w:szCs w:val="18"/>
                      <w:highlight w:val="none"/>
                      <w:lang w:val="en-US" w:eastAsia="zh-CN"/>
                    </w:rPr>
                    <w:t>2575.84</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w:t>
                  </w:r>
                </w:p>
              </w:tc>
              <w:tc>
                <w:tcPr>
                  <w:tcW w:w="1430" w:type="pct"/>
                  <w:vMerge w:val="continue"/>
                  <w:tcBorders>
                    <w:tl2br w:val="nil"/>
                    <w:tr2bl w:val="nil"/>
                  </w:tcBorders>
                  <w:noWrap w:val="0"/>
                  <w:vAlign w:val="center"/>
                </w:tcPr>
                <w:p w14:paraId="4C7FE711">
                  <w:pPr>
                    <w:adjustRightInd w:val="0"/>
                    <w:snapToGrid w:val="0"/>
                    <w:rPr>
                      <w:rFonts w:hint="eastAsia"/>
                      <w:color w:val="auto"/>
                      <w:kern w:val="0"/>
                      <w:sz w:val="18"/>
                      <w:szCs w:val="18"/>
                      <w:highlight w:val="none"/>
                    </w:rPr>
                  </w:pPr>
                </w:p>
              </w:tc>
              <w:tc>
                <w:tcPr>
                  <w:tcW w:w="478" w:type="pct"/>
                  <w:tcBorders>
                    <w:tl2br w:val="nil"/>
                    <w:tr2bl w:val="nil"/>
                  </w:tcBorders>
                  <w:noWrap w:val="0"/>
                  <w:vAlign w:val="center"/>
                </w:tcPr>
                <w:p w14:paraId="7A7EA45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预留</w:t>
                  </w:r>
                </w:p>
              </w:tc>
            </w:tr>
            <w:tr w14:paraId="6FB62A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12FC2EA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1614A67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4F0D23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15#露天实验区</w:t>
                  </w:r>
                </w:p>
              </w:tc>
              <w:tc>
                <w:tcPr>
                  <w:tcW w:w="1298" w:type="pct"/>
                  <w:tcBorders>
                    <w:tl2br w:val="nil"/>
                    <w:tr2bl w:val="nil"/>
                  </w:tcBorders>
                  <w:noWrap w:val="0"/>
                  <w:vAlign w:val="center"/>
                </w:tcPr>
                <w:p w14:paraId="01EE5EE5">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占地面积1075m</w:t>
                  </w:r>
                  <w:r>
                    <w:rPr>
                      <w:rFonts w:hint="eastAsia"/>
                      <w:color w:val="auto"/>
                      <w:kern w:val="0"/>
                      <w:sz w:val="18"/>
                      <w:szCs w:val="18"/>
                      <w:highlight w:val="none"/>
                      <w:vertAlign w:val="superscript"/>
                    </w:rPr>
                    <w:t>2</w:t>
                  </w:r>
                  <w:r>
                    <w:rPr>
                      <w:rFonts w:hint="eastAsia"/>
                      <w:color w:val="auto"/>
                      <w:kern w:val="0"/>
                      <w:sz w:val="18"/>
                      <w:szCs w:val="18"/>
                      <w:highlight w:val="none"/>
                    </w:rPr>
                    <w:t>。</w:t>
                  </w:r>
                </w:p>
              </w:tc>
              <w:tc>
                <w:tcPr>
                  <w:tcW w:w="1430" w:type="pct"/>
                  <w:vMerge w:val="continue"/>
                  <w:tcBorders>
                    <w:tl2br w:val="nil"/>
                    <w:tr2bl w:val="nil"/>
                  </w:tcBorders>
                  <w:noWrap w:val="0"/>
                  <w:vAlign w:val="center"/>
                </w:tcPr>
                <w:p w14:paraId="023D80C4">
                  <w:pPr>
                    <w:adjustRightInd w:val="0"/>
                    <w:snapToGrid w:val="0"/>
                    <w:rPr>
                      <w:rFonts w:hint="eastAsia"/>
                      <w:color w:val="auto"/>
                      <w:kern w:val="0"/>
                      <w:sz w:val="18"/>
                      <w:szCs w:val="18"/>
                      <w:highlight w:val="none"/>
                    </w:rPr>
                  </w:pPr>
                </w:p>
              </w:tc>
              <w:tc>
                <w:tcPr>
                  <w:tcW w:w="478" w:type="pct"/>
                  <w:tcBorders>
                    <w:tl2br w:val="nil"/>
                    <w:tr2bl w:val="nil"/>
                  </w:tcBorders>
                  <w:noWrap w:val="0"/>
                  <w:vAlign w:val="center"/>
                </w:tcPr>
                <w:p w14:paraId="54AEE9E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预留</w:t>
                  </w:r>
                </w:p>
              </w:tc>
            </w:tr>
            <w:tr w14:paraId="26276F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77D2F66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979C3B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693EF2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基地外部管廊工程</w:t>
                  </w:r>
                </w:p>
              </w:tc>
              <w:tc>
                <w:tcPr>
                  <w:tcW w:w="2728" w:type="pct"/>
                  <w:gridSpan w:val="2"/>
                  <w:tcBorders>
                    <w:tl2br w:val="nil"/>
                    <w:tr2bl w:val="nil"/>
                  </w:tcBorders>
                  <w:noWrap w:val="0"/>
                  <w:vAlign w:val="center"/>
                </w:tcPr>
                <w:p w14:paraId="29AC31F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外部管廊工程全长215.5m，由两层构成。第一层铺设中压蒸汽管道、</w:t>
                  </w:r>
                  <w:r>
                    <w:rPr>
                      <w:rFonts w:hint="eastAsia" w:ascii="Times New Roman" w:hAnsi="Times New Roman" w:cs="Times New Roman"/>
                      <w:color w:val="auto"/>
                      <w:sz w:val="18"/>
                      <w:szCs w:val="18"/>
                      <w:highlight w:val="none"/>
                      <w:lang w:val="en-US" w:eastAsia="zh-CN"/>
                    </w:rPr>
                    <w:t>蒸汽凝液管道</w:t>
                  </w:r>
                  <w:r>
                    <w:rPr>
                      <w:rFonts w:hint="eastAsia" w:ascii="Times New Roman" w:hAnsi="Times New Roman" w:cs="Times New Roman"/>
                      <w:b w:val="0"/>
                      <w:bCs w:val="0"/>
                      <w:color w:val="auto"/>
                      <w:kern w:val="0"/>
                      <w:sz w:val="18"/>
                      <w:szCs w:val="18"/>
                      <w:highlight w:val="none"/>
                      <w:vertAlign w:val="baseline"/>
                      <w:lang w:val="en-US" w:eastAsia="zh-CN"/>
                    </w:rPr>
                    <w:t>、中试基地火炬废水管道和循环水排污管道4条管道；第二层铺设二氧化碳管线、富一氧化碳管线、氢气管线、仪表空气管线、工厂空气管线、低压氮气管线、中压氮气管线7条管道。</w:t>
                  </w:r>
                </w:p>
              </w:tc>
              <w:tc>
                <w:tcPr>
                  <w:tcW w:w="478" w:type="pct"/>
                  <w:tcBorders>
                    <w:tl2br w:val="nil"/>
                    <w:tr2bl w:val="nil"/>
                  </w:tcBorders>
                  <w:noWrap w:val="0"/>
                  <w:vAlign w:val="center"/>
                </w:tcPr>
                <w:p w14:paraId="12CBA8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66ACC5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74E123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restart"/>
                  <w:tcBorders>
                    <w:tl2br w:val="nil"/>
                    <w:tr2bl w:val="nil"/>
                  </w:tcBorders>
                  <w:noWrap w:val="0"/>
                  <w:vAlign w:val="center"/>
                </w:tcPr>
                <w:p w14:paraId="12AE7A9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二期工程</w:t>
                  </w:r>
                </w:p>
              </w:tc>
              <w:tc>
                <w:tcPr>
                  <w:tcW w:w="266" w:type="pct"/>
                  <w:vMerge w:val="restart"/>
                  <w:tcBorders>
                    <w:tl2br w:val="nil"/>
                    <w:tr2bl w:val="nil"/>
                  </w:tcBorders>
                  <w:noWrap w:val="0"/>
                  <w:vAlign w:val="center"/>
                </w:tcPr>
                <w:p w14:paraId="7F63EE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标准化厂房</w:t>
                  </w:r>
                </w:p>
              </w:tc>
              <w:tc>
                <w:tcPr>
                  <w:tcW w:w="992" w:type="pct"/>
                  <w:tcBorders>
                    <w:tl2br w:val="nil"/>
                    <w:tr2bl w:val="nil"/>
                  </w:tcBorders>
                  <w:noWrap w:val="0"/>
                  <w:vAlign w:val="center"/>
                </w:tcPr>
                <w:p w14:paraId="5F214B0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ascii="Times New Roman" w:hAnsi="Times New Roman" w:cs="Times New Roman"/>
                      <w:b w:val="0"/>
                      <w:bCs w:val="0"/>
                      <w:color w:val="auto"/>
                      <w:kern w:val="0"/>
                      <w:sz w:val="18"/>
                      <w:szCs w:val="18"/>
                      <w:highlight w:val="none"/>
                      <w:vertAlign w:val="baseline"/>
                      <w:lang w:val="en-US" w:eastAsia="zh-CN"/>
                    </w:rPr>
                    <w:t>丙类厂房1</w:t>
                  </w:r>
                </w:p>
              </w:tc>
              <w:tc>
                <w:tcPr>
                  <w:tcW w:w="2728" w:type="pct"/>
                  <w:gridSpan w:val="2"/>
                  <w:tcBorders>
                    <w:tl2br w:val="nil"/>
                    <w:tr2bl w:val="nil"/>
                  </w:tcBorders>
                  <w:noWrap w:val="0"/>
                  <w:vAlign w:val="center"/>
                </w:tcPr>
                <w:p w14:paraId="4F638F2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占地面积2475m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，建筑面积4950m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，2层，高14.15m，框架结构。</w:t>
                  </w:r>
                </w:p>
              </w:tc>
              <w:tc>
                <w:tcPr>
                  <w:tcW w:w="478" w:type="pct"/>
                  <w:tcBorders>
                    <w:tl2br w:val="nil"/>
                    <w:tr2bl w:val="nil"/>
                  </w:tcBorders>
                  <w:noWrap w:val="0"/>
                  <w:vAlign w:val="center"/>
                </w:tcPr>
                <w:p w14:paraId="3093B2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5DF71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007575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F5024E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0B8665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363C3F9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ascii="Times New Roman" w:hAnsi="Times New Roman" w:cs="Times New Roman"/>
                      <w:b w:val="0"/>
                      <w:bCs w:val="0"/>
                      <w:color w:val="auto"/>
                      <w:kern w:val="0"/>
                      <w:sz w:val="18"/>
                      <w:szCs w:val="18"/>
                      <w:highlight w:val="none"/>
                      <w:vertAlign w:val="baseline"/>
                      <w:lang w:val="en-US" w:eastAsia="zh-CN"/>
                    </w:rPr>
                    <w:t>丙类厂房2</w:t>
                  </w:r>
                </w:p>
              </w:tc>
              <w:tc>
                <w:tcPr>
                  <w:tcW w:w="2728" w:type="pct"/>
                  <w:gridSpan w:val="2"/>
                  <w:tcBorders>
                    <w:tl2br w:val="nil"/>
                    <w:tr2bl w:val="nil"/>
                  </w:tcBorders>
                  <w:noWrap w:val="0"/>
                  <w:vAlign w:val="center"/>
                </w:tcPr>
                <w:p w14:paraId="4237E22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占地面积6072m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，建筑面积12144m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，2层，高14.15m，框架结构。</w:t>
                  </w:r>
                </w:p>
              </w:tc>
              <w:tc>
                <w:tcPr>
                  <w:tcW w:w="478" w:type="pct"/>
                  <w:tcBorders>
                    <w:tl2br w:val="nil"/>
                    <w:tr2bl w:val="nil"/>
                  </w:tcBorders>
                  <w:noWrap w:val="0"/>
                  <w:vAlign w:val="center"/>
                </w:tcPr>
                <w:p w14:paraId="640AD14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20A59F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4ABB10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24B1B10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5AF6393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723449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ascii="Times New Roman" w:hAnsi="Times New Roman" w:cs="Times New Roman"/>
                      <w:b w:val="0"/>
                      <w:bCs w:val="0"/>
                      <w:color w:val="auto"/>
                      <w:kern w:val="0"/>
                      <w:sz w:val="18"/>
                      <w:szCs w:val="18"/>
                      <w:highlight w:val="none"/>
                      <w:vertAlign w:val="baseline"/>
                      <w:lang w:val="en-US" w:eastAsia="zh-CN"/>
                    </w:rPr>
                    <w:t>丙类厂房3</w:t>
                  </w:r>
                </w:p>
              </w:tc>
              <w:tc>
                <w:tcPr>
                  <w:tcW w:w="2728" w:type="pct"/>
                  <w:gridSpan w:val="2"/>
                  <w:tcBorders>
                    <w:tl2br w:val="nil"/>
                    <w:tr2bl w:val="nil"/>
                  </w:tcBorders>
                  <w:noWrap w:val="0"/>
                  <w:vAlign w:val="center"/>
                </w:tcPr>
                <w:p w14:paraId="57B617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占地面积4521m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，建筑面积9042m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，2层，高14.15m，框架结构。</w:t>
                  </w:r>
                </w:p>
              </w:tc>
              <w:tc>
                <w:tcPr>
                  <w:tcW w:w="478" w:type="pct"/>
                  <w:tcBorders>
                    <w:tl2br w:val="nil"/>
                    <w:tr2bl w:val="nil"/>
                  </w:tcBorders>
                  <w:noWrap w:val="0"/>
                  <w:vAlign w:val="center"/>
                </w:tcPr>
                <w:p w14:paraId="76C43B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6565E0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restart"/>
                  <w:tcBorders>
                    <w:tl2br w:val="nil"/>
                    <w:tr2bl w:val="nil"/>
                  </w:tcBorders>
                  <w:noWrap w:val="0"/>
                  <w:vAlign w:val="center"/>
                </w:tcPr>
                <w:p w14:paraId="684430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储运工程</w:t>
                  </w:r>
                </w:p>
              </w:tc>
              <w:tc>
                <w:tcPr>
                  <w:tcW w:w="266" w:type="pct"/>
                  <w:vMerge w:val="restart"/>
                  <w:tcBorders>
                    <w:tl2br w:val="nil"/>
                    <w:tr2bl w:val="nil"/>
                  </w:tcBorders>
                  <w:noWrap w:val="0"/>
                  <w:vAlign w:val="center"/>
                </w:tcPr>
                <w:p w14:paraId="1450856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一期工程</w:t>
                  </w:r>
                </w:p>
              </w:tc>
              <w:tc>
                <w:tcPr>
                  <w:tcW w:w="266" w:type="pct"/>
                  <w:vMerge w:val="restart"/>
                  <w:tcBorders>
                    <w:tl2br w:val="nil"/>
                    <w:tr2bl w:val="nil"/>
                  </w:tcBorders>
                  <w:noWrap w:val="0"/>
                  <w:vAlign w:val="center"/>
                </w:tcPr>
                <w:p w14:paraId="38C0922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仓库</w:t>
                  </w:r>
                </w:p>
              </w:tc>
              <w:tc>
                <w:tcPr>
                  <w:tcW w:w="992" w:type="pct"/>
                  <w:tcBorders>
                    <w:tl2br w:val="nil"/>
                    <w:tr2bl w:val="nil"/>
                  </w:tcBorders>
                  <w:noWrap w:val="0"/>
                  <w:vAlign w:val="center"/>
                </w:tcPr>
                <w:p w14:paraId="1F634CE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ascii="Times New Roman" w:hAnsi="Times New Roman" w:cs="Times New Roman"/>
                      <w:b w:val="0"/>
                      <w:bCs w:val="0"/>
                      <w:color w:val="auto"/>
                      <w:kern w:val="0"/>
                      <w:sz w:val="18"/>
                      <w:szCs w:val="18"/>
                      <w:highlight w:val="none"/>
                      <w:vertAlign w:val="baseline"/>
                      <w:lang w:val="en-US" w:eastAsia="zh-CN"/>
                    </w:rPr>
                    <w:t>甲类仓库</w:t>
                  </w:r>
                </w:p>
              </w:tc>
              <w:tc>
                <w:tcPr>
                  <w:tcW w:w="2728" w:type="pct"/>
                  <w:gridSpan w:val="2"/>
                  <w:tcBorders>
                    <w:tl2br w:val="nil"/>
                    <w:tr2bl w:val="nil"/>
                  </w:tcBorders>
                  <w:noWrap w:val="0"/>
                  <w:vAlign w:val="center"/>
                </w:tcPr>
                <w:p w14:paraId="7A14499D">
                  <w:pPr>
                    <w:adjustRightInd w:val="0"/>
                    <w:snapToGrid w:val="0"/>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w:t>
                  </w:r>
                  <w:r>
                    <w:rPr>
                      <w:rFonts w:hint="eastAsia"/>
                      <w:color w:val="auto"/>
                      <w:kern w:val="0"/>
                      <w:sz w:val="18"/>
                      <w:szCs w:val="18"/>
                      <w:highlight w:val="none"/>
                      <w:lang w:val="en-US" w:eastAsia="zh-CN"/>
                    </w:rPr>
                    <w:t>461.31</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461.31</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，1层，高8.</w:t>
                  </w:r>
                  <w:r>
                    <w:rPr>
                      <w:rFonts w:hint="eastAsia"/>
                      <w:color w:val="auto"/>
                      <w:kern w:val="0"/>
                      <w:sz w:val="18"/>
                      <w:szCs w:val="18"/>
                      <w:highlight w:val="none"/>
                      <w:lang w:val="en-US" w:eastAsia="zh-CN"/>
                    </w:rPr>
                    <w:t>3</w:t>
                  </w:r>
                  <w:r>
                    <w:rPr>
                      <w:rFonts w:hint="eastAsia"/>
                      <w:color w:val="auto"/>
                      <w:kern w:val="0"/>
                      <w:sz w:val="18"/>
                      <w:szCs w:val="18"/>
                      <w:highlight w:val="none"/>
                    </w:rPr>
                    <w:t>m，框架结构。</w:t>
                  </w:r>
                </w:p>
              </w:tc>
              <w:tc>
                <w:tcPr>
                  <w:tcW w:w="478" w:type="pct"/>
                  <w:tcBorders>
                    <w:tl2br w:val="nil"/>
                    <w:tr2bl w:val="nil"/>
                  </w:tcBorders>
                  <w:noWrap w:val="0"/>
                  <w:vAlign w:val="center"/>
                </w:tcPr>
                <w:p w14:paraId="421948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4B8AA7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741E99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658398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6E1175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3F349D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ascii="Times New Roman" w:hAnsi="Times New Roman" w:cs="Times New Roman"/>
                      <w:b w:val="0"/>
                      <w:bCs w:val="0"/>
                      <w:color w:val="auto"/>
                      <w:kern w:val="0"/>
                      <w:sz w:val="18"/>
                      <w:szCs w:val="18"/>
                      <w:highlight w:val="none"/>
                      <w:vertAlign w:val="baseline"/>
                      <w:lang w:val="en-US" w:eastAsia="zh-CN"/>
                    </w:rPr>
                    <w:t>丙类仓库</w:t>
                  </w:r>
                </w:p>
              </w:tc>
              <w:tc>
                <w:tcPr>
                  <w:tcW w:w="2728" w:type="pct"/>
                  <w:gridSpan w:val="2"/>
                  <w:tcBorders>
                    <w:tl2br w:val="nil"/>
                    <w:tr2bl w:val="nil"/>
                  </w:tcBorders>
                  <w:noWrap w:val="0"/>
                  <w:vAlign w:val="center"/>
                </w:tcPr>
                <w:p w14:paraId="62EC2005">
                  <w:pPr>
                    <w:adjustRightInd w:val="0"/>
                    <w:snapToGrid w:val="0"/>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占地面积1369m</w:t>
                  </w:r>
                  <w:r>
                    <w:rPr>
                      <w:rFonts w:hint="eastAsia"/>
                      <w:color w:val="auto"/>
                      <w:kern w:val="0"/>
                      <w:sz w:val="18"/>
                      <w:szCs w:val="18"/>
                      <w:highlight w:val="none"/>
                      <w:vertAlign w:val="superscript"/>
                    </w:rPr>
                    <w:t>2</w:t>
                  </w:r>
                  <w:r>
                    <w:rPr>
                      <w:rFonts w:hint="eastAsia"/>
                      <w:color w:val="auto"/>
                      <w:kern w:val="0"/>
                      <w:sz w:val="18"/>
                      <w:szCs w:val="18"/>
                      <w:highlight w:val="none"/>
                    </w:rPr>
                    <w:t>，建筑面积1369m</w:t>
                  </w:r>
                  <w:r>
                    <w:rPr>
                      <w:rFonts w:hint="eastAsia"/>
                      <w:color w:val="auto"/>
                      <w:kern w:val="0"/>
                      <w:sz w:val="18"/>
                      <w:szCs w:val="18"/>
                      <w:highlight w:val="none"/>
                      <w:vertAlign w:val="superscript"/>
                    </w:rPr>
                    <w:t>2</w:t>
                  </w:r>
                  <w:r>
                    <w:rPr>
                      <w:rFonts w:hint="eastAsia"/>
                      <w:color w:val="auto"/>
                      <w:kern w:val="0"/>
                      <w:sz w:val="18"/>
                      <w:szCs w:val="18"/>
                      <w:highlight w:val="none"/>
                    </w:rPr>
                    <w:t>，1层，高8.</w:t>
                  </w:r>
                  <w:r>
                    <w:rPr>
                      <w:rFonts w:hint="eastAsia"/>
                      <w:color w:val="auto"/>
                      <w:kern w:val="0"/>
                      <w:sz w:val="18"/>
                      <w:szCs w:val="18"/>
                      <w:highlight w:val="none"/>
                      <w:lang w:val="en-US" w:eastAsia="zh-CN"/>
                    </w:rPr>
                    <w:t>3</w:t>
                  </w:r>
                  <w:r>
                    <w:rPr>
                      <w:rFonts w:hint="eastAsia"/>
                      <w:color w:val="auto"/>
                      <w:kern w:val="0"/>
                      <w:sz w:val="18"/>
                      <w:szCs w:val="18"/>
                      <w:highlight w:val="none"/>
                    </w:rPr>
                    <w:t>m，框架结构。</w:t>
                  </w:r>
                </w:p>
              </w:tc>
              <w:tc>
                <w:tcPr>
                  <w:tcW w:w="478" w:type="pct"/>
                  <w:tcBorders>
                    <w:tl2br w:val="nil"/>
                    <w:tr2bl w:val="nil"/>
                  </w:tcBorders>
                  <w:noWrap w:val="0"/>
                  <w:vAlign w:val="center"/>
                </w:tcPr>
                <w:p w14:paraId="3787B65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412F2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1EF04F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E59F1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7A90CB1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20F8FD9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ascii="Times New Roman" w:hAnsi="Times New Roman" w:cs="Times New Roman"/>
                      <w:b w:val="0"/>
                      <w:bCs w:val="0"/>
                      <w:color w:val="auto"/>
                      <w:kern w:val="0"/>
                      <w:sz w:val="18"/>
                      <w:szCs w:val="18"/>
                      <w:highlight w:val="none"/>
                      <w:vertAlign w:val="baseline"/>
                      <w:lang w:val="en-US" w:eastAsia="zh-CN"/>
                    </w:rPr>
                    <w:t>乙类仓库</w:t>
                  </w:r>
                </w:p>
              </w:tc>
              <w:tc>
                <w:tcPr>
                  <w:tcW w:w="2728" w:type="pct"/>
                  <w:gridSpan w:val="2"/>
                  <w:tcBorders>
                    <w:tl2br w:val="nil"/>
                    <w:tr2bl w:val="nil"/>
                  </w:tcBorders>
                  <w:noWrap w:val="0"/>
                  <w:vAlign w:val="center"/>
                </w:tcPr>
                <w:p w14:paraId="385B850A">
                  <w:pPr>
                    <w:adjustRightInd w:val="0"/>
                    <w:snapToGrid w:val="0"/>
                    <w:rPr>
                      <w:rFonts w:hint="eastAsia"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w:t>
                  </w:r>
                  <w:r>
                    <w:rPr>
                      <w:rFonts w:hint="eastAsia"/>
                      <w:color w:val="auto"/>
                      <w:kern w:val="0"/>
                      <w:sz w:val="18"/>
                      <w:szCs w:val="18"/>
                      <w:highlight w:val="none"/>
                      <w:lang w:val="en-US" w:eastAsia="zh-CN"/>
                    </w:rPr>
                    <w:t>1960</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1960</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，1层，高8.</w:t>
                  </w:r>
                  <w:r>
                    <w:rPr>
                      <w:rFonts w:hint="eastAsia"/>
                      <w:color w:val="auto"/>
                      <w:kern w:val="0"/>
                      <w:sz w:val="18"/>
                      <w:szCs w:val="18"/>
                      <w:highlight w:val="none"/>
                      <w:lang w:val="en-US" w:eastAsia="zh-CN"/>
                    </w:rPr>
                    <w:t>3</w:t>
                  </w:r>
                  <w:r>
                    <w:rPr>
                      <w:rFonts w:hint="eastAsia"/>
                      <w:color w:val="auto"/>
                      <w:kern w:val="0"/>
                      <w:sz w:val="18"/>
                      <w:szCs w:val="18"/>
                      <w:highlight w:val="none"/>
                    </w:rPr>
                    <w:t>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14467B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0AADD8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266" w:type="pct"/>
                  <w:vMerge w:val="continue"/>
                  <w:tcBorders>
                    <w:tl2br w:val="nil"/>
                    <w:tr2bl w:val="nil"/>
                  </w:tcBorders>
                  <w:noWrap w:val="0"/>
                  <w:vAlign w:val="center"/>
                </w:tcPr>
                <w:p w14:paraId="5F4FE20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680BF94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62D8127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p>
              </w:tc>
              <w:tc>
                <w:tcPr>
                  <w:tcW w:w="992" w:type="pct"/>
                  <w:tcBorders>
                    <w:tl2br w:val="nil"/>
                    <w:tr2bl w:val="nil"/>
                  </w:tcBorders>
                  <w:noWrap w:val="0"/>
                  <w:vAlign w:val="center"/>
                </w:tcPr>
                <w:p w14:paraId="52FE243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危废库</w:t>
                  </w:r>
                </w:p>
              </w:tc>
              <w:tc>
                <w:tcPr>
                  <w:tcW w:w="2728" w:type="pct"/>
                  <w:gridSpan w:val="2"/>
                  <w:tcBorders>
                    <w:tl2br w:val="nil"/>
                    <w:tr2bl w:val="nil"/>
                  </w:tcBorders>
                  <w:noWrap w:val="0"/>
                  <w:vAlign w:val="center"/>
                </w:tcPr>
                <w:p w14:paraId="5977393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占地面积278.31m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，建筑面积278.31m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，1层，高8.3m，框架结构。用于贮存后续入驻基地的中试项目产生的危险废物。</w:t>
                  </w:r>
                  <w:r>
                    <w:rPr>
                      <w:rFonts w:hint="eastAsia"/>
                      <w:b w:val="0"/>
                      <w:bCs w:val="0"/>
                      <w:color w:val="auto"/>
                      <w:sz w:val="18"/>
                      <w:szCs w:val="18"/>
                      <w:highlight w:val="none"/>
                      <w:lang w:val="en-US" w:eastAsia="zh-CN"/>
                    </w:rPr>
                    <w:t>届时各类危废分区贮存，拟最大贮存量220t。</w:t>
                  </w:r>
                </w:p>
              </w:tc>
              <w:tc>
                <w:tcPr>
                  <w:tcW w:w="478" w:type="pct"/>
                  <w:tcBorders>
                    <w:tl2br w:val="nil"/>
                    <w:tr2bl w:val="nil"/>
                  </w:tcBorders>
                  <w:noWrap w:val="0"/>
                  <w:vAlign w:val="center"/>
                </w:tcPr>
                <w:p w14:paraId="3CC3942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21C2E3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66" w:type="pct"/>
                  <w:vMerge w:val="continue"/>
                  <w:tcBorders>
                    <w:tl2br w:val="nil"/>
                    <w:tr2bl w:val="nil"/>
                  </w:tcBorders>
                  <w:noWrap w:val="0"/>
                  <w:vAlign w:val="center"/>
                </w:tcPr>
                <w:p w14:paraId="35A48E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1E1D10B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7509F5A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预留罐区</w:t>
                  </w:r>
                </w:p>
              </w:tc>
              <w:tc>
                <w:tcPr>
                  <w:tcW w:w="2728" w:type="pct"/>
                  <w:gridSpan w:val="2"/>
                  <w:tcBorders>
                    <w:tl2br w:val="nil"/>
                    <w:tr2bl w:val="nil"/>
                  </w:tcBorders>
                  <w:noWrap w:val="0"/>
                  <w:vAlign w:val="center"/>
                </w:tcPr>
                <w:p w14:paraId="1D18BF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预留罐区占地面积1233.35m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，本次工程不涉及储罐安装，后续根据入驻中试项目需要设置对应物料储罐。</w:t>
                  </w:r>
                </w:p>
              </w:tc>
              <w:tc>
                <w:tcPr>
                  <w:tcW w:w="478" w:type="pct"/>
                  <w:tcBorders>
                    <w:tl2br w:val="nil"/>
                    <w:tr2bl w:val="nil"/>
                  </w:tcBorders>
                  <w:noWrap w:val="0"/>
                  <w:vAlign w:val="center"/>
                </w:tcPr>
                <w:p w14:paraId="21ED185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预留</w:t>
                  </w:r>
                </w:p>
              </w:tc>
            </w:tr>
            <w:tr w14:paraId="6BEE1E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restart"/>
                  <w:tcBorders>
                    <w:tl2br w:val="nil"/>
                    <w:tr2bl w:val="nil"/>
                  </w:tcBorders>
                  <w:noWrap w:val="0"/>
                  <w:vAlign w:val="center"/>
                </w:tcPr>
                <w:p w14:paraId="277D451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公用工程</w:t>
                  </w:r>
                </w:p>
              </w:tc>
              <w:tc>
                <w:tcPr>
                  <w:tcW w:w="266" w:type="pct"/>
                  <w:vMerge w:val="restart"/>
                  <w:tcBorders>
                    <w:tl2br w:val="nil"/>
                    <w:tr2bl w:val="nil"/>
                  </w:tcBorders>
                  <w:noWrap w:val="0"/>
                  <w:vAlign w:val="center"/>
                </w:tcPr>
                <w:p w14:paraId="5E66E25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一期工程</w:t>
                  </w:r>
                </w:p>
              </w:tc>
              <w:tc>
                <w:tcPr>
                  <w:tcW w:w="1259" w:type="pct"/>
                  <w:gridSpan w:val="2"/>
                  <w:tcBorders>
                    <w:tl2br w:val="nil"/>
                    <w:tr2bl w:val="nil"/>
                  </w:tcBorders>
                  <w:noWrap w:val="0"/>
                  <w:vAlign w:val="center"/>
                </w:tcPr>
                <w:p w14:paraId="6845D1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变电所</w:t>
                  </w:r>
                </w:p>
              </w:tc>
              <w:tc>
                <w:tcPr>
                  <w:tcW w:w="2728" w:type="pct"/>
                  <w:gridSpan w:val="2"/>
                  <w:tcBorders>
                    <w:tl2br w:val="nil"/>
                    <w:tr2bl w:val="nil"/>
                  </w:tcBorders>
                  <w:noWrap w:val="0"/>
                  <w:vAlign w:val="center"/>
                </w:tcPr>
                <w:p w14:paraId="5F36DF54">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w:t>
                  </w:r>
                  <w:r>
                    <w:rPr>
                      <w:rFonts w:hint="eastAsia"/>
                      <w:color w:val="auto"/>
                      <w:kern w:val="0"/>
                      <w:sz w:val="18"/>
                      <w:szCs w:val="18"/>
                      <w:highlight w:val="none"/>
                      <w:lang w:val="en-US" w:eastAsia="zh-CN"/>
                    </w:rPr>
                    <w:t>774.56</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774.56</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，1层，高4.8m，框架结构。</w:t>
                  </w:r>
                </w:p>
              </w:tc>
              <w:tc>
                <w:tcPr>
                  <w:tcW w:w="478" w:type="pct"/>
                  <w:tcBorders>
                    <w:tl2br w:val="nil"/>
                    <w:tr2bl w:val="nil"/>
                  </w:tcBorders>
                  <w:noWrap w:val="0"/>
                  <w:vAlign w:val="center"/>
                </w:tcPr>
                <w:p w14:paraId="6DDD167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3686FF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5668149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95238C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38410F2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空压站</w:t>
                  </w:r>
                </w:p>
              </w:tc>
              <w:tc>
                <w:tcPr>
                  <w:tcW w:w="2728" w:type="pct"/>
                  <w:gridSpan w:val="2"/>
                  <w:tcBorders>
                    <w:tl2br w:val="nil"/>
                    <w:tr2bl w:val="nil"/>
                  </w:tcBorders>
                  <w:noWrap w:val="0"/>
                  <w:vAlign w:val="center"/>
                </w:tcPr>
                <w:p w14:paraId="0297E29F">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w:t>
                  </w:r>
                  <w:r>
                    <w:rPr>
                      <w:rFonts w:hint="eastAsia"/>
                      <w:color w:val="auto"/>
                      <w:kern w:val="0"/>
                      <w:sz w:val="18"/>
                      <w:szCs w:val="18"/>
                      <w:highlight w:val="none"/>
                      <w:lang w:val="en-US" w:eastAsia="zh-CN"/>
                    </w:rPr>
                    <w:t>300.70</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300.7</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，1层，高</w:t>
                  </w:r>
                  <w:r>
                    <w:rPr>
                      <w:rFonts w:hint="eastAsia"/>
                      <w:color w:val="auto"/>
                      <w:kern w:val="0"/>
                      <w:sz w:val="18"/>
                      <w:szCs w:val="18"/>
                      <w:highlight w:val="none"/>
                      <w:lang w:val="en-US" w:eastAsia="zh-CN"/>
                    </w:rPr>
                    <w:t>9.60</w:t>
                  </w:r>
                  <w:r>
                    <w:rPr>
                      <w:rFonts w:hint="eastAsia"/>
                      <w:color w:val="auto"/>
                      <w:kern w:val="0"/>
                      <w:sz w:val="18"/>
                      <w:szCs w:val="18"/>
                      <w:highlight w:val="none"/>
                    </w:rPr>
                    <w:t>m，</w:t>
                  </w:r>
                  <w:r>
                    <w:rPr>
                      <w:rFonts w:hint="eastAsia"/>
                      <w:color w:val="auto"/>
                      <w:kern w:val="0"/>
                      <w:sz w:val="18"/>
                      <w:szCs w:val="18"/>
                      <w:highlight w:val="none"/>
                      <w:lang w:val="en-US" w:eastAsia="zh-CN"/>
                    </w:rPr>
                    <w:t>排架</w:t>
                  </w:r>
                  <w:r>
                    <w:rPr>
                      <w:rFonts w:hint="eastAsia"/>
                      <w:color w:val="auto"/>
                      <w:kern w:val="0"/>
                      <w:sz w:val="18"/>
                      <w:szCs w:val="18"/>
                      <w:highlight w:val="none"/>
                    </w:rPr>
                    <w:t>结构。</w:t>
                  </w:r>
                </w:p>
              </w:tc>
              <w:tc>
                <w:tcPr>
                  <w:tcW w:w="478" w:type="pct"/>
                  <w:tcBorders>
                    <w:tl2br w:val="nil"/>
                    <w:tr2bl w:val="nil"/>
                  </w:tcBorders>
                  <w:noWrap w:val="0"/>
                  <w:vAlign w:val="center"/>
                </w:tcPr>
                <w:p w14:paraId="46ED08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3738A4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05BA5B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515230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07CD1B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消防泵房</w:t>
                  </w:r>
                </w:p>
              </w:tc>
              <w:tc>
                <w:tcPr>
                  <w:tcW w:w="2728" w:type="pct"/>
                  <w:gridSpan w:val="2"/>
                  <w:tcBorders>
                    <w:tl2br w:val="nil"/>
                    <w:tr2bl w:val="nil"/>
                  </w:tcBorders>
                  <w:noWrap w:val="0"/>
                  <w:vAlign w:val="center"/>
                </w:tcPr>
                <w:p w14:paraId="170B76B8">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bidi="ar-SA"/>
                    </w:rPr>
                  </w:pPr>
                  <w:r>
                    <w:rPr>
                      <w:rFonts w:hint="eastAsia"/>
                      <w:color w:val="auto"/>
                      <w:kern w:val="0"/>
                      <w:sz w:val="18"/>
                      <w:szCs w:val="18"/>
                      <w:highlight w:val="none"/>
                    </w:rPr>
                    <w:t>占地面积</w:t>
                  </w:r>
                  <w:r>
                    <w:rPr>
                      <w:rFonts w:hint="eastAsia"/>
                      <w:color w:val="auto"/>
                      <w:kern w:val="0"/>
                      <w:sz w:val="18"/>
                      <w:szCs w:val="18"/>
                      <w:highlight w:val="none"/>
                      <w:lang w:val="en-US" w:eastAsia="zh-CN"/>
                    </w:rPr>
                    <w:t>209.09</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288.54</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，1层，高</w:t>
                  </w:r>
                  <w:r>
                    <w:rPr>
                      <w:rFonts w:hint="eastAsia"/>
                      <w:color w:val="auto"/>
                      <w:kern w:val="0"/>
                      <w:sz w:val="18"/>
                      <w:szCs w:val="18"/>
                      <w:highlight w:val="none"/>
                      <w:lang w:val="en-US" w:eastAsia="zh-CN"/>
                    </w:rPr>
                    <w:t>9.40</w:t>
                  </w:r>
                  <w:r>
                    <w:rPr>
                      <w:rFonts w:hint="eastAsia"/>
                      <w:color w:val="auto"/>
                      <w:kern w:val="0"/>
                      <w:sz w:val="18"/>
                      <w:szCs w:val="18"/>
                      <w:highlight w:val="none"/>
                    </w:rPr>
                    <w:t>m，框架结构。设置消防泵2台。</w:t>
                  </w:r>
                </w:p>
              </w:tc>
              <w:tc>
                <w:tcPr>
                  <w:tcW w:w="478" w:type="pct"/>
                  <w:tcBorders>
                    <w:tl2br w:val="nil"/>
                    <w:tr2bl w:val="nil"/>
                  </w:tcBorders>
                  <w:noWrap w:val="0"/>
                  <w:vAlign w:val="center"/>
                </w:tcPr>
                <w:p w14:paraId="25059A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176D72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2161C9B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1180CD4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6F4091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消防水池</w:t>
                  </w:r>
                </w:p>
              </w:tc>
              <w:tc>
                <w:tcPr>
                  <w:tcW w:w="2728" w:type="pct"/>
                  <w:gridSpan w:val="2"/>
                  <w:tcBorders>
                    <w:tl2br w:val="nil"/>
                    <w:tr2bl w:val="nil"/>
                  </w:tcBorders>
                  <w:noWrap w:val="0"/>
                  <w:vAlign w:val="center"/>
                </w:tcPr>
                <w:p w14:paraId="5A7E038F">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w:t>
                  </w:r>
                  <w:r>
                    <w:rPr>
                      <w:rFonts w:hint="eastAsia"/>
                      <w:color w:val="auto"/>
                      <w:kern w:val="0"/>
                      <w:sz w:val="18"/>
                      <w:szCs w:val="18"/>
                      <w:highlight w:val="none"/>
                      <w:lang w:val="en-US" w:eastAsia="zh-CN"/>
                    </w:rPr>
                    <w:t>800</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，有效容积990m</w:t>
                  </w:r>
                  <w:r>
                    <w:rPr>
                      <w:rFonts w:hint="eastAsia"/>
                      <w:color w:val="auto"/>
                      <w:kern w:val="0"/>
                      <w:sz w:val="18"/>
                      <w:szCs w:val="18"/>
                      <w:highlight w:val="none"/>
                      <w:vertAlign w:val="superscript"/>
                    </w:rPr>
                    <w:t>3</w:t>
                  </w:r>
                  <w:r>
                    <w:rPr>
                      <w:rFonts w:hint="eastAsia"/>
                      <w:color w:val="auto"/>
                      <w:kern w:val="0"/>
                      <w:sz w:val="18"/>
                      <w:szCs w:val="18"/>
                      <w:highlight w:val="none"/>
                    </w:rPr>
                    <w:t>。</w:t>
                  </w:r>
                </w:p>
              </w:tc>
              <w:tc>
                <w:tcPr>
                  <w:tcW w:w="478" w:type="pct"/>
                  <w:tcBorders>
                    <w:tl2br w:val="nil"/>
                    <w:tr2bl w:val="nil"/>
                  </w:tcBorders>
                  <w:noWrap w:val="0"/>
                  <w:vAlign w:val="center"/>
                </w:tcPr>
                <w:p w14:paraId="0DCF98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663F2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266" w:type="pct"/>
                  <w:vMerge w:val="continue"/>
                  <w:tcBorders>
                    <w:tl2br w:val="nil"/>
                    <w:tr2bl w:val="nil"/>
                  </w:tcBorders>
                  <w:noWrap w:val="0"/>
                  <w:vAlign w:val="center"/>
                </w:tcPr>
                <w:p w14:paraId="6DCA51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7D45086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7BC9C4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换热站</w:t>
                  </w:r>
                </w:p>
              </w:tc>
              <w:tc>
                <w:tcPr>
                  <w:tcW w:w="2728" w:type="pct"/>
                  <w:gridSpan w:val="2"/>
                  <w:tcBorders>
                    <w:tl2br w:val="nil"/>
                    <w:tr2bl w:val="nil"/>
                  </w:tcBorders>
                  <w:noWrap w:val="0"/>
                  <w:vAlign w:val="center"/>
                </w:tcPr>
                <w:p w14:paraId="31B82CC5">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w:t>
                  </w:r>
                  <w:r>
                    <w:rPr>
                      <w:rFonts w:hint="eastAsia"/>
                      <w:color w:val="auto"/>
                      <w:kern w:val="0"/>
                      <w:sz w:val="18"/>
                      <w:szCs w:val="18"/>
                      <w:highlight w:val="none"/>
                      <w:lang w:val="en-US" w:eastAsia="zh-CN"/>
                    </w:rPr>
                    <w:t>72</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，户外集装式换热站1座，为基地冬季采暖提供热源。</w:t>
                  </w:r>
                </w:p>
              </w:tc>
              <w:tc>
                <w:tcPr>
                  <w:tcW w:w="478" w:type="pct"/>
                  <w:tcBorders>
                    <w:tl2br w:val="nil"/>
                    <w:tr2bl w:val="nil"/>
                  </w:tcBorders>
                  <w:noWrap w:val="0"/>
                  <w:vAlign w:val="center"/>
                </w:tcPr>
                <w:p w14:paraId="4C0CC6C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51958D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704FA0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47FD127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450665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循环水站</w:t>
                  </w:r>
                </w:p>
              </w:tc>
              <w:tc>
                <w:tcPr>
                  <w:tcW w:w="2728" w:type="pct"/>
                  <w:gridSpan w:val="2"/>
                  <w:tcBorders>
                    <w:tl2br w:val="nil"/>
                    <w:tr2bl w:val="nil"/>
                  </w:tcBorders>
                  <w:noWrap w:val="0"/>
                  <w:vAlign w:val="center"/>
                </w:tcPr>
                <w:p w14:paraId="3E66D02D">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占地面积</w:t>
                  </w:r>
                  <w:r>
                    <w:rPr>
                      <w:rFonts w:hint="eastAsia"/>
                      <w:color w:val="auto"/>
                      <w:kern w:val="0"/>
                      <w:sz w:val="18"/>
                      <w:szCs w:val="18"/>
                      <w:highlight w:val="none"/>
                      <w:lang w:val="en-US" w:eastAsia="zh-CN"/>
                    </w:rPr>
                    <w:t>172</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，设置一体化机组，由4套凉水塔组成，循环水量</w:t>
                  </w:r>
                  <w:r>
                    <w:rPr>
                      <w:rFonts w:hint="eastAsia"/>
                      <w:color w:val="auto"/>
                      <w:kern w:val="0"/>
                      <w:sz w:val="18"/>
                      <w:szCs w:val="18"/>
                      <w:highlight w:val="none"/>
                      <w:lang w:val="en-US" w:eastAsia="zh-CN"/>
                    </w:rPr>
                    <w:t>600</w:t>
                  </w:r>
                  <w:r>
                    <w:rPr>
                      <w:rFonts w:hint="eastAsia"/>
                      <w:color w:val="auto"/>
                      <w:kern w:val="0"/>
                      <w:sz w:val="18"/>
                      <w:szCs w:val="18"/>
                      <w:highlight w:val="none"/>
                    </w:rPr>
                    <w:t>m</w:t>
                  </w:r>
                  <w:r>
                    <w:rPr>
                      <w:rFonts w:hint="eastAsia"/>
                      <w:color w:val="auto"/>
                      <w:kern w:val="0"/>
                      <w:sz w:val="18"/>
                      <w:szCs w:val="18"/>
                      <w:highlight w:val="none"/>
                      <w:vertAlign w:val="superscript"/>
                    </w:rPr>
                    <w:t>3</w:t>
                  </w:r>
                  <w:r>
                    <w:rPr>
                      <w:rFonts w:hint="eastAsia"/>
                      <w:color w:val="auto"/>
                      <w:kern w:val="0"/>
                      <w:sz w:val="18"/>
                      <w:szCs w:val="18"/>
                      <w:highlight w:val="none"/>
                    </w:rPr>
                    <w:t>/h。</w:t>
                  </w:r>
                </w:p>
              </w:tc>
              <w:tc>
                <w:tcPr>
                  <w:tcW w:w="478" w:type="pct"/>
                  <w:tcBorders>
                    <w:tl2br w:val="nil"/>
                    <w:tr2bl w:val="nil"/>
                  </w:tcBorders>
                  <w:noWrap w:val="0"/>
                  <w:vAlign w:val="center"/>
                </w:tcPr>
                <w:p w14:paraId="7F29BB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62C689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restart"/>
                  <w:tcBorders>
                    <w:tl2br w:val="nil"/>
                    <w:tr2bl w:val="nil"/>
                  </w:tcBorders>
                  <w:noWrap w:val="0"/>
                  <w:vAlign w:val="center"/>
                </w:tcPr>
                <w:p w14:paraId="76AD216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配套工程</w:t>
                  </w:r>
                </w:p>
              </w:tc>
              <w:tc>
                <w:tcPr>
                  <w:tcW w:w="266" w:type="pct"/>
                  <w:vMerge w:val="continue"/>
                  <w:tcBorders>
                    <w:tl2br w:val="nil"/>
                    <w:tr2bl w:val="nil"/>
                  </w:tcBorders>
                  <w:noWrap w:val="0"/>
                  <w:vAlign w:val="center"/>
                </w:tcPr>
                <w:p w14:paraId="11F02A0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339454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综合楼、食堂</w:t>
                  </w:r>
                </w:p>
              </w:tc>
              <w:tc>
                <w:tcPr>
                  <w:tcW w:w="2728" w:type="pct"/>
                  <w:gridSpan w:val="2"/>
                  <w:tcBorders>
                    <w:tl2br w:val="nil"/>
                    <w:tr2bl w:val="nil"/>
                  </w:tcBorders>
                  <w:noWrap w:val="0"/>
                  <w:vAlign w:val="center"/>
                </w:tcPr>
                <w:p w14:paraId="35559D23">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1座，占地面积1566.49m</w:t>
                  </w:r>
                  <w:r>
                    <w:rPr>
                      <w:rFonts w:hint="eastAsia"/>
                      <w:color w:val="auto"/>
                      <w:kern w:val="0"/>
                      <w:sz w:val="18"/>
                      <w:szCs w:val="18"/>
                      <w:highlight w:val="none"/>
                      <w:vertAlign w:val="superscript"/>
                    </w:rPr>
                    <w:t>2</w:t>
                  </w:r>
                  <w:r>
                    <w:rPr>
                      <w:rFonts w:hint="eastAsia"/>
                      <w:color w:val="auto"/>
                      <w:kern w:val="0"/>
                      <w:sz w:val="18"/>
                      <w:szCs w:val="18"/>
                      <w:highlight w:val="none"/>
                    </w:rPr>
                    <w:t>，建筑面积4984.55m</w:t>
                  </w:r>
                  <w:r>
                    <w:rPr>
                      <w:rFonts w:hint="eastAsia"/>
                      <w:color w:val="auto"/>
                      <w:kern w:val="0"/>
                      <w:sz w:val="18"/>
                      <w:szCs w:val="18"/>
                      <w:highlight w:val="none"/>
                      <w:vertAlign w:val="superscript"/>
                    </w:rPr>
                    <w:t>2</w:t>
                  </w:r>
                  <w:r>
                    <w:rPr>
                      <w:rFonts w:hint="eastAsia"/>
                      <w:color w:val="auto"/>
                      <w:kern w:val="0"/>
                      <w:sz w:val="18"/>
                      <w:szCs w:val="18"/>
                      <w:highlight w:val="none"/>
                      <w:lang w:eastAsia="zh-CN"/>
                    </w:rPr>
                    <w:t>。</w:t>
                  </w:r>
                  <w:r>
                    <w:rPr>
                      <w:rFonts w:hint="eastAsia"/>
                      <w:color w:val="auto"/>
                      <w:kern w:val="0"/>
                      <w:sz w:val="18"/>
                      <w:szCs w:val="18"/>
                      <w:highlight w:val="none"/>
                      <w:lang w:val="en-US" w:eastAsia="zh-CN"/>
                    </w:rPr>
                    <w:t>其中综合</w:t>
                  </w:r>
                  <w:r>
                    <w:rPr>
                      <w:rFonts w:hint="eastAsia"/>
                      <w:color w:val="auto"/>
                      <w:kern w:val="0"/>
                      <w:sz w:val="18"/>
                      <w:szCs w:val="18"/>
                      <w:highlight w:val="none"/>
                    </w:rPr>
                    <w:t>4层，高17.3m</w:t>
                  </w:r>
                  <w:r>
                    <w:rPr>
                      <w:rFonts w:hint="eastAsia"/>
                      <w:color w:val="auto"/>
                      <w:kern w:val="0"/>
                      <w:sz w:val="18"/>
                      <w:szCs w:val="18"/>
                      <w:highlight w:val="none"/>
                      <w:lang w:eastAsia="zh-CN"/>
                    </w:rPr>
                    <w:t>；</w:t>
                  </w:r>
                  <w:r>
                    <w:rPr>
                      <w:rFonts w:hint="eastAsia"/>
                      <w:color w:val="auto"/>
                      <w:kern w:val="0"/>
                      <w:sz w:val="18"/>
                      <w:szCs w:val="18"/>
                      <w:highlight w:val="none"/>
                      <w:lang w:val="en-US" w:eastAsia="zh-CN"/>
                    </w:rPr>
                    <w:t>食堂</w:t>
                  </w:r>
                  <w:r>
                    <w:rPr>
                      <w:rFonts w:hint="eastAsia"/>
                      <w:color w:val="auto"/>
                      <w:kern w:val="0"/>
                      <w:sz w:val="18"/>
                      <w:szCs w:val="18"/>
                      <w:highlight w:val="none"/>
                    </w:rPr>
                    <w:t>2层，高9m</w:t>
                  </w:r>
                  <w:r>
                    <w:rPr>
                      <w:rFonts w:hint="eastAsia"/>
                      <w:color w:val="auto"/>
                      <w:kern w:val="0"/>
                      <w:sz w:val="18"/>
                      <w:szCs w:val="18"/>
                      <w:highlight w:val="none"/>
                      <w:lang w:eastAsia="zh-CN"/>
                    </w:rPr>
                    <w:t>。</w:t>
                  </w:r>
                  <w:r>
                    <w:rPr>
                      <w:rFonts w:hint="eastAsia"/>
                      <w:color w:val="auto"/>
                      <w:kern w:val="0"/>
                      <w:sz w:val="18"/>
                      <w:szCs w:val="18"/>
                      <w:highlight w:val="none"/>
                    </w:rPr>
                    <w:t>框架结构。</w:t>
                  </w:r>
                </w:p>
              </w:tc>
              <w:tc>
                <w:tcPr>
                  <w:tcW w:w="478" w:type="pct"/>
                  <w:tcBorders>
                    <w:tl2br w:val="nil"/>
                    <w:tr2bl w:val="nil"/>
                  </w:tcBorders>
                  <w:noWrap w:val="0"/>
                  <w:vAlign w:val="center"/>
                </w:tcPr>
                <w:p w14:paraId="7CFED23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185625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47B953C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69E676C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21CB31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研发中心</w:t>
                  </w:r>
                </w:p>
              </w:tc>
              <w:tc>
                <w:tcPr>
                  <w:tcW w:w="2728" w:type="pct"/>
                  <w:gridSpan w:val="2"/>
                  <w:tcBorders>
                    <w:tl2br w:val="nil"/>
                    <w:tr2bl w:val="nil"/>
                  </w:tcBorders>
                  <w:noWrap w:val="0"/>
                  <w:vAlign w:val="center"/>
                </w:tcPr>
                <w:p w14:paraId="0E4397A2">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1座，占地面积</w:t>
                  </w:r>
                  <w:r>
                    <w:rPr>
                      <w:rFonts w:hint="eastAsia"/>
                      <w:color w:val="auto"/>
                      <w:kern w:val="0"/>
                      <w:sz w:val="18"/>
                      <w:szCs w:val="18"/>
                      <w:highlight w:val="none"/>
                      <w:lang w:val="en-US" w:eastAsia="zh-CN"/>
                    </w:rPr>
                    <w:t>1033.25</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3045.26</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，3层，高17.</w:t>
                  </w:r>
                  <w:r>
                    <w:rPr>
                      <w:rFonts w:hint="eastAsia"/>
                      <w:color w:val="auto"/>
                      <w:kern w:val="0"/>
                      <w:sz w:val="18"/>
                      <w:szCs w:val="18"/>
                      <w:highlight w:val="none"/>
                      <w:lang w:val="en-US" w:eastAsia="zh-CN"/>
                    </w:rPr>
                    <w:t>1</w:t>
                  </w:r>
                  <w:r>
                    <w:rPr>
                      <w:rFonts w:hint="eastAsia"/>
                      <w:color w:val="auto"/>
                      <w:kern w:val="0"/>
                      <w:sz w:val="18"/>
                      <w:szCs w:val="18"/>
                      <w:highlight w:val="none"/>
                    </w:rPr>
                    <w:t>m，框架结构。</w:t>
                  </w:r>
                </w:p>
              </w:tc>
              <w:tc>
                <w:tcPr>
                  <w:tcW w:w="478" w:type="pct"/>
                  <w:tcBorders>
                    <w:tl2br w:val="nil"/>
                    <w:tr2bl w:val="nil"/>
                  </w:tcBorders>
                  <w:noWrap w:val="0"/>
                  <w:vAlign w:val="center"/>
                </w:tcPr>
                <w:p w14:paraId="10E9C77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4F2392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19662E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206E55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479FE2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控制室</w:t>
                  </w:r>
                </w:p>
              </w:tc>
              <w:tc>
                <w:tcPr>
                  <w:tcW w:w="2728" w:type="pct"/>
                  <w:gridSpan w:val="2"/>
                  <w:tcBorders>
                    <w:tl2br w:val="nil"/>
                    <w:tr2bl w:val="nil"/>
                  </w:tcBorders>
                  <w:noWrap w:val="0"/>
                  <w:vAlign w:val="center"/>
                </w:tcPr>
                <w:p w14:paraId="6243BA84">
                  <w:pPr>
                    <w:adjustRightInd w:val="0"/>
                    <w:snapToGrid w:val="0"/>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kern w:val="0"/>
                      <w:sz w:val="18"/>
                      <w:szCs w:val="18"/>
                      <w:highlight w:val="none"/>
                    </w:rPr>
                    <w:t>1座，占地面积</w:t>
                  </w:r>
                  <w:r>
                    <w:rPr>
                      <w:rFonts w:hint="eastAsia"/>
                      <w:color w:val="auto"/>
                      <w:kern w:val="0"/>
                      <w:sz w:val="18"/>
                      <w:szCs w:val="18"/>
                      <w:highlight w:val="none"/>
                      <w:lang w:val="en-US" w:eastAsia="zh-CN"/>
                    </w:rPr>
                    <w:t>780.45</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，建筑面积</w:t>
                  </w:r>
                  <w:r>
                    <w:rPr>
                      <w:rFonts w:hint="eastAsia"/>
                      <w:color w:val="auto"/>
                      <w:kern w:val="0"/>
                      <w:sz w:val="18"/>
                      <w:szCs w:val="18"/>
                      <w:highlight w:val="none"/>
                      <w:lang w:val="en-US" w:eastAsia="zh-CN"/>
                    </w:rPr>
                    <w:t>1560.90</w:t>
                  </w:r>
                  <w:r>
                    <w:rPr>
                      <w:rFonts w:hint="eastAsia"/>
                      <w:color w:val="auto"/>
                      <w:kern w:val="0"/>
                      <w:sz w:val="18"/>
                      <w:szCs w:val="18"/>
                      <w:highlight w:val="none"/>
                    </w:rPr>
                    <w:t>m</w:t>
                  </w:r>
                  <w:r>
                    <w:rPr>
                      <w:rFonts w:hint="eastAsia"/>
                      <w:color w:val="auto"/>
                      <w:kern w:val="0"/>
                      <w:sz w:val="18"/>
                      <w:szCs w:val="18"/>
                      <w:highlight w:val="none"/>
                      <w:vertAlign w:val="superscript"/>
                    </w:rPr>
                    <w:t>2</w:t>
                  </w:r>
                  <w:r>
                    <w:rPr>
                      <w:rFonts w:hint="eastAsia"/>
                      <w:color w:val="auto"/>
                      <w:kern w:val="0"/>
                      <w:sz w:val="18"/>
                      <w:szCs w:val="18"/>
                      <w:highlight w:val="none"/>
                    </w:rPr>
                    <w:t>，2层，高10.6m，</w:t>
                  </w:r>
                  <w:r>
                    <w:rPr>
                      <w:rFonts w:hint="eastAsia"/>
                      <w:color w:val="auto"/>
                      <w:kern w:val="0"/>
                      <w:sz w:val="18"/>
                      <w:szCs w:val="18"/>
                      <w:highlight w:val="none"/>
                      <w:lang w:val="en-US" w:eastAsia="zh-CN"/>
                    </w:rPr>
                    <w:t>抗爆</w:t>
                  </w:r>
                  <w:r>
                    <w:rPr>
                      <w:rFonts w:hint="eastAsia"/>
                      <w:color w:val="auto"/>
                      <w:kern w:val="0"/>
                      <w:sz w:val="18"/>
                      <w:szCs w:val="18"/>
                      <w:highlight w:val="none"/>
                    </w:rPr>
                    <w:t>结构。</w:t>
                  </w:r>
                </w:p>
              </w:tc>
              <w:tc>
                <w:tcPr>
                  <w:tcW w:w="478" w:type="pct"/>
                  <w:tcBorders>
                    <w:tl2br w:val="nil"/>
                    <w:tr2bl w:val="nil"/>
                  </w:tcBorders>
                  <w:noWrap w:val="0"/>
                  <w:vAlign w:val="center"/>
                </w:tcPr>
                <w:p w14:paraId="1D8ABF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63F873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restart"/>
                  <w:tcBorders>
                    <w:tl2br w:val="nil"/>
                    <w:tr2bl w:val="nil"/>
                  </w:tcBorders>
                  <w:noWrap w:val="0"/>
                  <w:vAlign w:val="center"/>
                </w:tcPr>
                <w:p w14:paraId="12FDF62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环保工程</w:t>
                  </w:r>
                </w:p>
              </w:tc>
              <w:tc>
                <w:tcPr>
                  <w:tcW w:w="266" w:type="pct"/>
                  <w:vMerge w:val="continue"/>
                  <w:tcBorders>
                    <w:tl2br w:val="nil"/>
                    <w:tr2bl w:val="nil"/>
                  </w:tcBorders>
                  <w:noWrap w:val="0"/>
                  <w:vAlign w:val="center"/>
                </w:tcPr>
                <w:p w14:paraId="5165D8D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5356B75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危废暂存库（甲类）</w:t>
                  </w:r>
                </w:p>
              </w:tc>
              <w:tc>
                <w:tcPr>
                  <w:tcW w:w="2728" w:type="pct"/>
                  <w:gridSpan w:val="2"/>
                  <w:tcBorders>
                    <w:tl2br w:val="nil"/>
                    <w:tr2bl w:val="nil"/>
                  </w:tcBorders>
                  <w:noWrap w:val="0"/>
                  <w:vAlign w:val="center"/>
                </w:tcPr>
                <w:p w14:paraId="1435FD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占地面积278.31m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，建筑面积278.31m</w:t>
                  </w:r>
                  <w:r>
                    <w:rPr>
                      <w:rFonts w:hint="eastAsia" w:ascii="Times New Roman" w:hAnsi="Times New Roman" w:cs="Times New Roman"/>
                      <w:b w:val="0"/>
                      <w:bCs w:val="0"/>
                      <w:color w:val="auto"/>
                      <w:kern w:val="0"/>
                      <w:sz w:val="18"/>
                      <w:szCs w:val="18"/>
                      <w:highlight w:val="none"/>
                      <w:vertAlign w:val="superscript"/>
                      <w:lang w:val="en-US" w:eastAsia="zh-CN"/>
                    </w:rPr>
                    <w:t>2</w:t>
                  </w:r>
                  <w:r>
                    <w:rPr>
                      <w:rFonts w:hint="eastAsia" w:ascii="Times New Roman" w:hAnsi="Times New Roman" w:cs="Times New Roman"/>
                      <w:b w:val="0"/>
                      <w:bCs w:val="0"/>
                      <w:color w:val="auto"/>
                      <w:kern w:val="0"/>
                      <w:sz w:val="18"/>
                      <w:szCs w:val="18"/>
                      <w:highlight w:val="none"/>
                      <w:vertAlign w:val="baseline"/>
                      <w:lang w:val="en-US" w:eastAsia="zh-CN"/>
                    </w:rPr>
                    <w:t>，1层，高8.3m，框架结构。用于贮存后续入驻基地的中试项目产生的危险废物。</w:t>
                  </w:r>
                  <w:r>
                    <w:rPr>
                      <w:rFonts w:hint="eastAsia"/>
                      <w:color w:val="auto"/>
                      <w:sz w:val="18"/>
                      <w:szCs w:val="18"/>
                      <w:highlight w:val="none"/>
                      <w:lang w:val="en-US" w:eastAsia="zh-CN"/>
                    </w:rPr>
                    <w:t>拟贮存的危废来自后续煤化工中试项目，危废的种类、数量目前无法确定，以实际中试项目实际运行情况确定</w:t>
                  </w:r>
                  <w:r>
                    <w:rPr>
                      <w:rFonts w:hint="eastAsia"/>
                      <w:b w:val="0"/>
                      <w:bCs w:val="0"/>
                      <w:color w:val="auto"/>
                      <w:sz w:val="18"/>
                      <w:szCs w:val="18"/>
                      <w:highlight w:val="none"/>
                      <w:lang w:val="en-US" w:eastAsia="zh-CN"/>
                    </w:rPr>
                    <w:t>，届时不同种类的危废应分区贮存，预计最大贮存量220t。</w:t>
                  </w:r>
                  <w:bookmarkStart w:id="3" w:name="OLE_LINK248"/>
                  <w:r>
                    <w:rPr>
                      <w:rFonts w:hint="eastAsia"/>
                      <w:color w:val="auto"/>
                      <w:kern w:val="2"/>
                      <w:sz w:val="18"/>
                      <w:szCs w:val="18"/>
                      <w:highlight w:val="none"/>
                      <w:lang w:val="en-US" w:eastAsia="zh-CN"/>
                    </w:rPr>
                    <w:t>库内四周地面沿墙角设置导流渠</w:t>
                  </w:r>
                  <w:bookmarkStart w:id="4" w:name="OLE_LINK241"/>
                  <w:r>
                    <w:rPr>
                      <w:rFonts w:hint="eastAsia"/>
                      <w:color w:val="auto"/>
                      <w:kern w:val="2"/>
                      <w:sz w:val="18"/>
                      <w:szCs w:val="18"/>
                      <w:highlight w:val="none"/>
                      <w:lang w:val="en-US" w:eastAsia="zh-CN"/>
                    </w:rPr>
                    <w:t>和1m</w:t>
                  </w:r>
                  <w:bookmarkStart w:id="5" w:name="OLE_LINK442"/>
                  <w:r>
                    <w:rPr>
                      <w:rFonts w:hint="eastAsia"/>
                      <w:color w:val="auto"/>
                      <w:kern w:val="2"/>
                      <w:sz w:val="18"/>
                      <w:szCs w:val="18"/>
                      <w:highlight w:val="none"/>
                      <w:vertAlign w:val="superscript"/>
                      <w:lang w:val="en-US" w:eastAsia="zh-CN"/>
                    </w:rPr>
                    <w:t>3</w:t>
                  </w:r>
                  <w:bookmarkEnd w:id="4"/>
                  <w:bookmarkEnd w:id="5"/>
                  <w:r>
                    <w:rPr>
                      <w:rFonts w:hint="eastAsia"/>
                      <w:color w:val="auto"/>
                      <w:kern w:val="2"/>
                      <w:sz w:val="18"/>
                      <w:szCs w:val="18"/>
                      <w:highlight w:val="none"/>
                      <w:lang w:val="en-US" w:eastAsia="zh-CN"/>
                    </w:rPr>
                    <w:t>的集液池，导流渠与集液池相连，用于收集可能泄漏的液态危废。</w:t>
                  </w:r>
                  <w:bookmarkEnd w:id="3"/>
                  <w:bookmarkStart w:id="6" w:name="OLE_LINK249"/>
                  <w:r>
                    <w:rPr>
                      <w:rFonts w:hint="default" w:ascii="Times New Roman" w:hAnsi="Times New Roman" w:eastAsia="宋体" w:cs="Times New Roman"/>
                      <w:bCs/>
                      <w:color w:val="auto"/>
                      <w:sz w:val="18"/>
                      <w:szCs w:val="18"/>
                      <w:highlight w:val="none"/>
                    </w:rPr>
                    <w:t>库房地面</w:t>
                  </w:r>
                  <w:r>
                    <w:rPr>
                      <w:rFonts w:hint="eastAsia" w:ascii="Times New Roman" w:hAnsi="Times New Roman" w:eastAsia="宋体" w:cs="Times New Roman"/>
                      <w:bCs/>
                      <w:color w:val="auto"/>
                      <w:sz w:val="18"/>
                      <w:szCs w:val="18"/>
                      <w:highlight w:val="none"/>
                      <w:lang w:eastAsia="zh-CN"/>
                    </w:rPr>
                    <w:t>、</w:t>
                  </w:r>
                  <w:r>
                    <w:rPr>
                      <w:rFonts w:hint="eastAsia" w:ascii="Times New Roman" w:hAnsi="Times New Roman" w:eastAsia="宋体" w:cs="Times New Roman"/>
                      <w:bCs/>
                      <w:color w:val="auto"/>
                      <w:sz w:val="18"/>
                      <w:szCs w:val="18"/>
                      <w:highlight w:val="none"/>
                      <w:lang w:val="en-US" w:eastAsia="zh-CN"/>
                    </w:rPr>
                    <w:t>导流渠、收集池</w:t>
                  </w:r>
                  <w:bookmarkEnd w:id="6"/>
                  <w:r>
                    <w:rPr>
                      <w:rFonts w:hint="eastAsia" w:ascii="Times New Roman" w:hAnsi="Times New Roman" w:eastAsia="宋体" w:cs="Times New Roman"/>
                      <w:bCs/>
                      <w:color w:val="auto"/>
                      <w:sz w:val="18"/>
                      <w:szCs w:val="18"/>
                      <w:highlight w:val="none"/>
                      <w:lang w:val="en-US" w:eastAsia="zh-CN"/>
                    </w:rPr>
                    <w:t>防渗结构防渗性能应与</w:t>
                  </w:r>
                  <w:r>
                    <w:rPr>
                      <w:rFonts w:hint="eastAsia"/>
                      <w:color w:val="auto"/>
                      <w:kern w:val="0"/>
                      <w:sz w:val="18"/>
                      <w:szCs w:val="18"/>
                      <w:highlight w:val="none"/>
                      <w:lang w:bidi="ar"/>
                    </w:rPr>
                    <w:t>2mm厚人工合成防渗材料</w:t>
                  </w:r>
                  <w:r>
                    <w:rPr>
                      <w:rFonts w:hint="eastAsia"/>
                      <w:color w:val="auto"/>
                      <w:kern w:val="0"/>
                      <w:sz w:val="18"/>
                      <w:szCs w:val="18"/>
                      <w:highlight w:val="none"/>
                      <w:lang w:eastAsia="zh-CN" w:bidi="ar"/>
                    </w:rPr>
                    <w:t>（</w:t>
                  </w:r>
                  <w:r>
                    <w:rPr>
                      <w:rFonts w:hint="eastAsia"/>
                      <w:color w:val="auto"/>
                      <w:kern w:val="0"/>
                      <w:sz w:val="18"/>
                      <w:szCs w:val="18"/>
                      <w:highlight w:val="none"/>
                      <w:lang w:bidi="ar"/>
                    </w:rPr>
                    <w:t>渗透系数不大于1</w:t>
                  </w:r>
                  <w:r>
                    <w:rPr>
                      <w:color w:val="auto"/>
                      <w:kern w:val="0"/>
                      <w:sz w:val="18"/>
                      <w:szCs w:val="18"/>
                      <w:highlight w:val="none"/>
                      <w:lang w:bidi="ar"/>
                    </w:rPr>
                    <w:t>0</w:t>
                  </w:r>
                  <w:r>
                    <w:rPr>
                      <w:color w:val="auto"/>
                      <w:kern w:val="0"/>
                      <w:sz w:val="18"/>
                      <w:szCs w:val="18"/>
                      <w:highlight w:val="none"/>
                      <w:vertAlign w:val="superscript"/>
                      <w:lang w:bidi="ar"/>
                    </w:rPr>
                    <w:t>-10</w:t>
                  </w:r>
                  <w:r>
                    <w:rPr>
                      <w:rFonts w:hint="eastAsia"/>
                      <w:color w:val="auto"/>
                      <w:kern w:val="0"/>
                      <w:sz w:val="18"/>
                      <w:szCs w:val="18"/>
                      <w:highlight w:val="none"/>
                      <w:lang w:bidi="ar"/>
                    </w:rPr>
                    <w:t>cm</w:t>
                  </w:r>
                  <w:r>
                    <w:rPr>
                      <w:color w:val="auto"/>
                      <w:kern w:val="0"/>
                      <w:sz w:val="18"/>
                      <w:szCs w:val="18"/>
                      <w:highlight w:val="none"/>
                      <w:lang w:bidi="ar"/>
                    </w:rPr>
                    <w:t>/</w:t>
                  </w:r>
                  <w:r>
                    <w:rPr>
                      <w:rFonts w:hint="eastAsia"/>
                      <w:color w:val="auto"/>
                      <w:kern w:val="0"/>
                      <w:sz w:val="18"/>
                      <w:szCs w:val="18"/>
                      <w:highlight w:val="none"/>
                      <w:lang w:bidi="ar"/>
                    </w:rPr>
                    <w:t>s</w:t>
                  </w:r>
                  <w:r>
                    <w:rPr>
                      <w:rFonts w:hint="eastAsia"/>
                      <w:color w:val="auto"/>
                      <w:kern w:val="0"/>
                      <w:sz w:val="18"/>
                      <w:szCs w:val="18"/>
                      <w:highlight w:val="none"/>
                      <w:lang w:eastAsia="zh-CN" w:bidi="ar"/>
                    </w:rPr>
                    <w:t>）</w:t>
                  </w:r>
                  <w:r>
                    <w:rPr>
                      <w:rFonts w:hint="eastAsia"/>
                      <w:color w:val="auto"/>
                      <w:kern w:val="0"/>
                      <w:sz w:val="18"/>
                      <w:szCs w:val="18"/>
                      <w:highlight w:val="none"/>
                      <w:lang w:val="en-US" w:eastAsia="zh-CN" w:bidi="ar"/>
                    </w:rPr>
                    <w:t>等效</w:t>
                  </w:r>
                  <w:r>
                    <w:rPr>
                      <w:rFonts w:hint="default" w:ascii="Times New Roman" w:hAnsi="Times New Roman" w:eastAsia="宋体" w:cs="Times New Roman"/>
                      <w:bCs/>
                      <w:color w:val="auto"/>
                      <w:sz w:val="18"/>
                      <w:szCs w:val="18"/>
                      <w:highlight w:val="none"/>
                    </w:rPr>
                    <w:t>。</w:t>
                  </w:r>
                </w:p>
              </w:tc>
              <w:tc>
                <w:tcPr>
                  <w:tcW w:w="478" w:type="pct"/>
                  <w:tcBorders>
                    <w:tl2br w:val="nil"/>
                    <w:tr2bl w:val="nil"/>
                  </w:tcBorders>
                  <w:noWrap w:val="0"/>
                  <w:vAlign w:val="center"/>
                </w:tcPr>
                <w:p w14:paraId="321AC7C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3DA245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6" w:type="pct"/>
                  <w:vMerge w:val="continue"/>
                  <w:tcBorders>
                    <w:tl2br w:val="nil"/>
                    <w:tr2bl w:val="nil"/>
                  </w:tcBorders>
                  <w:noWrap w:val="0"/>
                  <w:vAlign w:val="center"/>
                </w:tcPr>
                <w:p w14:paraId="4EF6C7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29DF8B3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35CC966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事故水池</w:t>
                  </w:r>
                </w:p>
              </w:tc>
              <w:tc>
                <w:tcPr>
                  <w:tcW w:w="2728" w:type="pct"/>
                  <w:gridSpan w:val="2"/>
                  <w:tcBorders>
                    <w:tl2br w:val="nil"/>
                    <w:tr2bl w:val="nil"/>
                  </w:tcBorders>
                  <w:noWrap w:val="0"/>
                  <w:vAlign w:val="center"/>
                </w:tcPr>
                <w:p w14:paraId="7600D53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color w:val="auto"/>
                      <w:highlight w:val="none"/>
                    </w:rPr>
                    <w:t>1座，</w:t>
                  </w:r>
                  <w:r>
                    <w:rPr>
                      <w:rFonts w:hint="eastAsia"/>
                      <w:color w:val="auto"/>
                      <w:kern w:val="0"/>
                      <w:sz w:val="18"/>
                      <w:szCs w:val="18"/>
                      <w:highlight w:val="none"/>
                    </w:rPr>
                    <w:t>为地下钢筋混凝土结构水池，总有效容积约</w:t>
                  </w:r>
                  <w:r>
                    <w:rPr>
                      <w:rFonts w:hint="eastAsia"/>
                      <w:color w:val="auto"/>
                      <w:kern w:val="0"/>
                      <w:sz w:val="18"/>
                      <w:szCs w:val="18"/>
                      <w:highlight w:val="none"/>
                      <w:lang w:val="en-US" w:eastAsia="zh-CN"/>
                    </w:rPr>
                    <w:t>2650</w:t>
                  </w:r>
                  <w:r>
                    <w:rPr>
                      <w:rFonts w:hint="eastAsia"/>
                      <w:color w:val="auto"/>
                      <w:kern w:val="0"/>
                      <w:sz w:val="18"/>
                      <w:szCs w:val="18"/>
                      <w:highlight w:val="none"/>
                    </w:rPr>
                    <w:t>m</w:t>
                  </w:r>
                  <w:r>
                    <w:rPr>
                      <w:rFonts w:hint="eastAsia"/>
                      <w:color w:val="auto"/>
                      <w:kern w:val="0"/>
                      <w:sz w:val="18"/>
                      <w:szCs w:val="18"/>
                      <w:highlight w:val="none"/>
                      <w:vertAlign w:val="superscript"/>
                    </w:rPr>
                    <w:t>3</w:t>
                  </w:r>
                  <w:r>
                    <w:rPr>
                      <w:rFonts w:hint="eastAsia"/>
                      <w:color w:val="auto"/>
                      <w:kern w:val="0"/>
                      <w:sz w:val="18"/>
                      <w:szCs w:val="18"/>
                      <w:highlight w:val="none"/>
                    </w:rPr>
                    <w:t>，池深3.5m，用于暂存后续入驻基地的中试项目可能产生的事故废水。</w:t>
                  </w:r>
                </w:p>
              </w:tc>
              <w:tc>
                <w:tcPr>
                  <w:tcW w:w="478" w:type="pct"/>
                  <w:tcBorders>
                    <w:tl2br w:val="nil"/>
                    <w:tr2bl w:val="nil"/>
                  </w:tcBorders>
                  <w:noWrap w:val="0"/>
                  <w:vAlign w:val="center"/>
                </w:tcPr>
                <w:p w14:paraId="6FEDCA1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09C05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6" w:type="pct"/>
                  <w:vMerge w:val="continue"/>
                  <w:tcBorders>
                    <w:tl2br w:val="nil"/>
                    <w:tr2bl w:val="nil"/>
                  </w:tcBorders>
                  <w:noWrap w:val="0"/>
                  <w:vAlign w:val="center"/>
                </w:tcPr>
                <w:p w14:paraId="1E5A92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208E43D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4ED76F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初期雨水池</w:t>
                  </w:r>
                </w:p>
              </w:tc>
              <w:tc>
                <w:tcPr>
                  <w:tcW w:w="2728" w:type="pct"/>
                  <w:gridSpan w:val="2"/>
                  <w:tcBorders>
                    <w:tl2br w:val="nil"/>
                    <w:tr2bl w:val="nil"/>
                  </w:tcBorders>
                  <w:noWrap w:val="0"/>
                  <w:vAlign w:val="center"/>
                </w:tcPr>
                <w:p w14:paraId="607C5A96">
                  <w:pPr>
                    <w:pStyle w:val="7"/>
                    <w:widowControl/>
                    <w:adjustRightInd/>
                    <w:spacing w:before="0" w:after="0" w:line="240" w:lineRule="auto"/>
                    <w:ind w:right="0" w:firstLine="0" w:firstLineChars="0"/>
                    <w:rPr>
                      <w:rFonts w:hint="default" w:eastAsia="宋体"/>
                      <w:color w:val="auto"/>
                      <w:highlight w:val="none"/>
                      <w:lang w:val="en-US" w:eastAsia="zh-CN"/>
                    </w:rPr>
                  </w:pPr>
                  <w:r>
                    <w:rPr>
                      <w:rFonts w:hint="eastAsia"/>
                      <w:color w:val="auto"/>
                      <w:kern w:val="0"/>
                      <w:sz w:val="18"/>
                      <w:szCs w:val="18"/>
                      <w:highlight w:val="none"/>
                      <w:lang w:val="en-US" w:eastAsia="zh-CN"/>
                    </w:rPr>
                    <w:t>1</w:t>
                  </w:r>
                  <w:r>
                    <w:rPr>
                      <w:rFonts w:hint="eastAsia"/>
                      <w:color w:val="auto"/>
                      <w:kern w:val="0"/>
                      <w:sz w:val="18"/>
                      <w:szCs w:val="18"/>
                      <w:highlight w:val="none"/>
                    </w:rPr>
                    <w:t>座，地下钢筋混凝土结构，总有效容积约</w:t>
                  </w:r>
                  <w:r>
                    <w:rPr>
                      <w:rFonts w:hint="eastAsia"/>
                      <w:color w:val="auto"/>
                      <w:kern w:val="0"/>
                      <w:sz w:val="18"/>
                      <w:szCs w:val="18"/>
                      <w:highlight w:val="none"/>
                      <w:lang w:val="en-US" w:eastAsia="zh-CN"/>
                    </w:rPr>
                    <w:t>220</w:t>
                  </w:r>
                  <w:r>
                    <w:rPr>
                      <w:rFonts w:hint="eastAsia"/>
                      <w:color w:val="auto"/>
                      <w:kern w:val="0"/>
                      <w:sz w:val="18"/>
                      <w:szCs w:val="18"/>
                      <w:highlight w:val="none"/>
                    </w:rPr>
                    <w:t>m</w:t>
                  </w:r>
                  <w:r>
                    <w:rPr>
                      <w:rFonts w:hint="eastAsia"/>
                      <w:color w:val="auto"/>
                      <w:kern w:val="0"/>
                      <w:sz w:val="18"/>
                      <w:szCs w:val="18"/>
                      <w:highlight w:val="none"/>
                      <w:vertAlign w:val="superscript"/>
                    </w:rPr>
                    <w:t>3</w:t>
                  </w:r>
                  <w:r>
                    <w:rPr>
                      <w:rFonts w:hint="eastAsia"/>
                      <w:color w:val="auto"/>
                      <w:kern w:val="0"/>
                      <w:sz w:val="18"/>
                      <w:szCs w:val="18"/>
                      <w:highlight w:val="none"/>
                    </w:rPr>
                    <w:t>，池深3.5m，用于收集基地初期雨水，池内设置雨水吸水坑，用于抽排雨水。</w:t>
                  </w:r>
                  <w:r>
                    <w:rPr>
                      <w:rFonts w:hint="eastAsia"/>
                      <w:color w:val="auto"/>
                      <w:kern w:val="0"/>
                      <w:sz w:val="18"/>
                      <w:szCs w:val="18"/>
                      <w:highlight w:val="none"/>
                      <w:lang w:val="en-US" w:eastAsia="zh-CN"/>
                    </w:rPr>
                    <w:t>收集的初期雨水由污水罐车拉运送园区污水处理厂处理</w:t>
                  </w:r>
                  <w:r>
                    <w:rPr>
                      <w:rFonts w:hint="eastAsia" w:ascii="Times New Roman" w:hAnsi="Times New Roman" w:eastAsia="宋体" w:cs="Times New Roman"/>
                      <w:color w:val="auto"/>
                      <w:kern w:val="0"/>
                      <w:sz w:val="18"/>
                      <w:szCs w:val="18"/>
                      <w:highlight w:val="none"/>
                      <w:lang w:val="en-US" w:eastAsia="zh-CN" w:bidi="ar"/>
                    </w:rPr>
                    <w:t>；清净雨水直接进入雨水管网。</w:t>
                  </w:r>
                </w:p>
              </w:tc>
              <w:tc>
                <w:tcPr>
                  <w:tcW w:w="478" w:type="pct"/>
                  <w:tcBorders>
                    <w:tl2br w:val="nil"/>
                    <w:tr2bl w:val="nil"/>
                  </w:tcBorders>
                  <w:noWrap w:val="0"/>
                  <w:vAlign w:val="center"/>
                </w:tcPr>
                <w:p w14:paraId="2CDF243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595F80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11C26CA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3793A71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36DF05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火炬</w:t>
                  </w:r>
                </w:p>
              </w:tc>
              <w:tc>
                <w:tcPr>
                  <w:tcW w:w="2728" w:type="pct"/>
                  <w:gridSpan w:val="2"/>
                  <w:tcBorders>
                    <w:tl2br w:val="nil"/>
                    <w:tr2bl w:val="nil"/>
                  </w:tcBorders>
                  <w:noWrap w:val="0"/>
                  <w:vAlign w:val="center"/>
                </w:tcPr>
                <w:p w14:paraId="186974EF">
                  <w:pPr>
                    <w:keepNext w:val="0"/>
                    <w:keepLines w:val="0"/>
                    <w:widowControl/>
                    <w:suppressLineNumbers w:val="0"/>
                    <w:jc w:val="left"/>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本火炬系统设二套火炬：低热值火炬和高热值烃类火炬。火炬系统采用捆绑式高架火炬，两套火炬系统共用一座塔架，并共用一台地面内传焰点火器。火炬总高为</w:t>
                  </w:r>
                  <w:r>
                    <w:rPr>
                      <w:rFonts w:hint="default" w:ascii="Times New Roman" w:hAnsi="Times New Roman" w:eastAsia="宋体" w:cs="Times New Roman"/>
                      <w:color w:val="auto"/>
                      <w:kern w:val="0"/>
                      <w:sz w:val="18"/>
                      <w:szCs w:val="18"/>
                      <w:highlight w:val="none"/>
                      <w:lang w:val="en-US" w:eastAsia="zh-CN" w:bidi="ar"/>
                    </w:rPr>
                    <w:t>20m</w:t>
                  </w:r>
                  <w:r>
                    <w:rPr>
                      <w:rFonts w:hint="eastAsia" w:ascii="宋体" w:hAnsi="宋体" w:eastAsia="宋体" w:cs="宋体"/>
                      <w:color w:val="auto"/>
                      <w:kern w:val="0"/>
                      <w:sz w:val="18"/>
                      <w:szCs w:val="18"/>
                      <w:highlight w:val="none"/>
                      <w:lang w:val="en-US" w:eastAsia="zh-CN" w:bidi="ar"/>
                    </w:rPr>
                    <w:t>。用于后续入驻基地中试项目生产试验过程事故状态驰放气等废气的处理。</w:t>
                  </w:r>
                </w:p>
              </w:tc>
              <w:tc>
                <w:tcPr>
                  <w:tcW w:w="478" w:type="pct"/>
                  <w:tcBorders>
                    <w:tl2br w:val="nil"/>
                    <w:tr2bl w:val="nil"/>
                  </w:tcBorders>
                  <w:noWrap w:val="0"/>
                  <w:vAlign w:val="center"/>
                </w:tcPr>
                <w:p w14:paraId="34713D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153B12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020825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1F4BDAA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650C865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生活污水</w:t>
                  </w:r>
                </w:p>
              </w:tc>
              <w:tc>
                <w:tcPr>
                  <w:tcW w:w="2728" w:type="pct"/>
                  <w:gridSpan w:val="2"/>
                  <w:tcBorders>
                    <w:tl2br w:val="nil"/>
                    <w:tr2bl w:val="nil"/>
                  </w:tcBorders>
                  <w:noWrap w:val="0"/>
                  <w:vAlign w:val="center"/>
                </w:tcPr>
                <w:p w14:paraId="4B1C5ED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color w:val="auto"/>
                      <w:kern w:val="0"/>
                      <w:sz w:val="18"/>
                      <w:szCs w:val="18"/>
                      <w:highlight w:val="none"/>
                      <w:vertAlign w:val="baseline"/>
                      <w:lang w:val="en-US" w:eastAsia="zh-CN"/>
                    </w:rPr>
                  </w:pPr>
                  <w:r>
                    <w:rPr>
                      <w:rFonts w:hint="eastAsia" w:ascii="Times New Roman" w:hAnsi="Times New Roman" w:cs="Times New Roman"/>
                      <w:color w:val="auto"/>
                      <w:sz w:val="18"/>
                      <w:szCs w:val="18"/>
                      <w:highlight w:val="none"/>
                      <w:lang w:val="en-US" w:eastAsia="zh-CN"/>
                    </w:rPr>
                    <w:t>建设化粪池</w:t>
                  </w:r>
                  <w:r>
                    <w:rPr>
                      <w:rFonts w:hint="default" w:ascii="Times New Roman" w:hAnsi="Times New Roman" w:cs="Times New Roman"/>
                      <w:color w:val="auto"/>
                      <w:sz w:val="18"/>
                      <w:szCs w:val="18"/>
                      <w:highlight w:val="none"/>
                      <w:lang w:val="en-US" w:eastAsia="zh-CN"/>
                    </w:rPr>
                    <w:t>1座，</w:t>
                  </w:r>
                  <w:r>
                    <w:rPr>
                      <w:rFonts w:hint="default" w:ascii="Times New Roman" w:hAnsi="Times New Roman" w:cs="Times New Roman"/>
                      <w:color w:val="auto"/>
                      <w:sz w:val="18"/>
                      <w:szCs w:val="18"/>
                      <w:highlight w:val="none"/>
                    </w:rPr>
                    <w:t>有效容积30m</w:t>
                  </w:r>
                  <w:r>
                    <w:rPr>
                      <w:rFonts w:hint="eastAsia" w:ascii="Times New Roman" w:hAnsi="Times New Roman" w:cs="Times New Roman"/>
                      <w:color w:val="auto"/>
                      <w:sz w:val="18"/>
                      <w:szCs w:val="18"/>
                      <w:highlight w:val="none"/>
                      <w:vertAlign w:val="superscript"/>
                      <w:lang w:val="en-US" w:eastAsia="zh-CN"/>
                    </w:rPr>
                    <w:t>3</w:t>
                  </w:r>
                  <w:r>
                    <w:rPr>
                      <w:rFonts w:hint="default" w:ascii="Times New Roman" w:hAnsi="Times New Roman" w:cs="Times New Roman"/>
                      <w:color w:val="auto"/>
                      <w:sz w:val="18"/>
                      <w:szCs w:val="18"/>
                      <w:highlight w:val="none"/>
                    </w:rPr>
                    <w:t>，钢筋混凝土结构</w:t>
                  </w:r>
                  <w:r>
                    <w:rPr>
                      <w:rFonts w:hint="default" w:ascii="Times New Roman" w:hAnsi="Times New Roman" w:cs="Times New Roman"/>
                      <w:color w:val="auto"/>
                      <w:sz w:val="18"/>
                      <w:szCs w:val="18"/>
                      <w:highlight w:val="none"/>
                      <w:lang w:eastAsia="zh-CN"/>
                    </w:rPr>
                    <w:t>。</w:t>
                  </w:r>
                </w:p>
              </w:tc>
              <w:tc>
                <w:tcPr>
                  <w:tcW w:w="478" w:type="pct"/>
                  <w:tcBorders>
                    <w:tl2br w:val="nil"/>
                    <w:tr2bl w:val="nil"/>
                  </w:tcBorders>
                  <w:noWrap w:val="0"/>
                  <w:vAlign w:val="center"/>
                </w:tcPr>
                <w:p w14:paraId="46F3935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新建</w:t>
                  </w:r>
                </w:p>
              </w:tc>
            </w:tr>
            <w:tr w14:paraId="0F626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vMerge w:val="continue"/>
                  <w:tcBorders>
                    <w:tl2br w:val="nil"/>
                    <w:tr2bl w:val="nil"/>
                  </w:tcBorders>
                  <w:noWrap w:val="0"/>
                  <w:vAlign w:val="center"/>
                </w:tcPr>
                <w:p w14:paraId="6C958D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266" w:type="pct"/>
                  <w:vMerge w:val="continue"/>
                  <w:tcBorders>
                    <w:tl2br w:val="nil"/>
                    <w:tr2bl w:val="nil"/>
                  </w:tcBorders>
                  <w:noWrap w:val="0"/>
                  <w:vAlign w:val="center"/>
                </w:tcPr>
                <w:p w14:paraId="554523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p>
              </w:tc>
              <w:tc>
                <w:tcPr>
                  <w:tcW w:w="1259" w:type="pct"/>
                  <w:gridSpan w:val="2"/>
                  <w:tcBorders>
                    <w:tl2br w:val="nil"/>
                    <w:tr2bl w:val="nil"/>
                  </w:tcBorders>
                  <w:noWrap w:val="0"/>
                  <w:vAlign w:val="center"/>
                </w:tcPr>
                <w:p w14:paraId="0A6AE9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生产废水</w:t>
                  </w:r>
                </w:p>
              </w:tc>
              <w:tc>
                <w:tcPr>
                  <w:tcW w:w="2728" w:type="pct"/>
                  <w:gridSpan w:val="2"/>
                  <w:tcBorders>
                    <w:tl2br w:val="nil"/>
                    <w:tr2bl w:val="nil"/>
                  </w:tcBorders>
                  <w:noWrap w:val="0"/>
                  <w:vAlign w:val="center"/>
                </w:tcPr>
                <w:p w14:paraId="79A7DCC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cs="Times New Roman"/>
                      <w:color w:val="auto"/>
                      <w:sz w:val="18"/>
                      <w:szCs w:val="18"/>
                      <w:highlight w:val="none"/>
                      <w:lang w:val="en-US" w:eastAsia="zh-CN"/>
                    </w:rPr>
                  </w:pPr>
                  <w:r>
                    <w:rPr>
                      <w:rFonts w:hint="eastAsia" w:ascii="Times New Roman" w:hAnsi="Times New Roman" w:cs="Times New Roman"/>
                      <w:color w:val="auto"/>
                      <w:sz w:val="18"/>
                      <w:szCs w:val="18"/>
                      <w:highlight w:val="none"/>
                      <w:lang w:val="en-US" w:eastAsia="zh-CN"/>
                    </w:rPr>
                    <w:t>循环水站和火炬系统废水收集后经管道送</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color w:val="auto"/>
                      <w:kern w:val="0"/>
                      <w:sz w:val="18"/>
                      <w:szCs w:val="18"/>
                      <w:highlight w:val="none"/>
                      <w:lang w:val="en-US" w:eastAsia="zh-CN" w:bidi="ar"/>
                    </w:rPr>
                    <w:t>回用水处理站和生化水处理站处理</w:t>
                  </w:r>
                  <w:r>
                    <w:rPr>
                      <w:rFonts w:hint="eastAsia" w:ascii="Times New Roman" w:hAnsi="Times New Roman" w:cs="Times New Roman"/>
                      <w:color w:val="auto"/>
                      <w:sz w:val="18"/>
                      <w:szCs w:val="18"/>
                      <w:highlight w:val="none"/>
                      <w:lang w:val="en-US" w:eastAsia="zh-CN"/>
                    </w:rPr>
                    <w:t>。</w:t>
                  </w:r>
                </w:p>
              </w:tc>
              <w:tc>
                <w:tcPr>
                  <w:tcW w:w="478" w:type="pct"/>
                  <w:tcBorders>
                    <w:tl2br w:val="nil"/>
                    <w:tr2bl w:val="nil"/>
                  </w:tcBorders>
                  <w:noWrap w:val="0"/>
                  <w:vAlign w:val="center"/>
                </w:tcPr>
                <w:p w14:paraId="04F43B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val="0"/>
                      <w:color w:val="auto"/>
                      <w:kern w:val="0"/>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依托</w:t>
                  </w:r>
                </w:p>
              </w:tc>
            </w:tr>
          </w:tbl>
          <w:p w14:paraId="6CC82771">
            <w:pPr>
              <w:keepNext w:val="0"/>
              <w:keepLines w:val="0"/>
              <w:pageBreakBefore w:val="0"/>
              <w:widowControl w:val="0"/>
              <w:kinsoku/>
              <w:wordWrap/>
              <w:overflowPunct/>
              <w:topLinePunct w:val="0"/>
              <w:autoSpaceDE w:val="0"/>
              <w:autoSpaceDN/>
              <w:bidi w:val="0"/>
              <w:adjustRightInd/>
              <w:snapToGrid/>
              <w:spacing w:before="157" w:beforeLines="50" w:line="360" w:lineRule="auto"/>
              <w:ind w:firstLine="422" w:firstLineChars="200"/>
              <w:textAlignment w:val="auto"/>
              <w:rPr>
                <w:rFonts w:hint="default"/>
                <w:b/>
                <w:bCs w:val="0"/>
                <w:color w:val="auto"/>
                <w:sz w:val="21"/>
                <w:szCs w:val="21"/>
                <w:highlight w:val="none"/>
                <w:lang w:val="en-US" w:eastAsia="zh-CN"/>
              </w:rPr>
            </w:pPr>
            <w:r>
              <w:rPr>
                <w:rFonts w:hint="eastAsia"/>
                <w:b/>
                <w:bCs w:val="0"/>
                <w:color w:val="auto"/>
                <w:sz w:val="21"/>
                <w:szCs w:val="21"/>
                <w:highlight w:val="none"/>
                <w:lang w:val="en-US" w:eastAsia="zh-CN"/>
              </w:rPr>
              <w:t>3、外部管道工程量</w:t>
            </w:r>
          </w:p>
          <w:p w14:paraId="70407241">
            <w:pPr>
              <w:autoSpaceDE w:val="0"/>
              <w:spacing w:line="360" w:lineRule="auto"/>
              <w:ind w:firstLine="420" w:firstLineChars="200"/>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本项目基地外配套管廊全长215.5m，由中试基地厂界至</w:t>
            </w:r>
            <w:r>
              <w:rPr>
                <w:rFonts w:hint="eastAsia" w:ascii="Times New Roman" w:hAnsi="Times New Roman" w:cs="Times New Roman"/>
                <w:color w:val="auto"/>
                <w:szCs w:val="21"/>
                <w:highlight w:val="none"/>
                <w:u w:val="none"/>
                <w:lang w:val="en-US" w:eastAsia="zh-CN"/>
              </w:rPr>
              <w:t>中煤鄂尔多斯能源化工有限公司厂</w:t>
            </w:r>
            <w:r>
              <w:rPr>
                <w:rFonts w:hint="eastAsia"/>
                <w:b w:val="0"/>
                <w:bCs/>
                <w:color w:val="auto"/>
                <w:sz w:val="21"/>
                <w:szCs w:val="21"/>
                <w:highlight w:val="none"/>
                <w:lang w:val="en-US" w:eastAsia="zh-CN"/>
              </w:rPr>
              <w:t>界，主要铺设本项目后续用到的试验用气、蒸汽管道及本项目废水输送管线，外部管道工程量见表2-2。管廊跨越园区道路情况见表2-3。</w:t>
            </w:r>
          </w:p>
          <w:p w14:paraId="049CBE2D">
            <w:pPr>
              <w:autoSpaceDE w:val="0"/>
              <w:spacing w:line="360" w:lineRule="auto"/>
              <w:jc w:val="center"/>
              <w:rPr>
                <w:rFonts w:hint="default"/>
                <w:b/>
                <w:color w:val="auto"/>
                <w:sz w:val="21"/>
                <w:szCs w:val="21"/>
                <w:highlight w:val="none"/>
                <w:lang w:val="en-US" w:eastAsia="zh-CN"/>
              </w:rPr>
            </w:pPr>
            <w:r>
              <w:rPr>
                <w:rFonts w:hint="eastAsia"/>
                <w:b/>
                <w:color w:val="auto"/>
                <w:sz w:val="21"/>
                <w:szCs w:val="21"/>
                <w:highlight w:val="none"/>
                <w:lang w:val="en-US" w:eastAsia="zh-CN"/>
              </w:rPr>
              <w:t>表2-2    本项目外部管道工程量一览表</w:t>
            </w:r>
          </w:p>
          <w:tbl>
            <w:tblPr>
              <w:tblStyle w:val="25"/>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4"/>
              <w:gridCol w:w="974"/>
              <w:gridCol w:w="1089"/>
              <w:gridCol w:w="1138"/>
              <w:gridCol w:w="1072"/>
              <w:gridCol w:w="1072"/>
              <w:gridCol w:w="858"/>
              <w:gridCol w:w="1522"/>
            </w:tblGrid>
            <w:tr w14:paraId="4F8A8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2E094F5D">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序号</w:t>
                  </w:r>
                </w:p>
              </w:tc>
              <w:tc>
                <w:tcPr>
                  <w:tcW w:w="596" w:type="pct"/>
                  <w:tcBorders>
                    <w:tl2br w:val="nil"/>
                    <w:tr2bl w:val="nil"/>
                  </w:tcBorders>
                  <w:noWrap w:val="0"/>
                  <w:vAlign w:val="center"/>
                </w:tcPr>
                <w:p w14:paraId="33917B5C">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管道名称</w:t>
                  </w:r>
                </w:p>
              </w:tc>
              <w:tc>
                <w:tcPr>
                  <w:tcW w:w="667" w:type="pct"/>
                  <w:tcBorders>
                    <w:tl2br w:val="nil"/>
                    <w:tr2bl w:val="nil"/>
                  </w:tcBorders>
                  <w:noWrap w:val="0"/>
                  <w:vAlign w:val="center"/>
                </w:tcPr>
                <w:p w14:paraId="5B30693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起点</w:t>
                  </w:r>
                </w:p>
              </w:tc>
              <w:tc>
                <w:tcPr>
                  <w:tcW w:w="697" w:type="pct"/>
                  <w:tcBorders>
                    <w:tl2br w:val="nil"/>
                    <w:tr2bl w:val="nil"/>
                  </w:tcBorders>
                  <w:noWrap w:val="0"/>
                  <w:vAlign w:val="center"/>
                </w:tcPr>
                <w:p w14:paraId="125A2B21">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止点</w:t>
                  </w:r>
                </w:p>
              </w:tc>
              <w:tc>
                <w:tcPr>
                  <w:tcW w:w="656" w:type="pct"/>
                  <w:tcBorders>
                    <w:tl2br w:val="nil"/>
                    <w:tr2bl w:val="nil"/>
                  </w:tcBorders>
                  <w:noWrap w:val="0"/>
                  <w:vAlign w:val="center"/>
                </w:tcPr>
                <w:p w14:paraId="1C9BCA7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管道长度m</w:t>
                  </w:r>
                </w:p>
              </w:tc>
              <w:tc>
                <w:tcPr>
                  <w:tcW w:w="656" w:type="pct"/>
                  <w:tcBorders>
                    <w:tl2br w:val="nil"/>
                    <w:tr2bl w:val="nil"/>
                  </w:tcBorders>
                  <w:noWrap w:val="0"/>
                  <w:vAlign w:val="center"/>
                </w:tcPr>
                <w:p w14:paraId="31B73F6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管道管径mm</w:t>
                  </w:r>
                </w:p>
              </w:tc>
              <w:tc>
                <w:tcPr>
                  <w:tcW w:w="525" w:type="pct"/>
                  <w:tcBorders>
                    <w:tl2br w:val="nil"/>
                    <w:tr2bl w:val="nil"/>
                  </w:tcBorders>
                  <w:noWrap w:val="0"/>
                  <w:vAlign w:val="center"/>
                </w:tcPr>
                <w:p w14:paraId="68D8184C">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管压MPa</w:t>
                  </w:r>
                </w:p>
              </w:tc>
              <w:tc>
                <w:tcPr>
                  <w:tcW w:w="932" w:type="pct"/>
                  <w:tcBorders>
                    <w:tl2br w:val="nil"/>
                    <w:tr2bl w:val="nil"/>
                  </w:tcBorders>
                  <w:noWrap w:val="0"/>
                  <w:vAlign w:val="center"/>
                </w:tcPr>
                <w:p w14:paraId="44878AE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输送介质</w:t>
                  </w:r>
                </w:p>
              </w:tc>
            </w:tr>
            <w:tr w14:paraId="66947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5C7F5CBD">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1</w:t>
                  </w:r>
                </w:p>
              </w:tc>
              <w:tc>
                <w:tcPr>
                  <w:tcW w:w="596" w:type="pct"/>
                  <w:tcBorders>
                    <w:tl2br w:val="nil"/>
                    <w:tr2bl w:val="nil"/>
                  </w:tcBorders>
                  <w:noWrap w:val="0"/>
                  <w:vAlign w:val="center"/>
                </w:tcPr>
                <w:p w14:paraId="1C31DEE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氢气管道</w:t>
                  </w:r>
                </w:p>
              </w:tc>
              <w:tc>
                <w:tcPr>
                  <w:tcW w:w="667" w:type="pct"/>
                  <w:tcBorders>
                    <w:tl2br w:val="nil"/>
                    <w:tr2bl w:val="nil"/>
                  </w:tcBorders>
                  <w:noWrap w:val="0"/>
                  <w:vAlign w:val="center"/>
                </w:tcPr>
                <w:p w14:paraId="1F3D0716">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17BCC64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5B38058A">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b w:val="0"/>
                      <w:bCs/>
                      <w:color w:val="auto"/>
                      <w:sz w:val="18"/>
                      <w:szCs w:val="18"/>
                      <w:highlight w:val="none"/>
                      <w:vertAlign w:val="baseline"/>
                      <w:lang w:val="en-US" w:eastAsia="zh-CN"/>
                    </w:rPr>
                  </w:pPr>
                  <w:r>
                    <w:rPr>
                      <w:rFonts w:hint="eastAsia" w:ascii="Times New Roman" w:hAnsi="Times New Roman" w:cs="Times New Roman"/>
                      <w:b w:val="0"/>
                      <w:bCs/>
                      <w:color w:val="auto"/>
                      <w:sz w:val="18"/>
                      <w:szCs w:val="18"/>
                      <w:highlight w:val="none"/>
                      <w:vertAlign w:val="baseline"/>
                      <w:lang w:val="en-US" w:eastAsia="zh-CN"/>
                    </w:rPr>
                    <w:t>219.684</w:t>
                  </w:r>
                </w:p>
              </w:tc>
              <w:tc>
                <w:tcPr>
                  <w:tcW w:w="656" w:type="pct"/>
                  <w:tcBorders>
                    <w:tl2br w:val="nil"/>
                    <w:tr2bl w:val="nil"/>
                  </w:tcBorders>
                  <w:noWrap w:val="0"/>
                  <w:vAlign w:val="center"/>
                </w:tcPr>
                <w:p w14:paraId="558C43F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100</w:t>
                  </w:r>
                </w:p>
              </w:tc>
              <w:tc>
                <w:tcPr>
                  <w:tcW w:w="525" w:type="pct"/>
                  <w:tcBorders>
                    <w:tl2br w:val="nil"/>
                    <w:tr2bl w:val="nil"/>
                  </w:tcBorders>
                  <w:noWrap w:val="0"/>
                  <w:vAlign w:val="center"/>
                </w:tcPr>
                <w:p w14:paraId="77C97550">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3.2</w:t>
                  </w:r>
                </w:p>
              </w:tc>
              <w:tc>
                <w:tcPr>
                  <w:tcW w:w="932" w:type="pct"/>
                  <w:tcBorders>
                    <w:tl2br w:val="nil"/>
                    <w:tr2bl w:val="nil"/>
                  </w:tcBorders>
                  <w:noWrap w:val="0"/>
                  <w:vAlign w:val="center"/>
                </w:tcPr>
                <w:p w14:paraId="2DD4D96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氢气</w:t>
                  </w:r>
                </w:p>
              </w:tc>
            </w:tr>
            <w:tr w14:paraId="26785F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6B4C8BC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w:t>
                  </w:r>
                </w:p>
              </w:tc>
              <w:tc>
                <w:tcPr>
                  <w:tcW w:w="596" w:type="pct"/>
                  <w:tcBorders>
                    <w:tl2br w:val="nil"/>
                    <w:tr2bl w:val="nil"/>
                  </w:tcBorders>
                  <w:noWrap w:val="0"/>
                  <w:vAlign w:val="center"/>
                </w:tcPr>
                <w:p w14:paraId="6D87845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富一氧化碳管道</w:t>
                  </w:r>
                </w:p>
              </w:tc>
              <w:tc>
                <w:tcPr>
                  <w:tcW w:w="667" w:type="pct"/>
                  <w:tcBorders>
                    <w:tl2br w:val="nil"/>
                    <w:tr2bl w:val="nil"/>
                  </w:tcBorders>
                  <w:noWrap w:val="0"/>
                  <w:vAlign w:val="center"/>
                </w:tcPr>
                <w:p w14:paraId="37A91D4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1D53A4B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5D39048B">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b w:val="0"/>
                      <w:bCs/>
                      <w:color w:val="auto"/>
                      <w:sz w:val="18"/>
                      <w:szCs w:val="18"/>
                      <w:highlight w:val="none"/>
                      <w:vertAlign w:val="baseline"/>
                      <w:lang w:val="en-US" w:eastAsia="zh-CN"/>
                    </w:rPr>
                  </w:pPr>
                  <w:r>
                    <w:rPr>
                      <w:rFonts w:hint="eastAsia" w:ascii="Times New Roman" w:hAnsi="Times New Roman" w:cs="Times New Roman"/>
                      <w:b w:val="0"/>
                      <w:bCs w:val="0"/>
                      <w:color w:val="auto"/>
                      <w:sz w:val="18"/>
                      <w:szCs w:val="18"/>
                      <w:highlight w:val="none"/>
                      <w:vertAlign w:val="baseline"/>
                      <w:lang w:val="en-US" w:eastAsia="zh-CN"/>
                    </w:rPr>
                    <w:t>221.084</w:t>
                  </w:r>
                </w:p>
              </w:tc>
              <w:tc>
                <w:tcPr>
                  <w:tcW w:w="656" w:type="pct"/>
                  <w:tcBorders>
                    <w:tl2br w:val="nil"/>
                    <w:tr2bl w:val="nil"/>
                  </w:tcBorders>
                  <w:noWrap w:val="0"/>
                  <w:vAlign w:val="center"/>
                </w:tcPr>
                <w:p w14:paraId="7308BB70">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100</w:t>
                  </w:r>
                </w:p>
              </w:tc>
              <w:tc>
                <w:tcPr>
                  <w:tcW w:w="525" w:type="pct"/>
                  <w:tcBorders>
                    <w:tl2br w:val="nil"/>
                    <w:tr2bl w:val="nil"/>
                  </w:tcBorders>
                  <w:noWrap w:val="0"/>
                  <w:vAlign w:val="center"/>
                </w:tcPr>
                <w:p w14:paraId="553F4F4E">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2.75</w:t>
                  </w:r>
                </w:p>
              </w:tc>
              <w:tc>
                <w:tcPr>
                  <w:tcW w:w="932" w:type="pct"/>
                  <w:tcBorders>
                    <w:tl2br w:val="nil"/>
                    <w:tr2bl w:val="nil"/>
                  </w:tcBorders>
                  <w:noWrap w:val="0"/>
                  <w:vAlign w:val="center"/>
                </w:tcPr>
                <w:p w14:paraId="0F421F9A">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CO</w:t>
                  </w:r>
                </w:p>
              </w:tc>
            </w:tr>
            <w:tr w14:paraId="7471D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0EE2512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3</w:t>
                  </w:r>
                </w:p>
              </w:tc>
              <w:tc>
                <w:tcPr>
                  <w:tcW w:w="596" w:type="pct"/>
                  <w:tcBorders>
                    <w:tl2br w:val="nil"/>
                    <w:tr2bl w:val="nil"/>
                  </w:tcBorders>
                  <w:noWrap w:val="0"/>
                  <w:vAlign w:val="center"/>
                </w:tcPr>
                <w:p w14:paraId="46A26AE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二氧化碳管道</w:t>
                  </w:r>
                </w:p>
              </w:tc>
              <w:tc>
                <w:tcPr>
                  <w:tcW w:w="667" w:type="pct"/>
                  <w:tcBorders>
                    <w:tl2br w:val="nil"/>
                    <w:tr2bl w:val="nil"/>
                  </w:tcBorders>
                  <w:noWrap w:val="0"/>
                  <w:vAlign w:val="center"/>
                </w:tcPr>
                <w:p w14:paraId="1CBDE485">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2AE6A301">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105478E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221.884</w:t>
                  </w:r>
                </w:p>
              </w:tc>
              <w:tc>
                <w:tcPr>
                  <w:tcW w:w="656" w:type="pct"/>
                  <w:tcBorders>
                    <w:tl2br w:val="nil"/>
                    <w:tr2bl w:val="nil"/>
                  </w:tcBorders>
                  <w:noWrap w:val="0"/>
                  <w:vAlign w:val="center"/>
                </w:tcPr>
                <w:p w14:paraId="76246DE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200</w:t>
                  </w:r>
                </w:p>
              </w:tc>
              <w:tc>
                <w:tcPr>
                  <w:tcW w:w="525" w:type="pct"/>
                  <w:tcBorders>
                    <w:tl2br w:val="nil"/>
                    <w:tr2bl w:val="nil"/>
                  </w:tcBorders>
                  <w:noWrap w:val="0"/>
                  <w:vAlign w:val="center"/>
                </w:tcPr>
                <w:p w14:paraId="07D2C1B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0.086</w:t>
                  </w:r>
                </w:p>
              </w:tc>
              <w:tc>
                <w:tcPr>
                  <w:tcW w:w="932" w:type="pct"/>
                  <w:tcBorders>
                    <w:tl2br w:val="nil"/>
                    <w:tr2bl w:val="nil"/>
                  </w:tcBorders>
                  <w:noWrap w:val="0"/>
                  <w:vAlign w:val="center"/>
                </w:tcPr>
                <w:p w14:paraId="26BB9FF3">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CO</w:t>
                  </w:r>
                  <w:r>
                    <w:rPr>
                      <w:rFonts w:hint="eastAsia"/>
                      <w:b w:val="0"/>
                      <w:bCs/>
                      <w:color w:val="auto"/>
                      <w:sz w:val="18"/>
                      <w:szCs w:val="18"/>
                      <w:highlight w:val="none"/>
                      <w:vertAlign w:val="subscript"/>
                      <w:lang w:val="en-US" w:eastAsia="zh-CN"/>
                    </w:rPr>
                    <w:t>2</w:t>
                  </w:r>
                </w:p>
              </w:tc>
            </w:tr>
            <w:tr w14:paraId="4B162A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3D0C832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4</w:t>
                  </w:r>
                </w:p>
              </w:tc>
              <w:tc>
                <w:tcPr>
                  <w:tcW w:w="596" w:type="pct"/>
                  <w:tcBorders>
                    <w:tl2br w:val="nil"/>
                    <w:tr2bl w:val="nil"/>
                  </w:tcBorders>
                  <w:noWrap w:val="0"/>
                  <w:vAlign w:val="center"/>
                </w:tcPr>
                <w:p w14:paraId="097B9EEF">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仪表空气管道</w:t>
                  </w:r>
                </w:p>
              </w:tc>
              <w:tc>
                <w:tcPr>
                  <w:tcW w:w="667" w:type="pct"/>
                  <w:tcBorders>
                    <w:tl2br w:val="nil"/>
                    <w:tr2bl w:val="nil"/>
                  </w:tcBorders>
                  <w:noWrap w:val="0"/>
                  <w:vAlign w:val="center"/>
                </w:tcPr>
                <w:p w14:paraId="52FAB83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02B8010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28446CC5">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220.384</w:t>
                  </w:r>
                </w:p>
              </w:tc>
              <w:tc>
                <w:tcPr>
                  <w:tcW w:w="656" w:type="pct"/>
                  <w:tcBorders>
                    <w:tl2br w:val="nil"/>
                    <w:tr2bl w:val="nil"/>
                  </w:tcBorders>
                  <w:noWrap w:val="0"/>
                  <w:vAlign w:val="center"/>
                </w:tcPr>
                <w:p w14:paraId="045E9F4E">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80</w:t>
                  </w:r>
                </w:p>
              </w:tc>
              <w:tc>
                <w:tcPr>
                  <w:tcW w:w="525" w:type="pct"/>
                  <w:tcBorders>
                    <w:tl2br w:val="nil"/>
                    <w:tr2bl w:val="nil"/>
                  </w:tcBorders>
                  <w:noWrap w:val="0"/>
                  <w:vAlign w:val="center"/>
                </w:tcPr>
                <w:p w14:paraId="6DC2B20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0.8</w:t>
                  </w:r>
                </w:p>
              </w:tc>
              <w:tc>
                <w:tcPr>
                  <w:tcW w:w="932" w:type="pct"/>
                  <w:tcBorders>
                    <w:tl2br w:val="nil"/>
                    <w:tr2bl w:val="nil"/>
                  </w:tcBorders>
                  <w:noWrap w:val="0"/>
                  <w:vAlign w:val="center"/>
                </w:tcPr>
                <w:p w14:paraId="469CC426">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空气</w:t>
                  </w:r>
                </w:p>
              </w:tc>
            </w:tr>
            <w:tr w14:paraId="5C233E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730522A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5</w:t>
                  </w:r>
                </w:p>
              </w:tc>
              <w:tc>
                <w:tcPr>
                  <w:tcW w:w="596" w:type="pct"/>
                  <w:tcBorders>
                    <w:tl2br w:val="nil"/>
                    <w:tr2bl w:val="nil"/>
                  </w:tcBorders>
                  <w:noWrap w:val="0"/>
                  <w:vAlign w:val="center"/>
                </w:tcPr>
                <w:p w14:paraId="6FAB904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工厂空气管道</w:t>
                  </w:r>
                </w:p>
              </w:tc>
              <w:tc>
                <w:tcPr>
                  <w:tcW w:w="667" w:type="pct"/>
                  <w:tcBorders>
                    <w:tl2br w:val="nil"/>
                    <w:tr2bl w:val="nil"/>
                  </w:tcBorders>
                  <w:noWrap w:val="0"/>
                  <w:vAlign w:val="center"/>
                </w:tcPr>
                <w:p w14:paraId="772DB3E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2AF9096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0ABBB446">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218.984</w:t>
                  </w:r>
                </w:p>
              </w:tc>
              <w:tc>
                <w:tcPr>
                  <w:tcW w:w="656" w:type="pct"/>
                  <w:tcBorders>
                    <w:tl2br w:val="nil"/>
                    <w:tr2bl w:val="nil"/>
                  </w:tcBorders>
                  <w:noWrap w:val="0"/>
                  <w:vAlign w:val="center"/>
                </w:tcPr>
                <w:p w14:paraId="769024BE">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80</w:t>
                  </w:r>
                </w:p>
              </w:tc>
              <w:tc>
                <w:tcPr>
                  <w:tcW w:w="525" w:type="pct"/>
                  <w:tcBorders>
                    <w:tl2br w:val="nil"/>
                    <w:tr2bl w:val="nil"/>
                  </w:tcBorders>
                  <w:noWrap w:val="0"/>
                  <w:vAlign w:val="center"/>
                </w:tcPr>
                <w:p w14:paraId="2C73E126">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0.8</w:t>
                  </w:r>
                </w:p>
              </w:tc>
              <w:tc>
                <w:tcPr>
                  <w:tcW w:w="932" w:type="pct"/>
                  <w:tcBorders>
                    <w:tl2br w:val="nil"/>
                    <w:tr2bl w:val="nil"/>
                  </w:tcBorders>
                  <w:noWrap w:val="0"/>
                  <w:vAlign w:val="center"/>
                </w:tcPr>
                <w:p w14:paraId="152582DF">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空气</w:t>
                  </w:r>
                </w:p>
              </w:tc>
            </w:tr>
            <w:tr w14:paraId="20B53C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1809C79A">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6</w:t>
                  </w:r>
                </w:p>
              </w:tc>
              <w:tc>
                <w:tcPr>
                  <w:tcW w:w="596" w:type="pct"/>
                  <w:tcBorders>
                    <w:tl2br w:val="nil"/>
                    <w:tr2bl w:val="nil"/>
                  </w:tcBorders>
                  <w:noWrap w:val="0"/>
                  <w:vAlign w:val="center"/>
                </w:tcPr>
                <w:p w14:paraId="0C120610">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中压氮气管道</w:t>
                  </w:r>
                </w:p>
              </w:tc>
              <w:tc>
                <w:tcPr>
                  <w:tcW w:w="667" w:type="pct"/>
                  <w:tcBorders>
                    <w:tl2br w:val="nil"/>
                    <w:tr2bl w:val="nil"/>
                  </w:tcBorders>
                  <w:noWrap w:val="0"/>
                  <w:vAlign w:val="center"/>
                </w:tcPr>
                <w:p w14:paraId="51F1B00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41D6E03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5A3206EA">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220.186</w:t>
                  </w:r>
                </w:p>
              </w:tc>
              <w:tc>
                <w:tcPr>
                  <w:tcW w:w="656" w:type="pct"/>
                  <w:tcBorders>
                    <w:tl2br w:val="nil"/>
                    <w:tr2bl w:val="nil"/>
                  </w:tcBorders>
                  <w:noWrap w:val="0"/>
                  <w:vAlign w:val="center"/>
                </w:tcPr>
                <w:p w14:paraId="4F25FA85">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50</w:t>
                  </w:r>
                </w:p>
              </w:tc>
              <w:tc>
                <w:tcPr>
                  <w:tcW w:w="525" w:type="pct"/>
                  <w:tcBorders>
                    <w:tl2br w:val="nil"/>
                    <w:tr2bl w:val="nil"/>
                  </w:tcBorders>
                  <w:noWrap w:val="0"/>
                  <w:vAlign w:val="center"/>
                </w:tcPr>
                <w:p w14:paraId="202E6C67">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4.2</w:t>
                  </w:r>
                </w:p>
              </w:tc>
              <w:tc>
                <w:tcPr>
                  <w:tcW w:w="932" w:type="pct"/>
                  <w:tcBorders>
                    <w:tl2br w:val="nil"/>
                    <w:tr2bl w:val="nil"/>
                  </w:tcBorders>
                  <w:noWrap w:val="0"/>
                  <w:vAlign w:val="center"/>
                </w:tcPr>
                <w:p w14:paraId="372BB95A">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氮气</w:t>
                  </w:r>
                </w:p>
              </w:tc>
            </w:tr>
            <w:tr w14:paraId="73A596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2598617C">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7</w:t>
                  </w:r>
                </w:p>
              </w:tc>
              <w:tc>
                <w:tcPr>
                  <w:tcW w:w="596" w:type="pct"/>
                  <w:tcBorders>
                    <w:tl2br w:val="nil"/>
                    <w:tr2bl w:val="nil"/>
                  </w:tcBorders>
                  <w:noWrap w:val="0"/>
                  <w:vAlign w:val="center"/>
                </w:tcPr>
                <w:p w14:paraId="44D488B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低压氮气管道</w:t>
                  </w:r>
                </w:p>
              </w:tc>
              <w:tc>
                <w:tcPr>
                  <w:tcW w:w="667" w:type="pct"/>
                  <w:tcBorders>
                    <w:tl2br w:val="nil"/>
                    <w:tr2bl w:val="nil"/>
                  </w:tcBorders>
                  <w:noWrap w:val="0"/>
                  <w:vAlign w:val="center"/>
                </w:tcPr>
                <w:p w14:paraId="41C6C54D">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3F44C86C">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1E239491">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220.186</w:t>
                  </w:r>
                </w:p>
              </w:tc>
              <w:tc>
                <w:tcPr>
                  <w:tcW w:w="656" w:type="pct"/>
                  <w:tcBorders>
                    <w:tl2br w:val="nil"/>
                    <w:tr2bl w:val="nil"/>
                  </w:tcBorders>
                  <w:noWrap w:val="0"/>
                  <w:vAlign w:val="center"/>
                </w:tcPr>
                <w:p w14:paraId="054CAB8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100</w:t>
                  </w:r>
                </w:p>
              </w:tc>
              <w:tc>
                <w:tcPr>
                  <w:tcW w:w="525" w:type="pct"/>
                  <w:tcBorders>
                    <w:tl2br w:val="nil"/>
                    <w:tr2bl w:val="nil"/>
                  </w:tcBorders>
                  <w:noWrap w:val="0"/>
                  <w:vAlign w:val="center"/>
                </w:tcPr>
                <w:p w14:paraId="4B15D68E">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0.8</w:t>
                  </w:r>
                </w:p>
              </w:tc>
              <w:tc>
                <w:tcPr>
                  <w:tcW w:w="932" w:type="pct"/>
                  <w:tcBorders>
                    <w:tl2br w:val="nil"/>
                    <w:tr2bl w:val="nil"/>
                  </w:tcBorders>
                  <w:noWrap w:val="0"/>
                  <w:vAlign w:val="center"/>
                </w:tcPr>
                <w:p w14:paraId="114D79F1">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氮气</w:t>
                  </w:r>
                </w:p>
              </w:tc>
            </w:tr>
            <w:tr w14:paraId="4CE24B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7CE7CF4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8</w:t>
                  </w:r>
                </w:p>
              </w:tc>
              <w:tc>
                <w:tcPr>
                  <w:tcW w:w="596" w:type="pct"/>
                  <w:tcBorders>
                    <w:tl2br w:val="nil"/>
                    <w:tr2bl w:val="nil"/>
                  </w:tcBorders>
                  <w:noWrap w:val="0"/>
                  <w:vAlign w:val="center"/>
                </w:tcPr>
                <w:p w14:paraId="577869E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中压蒸汽管道</w:t>
                  </w:r>
                </w:p>
              </w:tc>
              <w:tc>
                <w:tcPr>
                  <w:tcW w:w="667" w:type="pct"/>
                  <w:tcBorders>
                    <w:tl2br w:val="nil"/>
                    <w:tr2bl w:val="nil"/>
                  </w:tcBorders>
                  <w:noWrap w:val="0"/>
                  <w:vAlign w:val="center"/>
                </w:tcPr>
                <w:p w14:paraId="3F1AF82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97" w:type="pct"/>
                  <w:tcBorders>
                    <w:tl2br w:val="nil"/>
                    <w:tr2bl w:val="nil"/>
                  </w:tcBorders>
                  <w:noWrap w:val="0"/>
                  <w:vAlign w:val="center"/>
                </w:tcPr>
                <w:p w14:paraId="2CE4FFD5">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56" w:type="pct"/>
                  <w:tcBorders>
                    <w:tl2br w:val="nil"/>
                    <w:tr2bl w:val="nil"/>
                  </w:tcBorders>
                  <w:noWrap w:val="0"/>
                  <w:vAlign w:val="center"/>
                </w:tcPr>
                <w:p w14:paraId="7CC5A9DA">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258.93</w:t>
                  </w:r>
                </w:p>
              </w:tc>
              <w:tc>
                <w:tcPr>
                  <w:tcW w:w="656" w:type="pct"/>
                  <w:tcBorders>
                    <w:tl2br w:val="nil"/>
                    <w:tr2bl w:val="nil"/>
                  </w:tcBorders>
                  <w:noWrap w:val="0"/>
                  <w:vAlign w:val="center"/>
                </w:tcPr>
                <w:p w14:paraId="1B753746">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300</w:t>
                  </w:r>
                </w:p>
              </w:tc>
              <w:tc>
                <w:tcPr>
                  <w:tcW w:w="525" w:type="pct"/>
                  <w:tcBorders>
                    <w:tl2br w:val="nil"/>
                    <w:tr2bl w:val="nil"/>
                  </w:tcBorders>
                  <w:noWrap w:val="0"/>
                  <w:vAlign w:val="center"/>
                </w:tcPr>
                <w:p w14:paraId="1930D82E">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2.5</w:t>
                  </w:r>
                </w:p>
              </w:tc>
              <w:tc>
                <w:tcPr>
                  <w:tcW w:w="932" w:type="pct"/>
                  <w:tcBorders>
                    <w:tl2br w:val="nil"/>
                    <w:tr2bl w:val="nil"/>
                  </w:tcBorders>
                  <w:noWrap w:val="0"/>
                  <w:vAlign w:val="center"/>
                </w:tcPr>
                <w:p w14:paraId="611B3407">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中压蒸汽</w:t>
                  </w:r>
                </w:p>
              </w:tc>
            </w:tr>
            <w:tr w14:paraId="3CE68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726F29B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9</w:t>
                  </w:r>
                </w:p>
              </w:tc>
              <w:tc>
                <w:tcPr>
                  <w:tcW w:w="596" w:type="pct"/>
                  <w:tcBorders>
                    <w:tl2br w:val="nil"/>
                    <w:tr2bl w:val="nil"/>
                  </w:tcBorders>
                  <w:noWrap w:val="0"/>
                  <w:vAlign w:val="center"/>
                </w:tcPr>
                <w:p w14:paraId="5E761E07">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ascii="Times New Roman" w:hAnsi="Times New Roman" w:cs="Times New Roman"/>
                      <w:color w:val="auto"/>
                      <w:sz w:val="18"/>
                      <w:szCs w:val="18"/>
                      <w:highlight w:val="none"/>
                      <w:lang w:val="en-US" w:eastAsia="zh-CN"/>
                    </w:rPr>
                    <w:t>蒸汽凝液管道</w:t>
                  </w:r>
                </w:p>
              </w:tc>
              <w:tc>
                <w:tcPr>
                  <w:tcW w:w="667" w:type="pct"/>
                  <w:tcBorders>
                    <w:tl2br w:val="nil"/>
                    <w:tr2bl w:val="nil"/>
                  </w:tcBorders>
                  <w:noWrap w:val="0"/>
                  <w:vAlign w:val="center"/>
                </w:tcPr>
                <w:p w14:paraId="224D664F">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97" w:type="pct"/>
                  <w:tcBorders>
                    <w:tl2br w:val="nil"/>
                    <w:tr2bl w:val="nil"/>
                  </w:tcBorders>
                  <w:noWrap w:val="0"/>
                  <w:vAlign w:val="center"/>
                </w:tcPr>
                <w:p w14:paraId="1FF917D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56" w:type="pct"/>
                  <w:tcBorders>
                    <w:tl2br w:val="nil"/>
                    <w:tr2bl w:val="nil"/>
                  </w:tcBorders>
                  <w:noWrap w:val="0"/>
                  <w:vAlign w:val="center"/>
                </w:tcPr>
                <w:p w14:paraId="53A72F7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250.23</w:t>
                  </w:r>
                </w:p>
              </w:tc>
              <w:tc>
                <w:tcPr>
                  <w:tcW w:w="656" w:type="pct"/>
                  <w:tcBorders>
                    <w:tl2br w:val="nil"/>
                    <w:tr2bl w:val="nil"/>
                  </w:tcBorders>
                  <w:noWrap w:val="0"/>
                  <w:vAlign w:val="center"/>
                </w:tcPr>
                <w:p w14:paraId="669804DD">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100</w:t>
                  </w:r>
                </w:p>
              </w:tc>
              <w:tc>
                <w:tcPr>
                  <w:tcW w:w="525" w:type="pct"/>
                  <w:tcBorders>
                    <w:tl2br w:val="nil"/>
                    <w:tr2bl w:val="nil"/>
                  </w:tcBorders>
                  <w:noWrap w:val="0"/>
                  <w:vAlign w:val="center"/>
                </w:tcPr>
                <w:p w14:paraId="3CD2356C">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0.5</w:t>
                  </w:r>
                </w:p>
              </w:tc>
              <w:tc>
                <w:tcPr>
                  <w:tcW w:w="932" w:type="pct"/>
                  <w:tcBorders>
                    <w:tl2br w:val="nil"/>
                    <w:tr2bl w:val="nil"/>
                  </w:tcBorders>
                  <w:noWrap w:val="0"/>
                  <w:vAlign w:val="center"/>
                </w:tcPr>
                <w:p w14:paraId="1965F131">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蒸汽冷凝水</w:t>
                  </w:r>
                </w:p>
              </w:tc>
            </w:tr>
            <w:tr w14:paraId="716569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7509B6CE">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10</w:t>
                  </w:r>
                </w:p>
              </w:tc>
              <w:tc>
                <w:tcPr>
                  <w:tcW w:w="596" w:type="pct"/>
                  <w:tcBorders>
                    <w:tl2br w:val="nil"/>
                    <w:tr2bl w:val="nil"/>
                  </w:tcBorders>
                  <w:noWrap w:val="0"/>
                  <w:vAlign w:val="center"/>
                </w:tcPr>
                <w:p w14:paraId="6056D9DC">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火炬废水管道</w:t>
                  </w:r>
                </w:p>
              </w:tc>
              <w:tc>
                <w:tcPr>
                  <w:tcW w:w="667" w:type="pct"/>
                  <w:tcBorders>
                    <w:tl2br w:val="nil"/>
                    <w:tr2bl w:val="nil"/>
                  </w:tcBorders>
                  <w:noWrap w:val="0"/>
                  <w:vAlign w:val="center"/>
                </w:tcPr>
                <w:p w14:paraId="55CC49FD">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97" w:type="pct"/>
                  <w:tcBorders>
                    <w:tl2br w:val="nil"/>
                    <w:tr2bl w:val="nil"/>
                  </w:tcBorders>
                  <w:noWrap w:val="0"/>
                  <w:vAlign w:val="center"/>
                </w:tcPr>
                <w:p w14:paraId="404AF915">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56" w:type="pct"/>
                  <w:tcBorders>
                    <w:tl2br w:val="nil"/>
                    <w:tr2bl w:val="nil"/>
                  </w:tcBorders>
                  <w:noWrap w:val="0"/>
                  <w:vAlign w:val="center"/>
                </w:tcPr>
                <w:p w14:paraId="2B08A6F3">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219.438</w:t>
                  </w:r>
                </w:p>
              </w:tc>
              <w:tc>
                <w:tcPr>
                  <w:tcW w:w="656" w:type="pct"/>
                  <w:tcBorders>
                    <w:tl2br w:val="nil"/>
                    <w:tr2bl w:val="nil"/>
                  </w:tcBorders>
                  <w:noWrap w:val="0"/>
                  <w:vAlign w:val="center"/>
                </w:tcPr>
                <w:p w14:paraId="0865F5CF">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100</w:t>
                  </w:r>
                </w:p>
              </w:tc>
              <w:tc>
                <w:tcPr>
                  <w:tcW w:w="525" w:type="pct"/>
                  <w:tcBorders>
                    <w:tl2br w:val="nil"/>
                    <w:tr2bl w:val="nil"/>
                  </w:tcBorders>
                  <w:noWrap w:val="0"/>
                  <w:vAlign w:val="center"/>
                </w:tcPr>
                <w:p w14:paraId="01FABC7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0.45</w:t>
                  </w:r>
                </w:p>
              </w:tc>
              <w:tc>
                <w:tcPr>
                  <w:tcW w:w="932" w:type="pct"/>
                  <w:tcBorders>
                    <w:tl2br w:val="nil"/>
                    <w:tr2bl w:val="nil"/>
                  </w:tcBorders>
                  <w:noWrap w:val="0"/>
                  <w:vAlign w:val="center"/>
                </w:tcPr>
                <w:p w14:paraId="5BDD9F3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火炬驰放废水</w:t>
                  </w:r>
                </w:p>
              </w:tc>
            </w:tr>
            <w:tr w14:paraId="64193F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6" w:type="pct"/>
                  <w:tcBorders>
                    <w:tl2br w:val="nil"/>
                    <w:tr2bl w:val="nil"/>
                  </w:tcBorders>
                  <w:noWrap w:val="0"/>
                  <w:vAlign w:val="center"/>
                </w:tcPr>
                <w:p w14:paraId="10982EF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kern w:val="2"/>
                      <w:sz w:val="18"/>
                      <w:szCs w:val="18"/>
                      <w:highlight w:val="none"/>
                      <w:vertAlign w:val="baseline"/>
                      <w:lang w:val="en-US" w:eastAsia="zh-CN" w:bidi="ar-SA"/>
                    </w:rPr>
                  </w:pPr>
                  <w:r>
                    <w:rPr>
                      <w:rFonts w:hint="eastAsia"/>
                      <w:b w:val="0"/>
                      <w:bCs/>
                      <w:color w:val="auto"/>
                      <w:sz w:val="18"/>
                      <w:szCs w:val="18"/>
                      <w:highlight w:val="none"/>
                      <w:vertAlign w:val="baseline"/>
                      <w:lang w:val="en-US" w:eastAsia="zh-CN"/>
                    </w:rPr>
                    <w:t>11</w:t>
                  </w:r>
                </w:p>
              </w:tc>
              <w:tc>
                <w:tcPr>
                  <w:tcW w:w="596" w:type="pct"/>
                  <w:tcBorders>
                    <w:tl2br w:val="nil"/>
                    <w:tr2bl w:val="nil"/>
                  </w:tcBorders>
                  <w:noWrap w:val="0"/>
                  <w:vAlign w:val="center"/>
                </w:tcPr>
                <w:p w14:paraId="3A42E6D3">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ascii="Times New Roman" w:hAnsi="Times New Roman" w:cs="Times New Roman"/>
                      <w:b w:val="0"/>
                      <w:bCs w:val="0"/>
                      <w:color w:val="auto"/>
                      <w:kern w:val="0"/>
                      <w:sz w:val="18"/>
                      <w:szCs w:val="18"/>
                      <w:highlight w:val="none"/>
                      <w:vertAlign w:val="baseline"/>
                      <w:lang w:val="en-US" w:eastAsia="zh-CN"/>
                    </w:rPr>
                    <w:t>循环水排污管道</w:t>
                  </w:r>
                </w:p>
              </w:tc>
              <w:tc>
                <w:tcPr>
                  <w:tcW w:w="667" w:type="pct"/>
                  <w:tcBorders>
                    <w:tl2br w:val="nil"/>
                    <w:tr2bl w:val="nil"/>
                  </w:tcBorders>
                  <w:noWrap w:val="0"/>
                  <w:vAlign w:val="center"/>
                </w:tcPr>
                <w:p w14:paraId="7CBBAB73">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基地厂界</w:t>
                  </w:r>
                </w:p>
              </w:tc>
              <w:tc>
                <w:tcPr>
                  <w:tcW w:w="697" w:type="pct"/>
                  <w:tcBorders>
                    <w:tl2br w:val="nil"/>
                    <w:tr2bl w:val="nil"/>
                  </w:tcBorders>
                  <w:noWrap w:val="0"/>
                  <w:vAlign w:val="center"/>
                </w:tcPr>
                <w:p w14:paraId="520C9E7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中煤界</w:t>
                  </w:r>
                </w:p>
              </w:tc>
              <w:tc>
                <w:tcPr>
                  <w:tcW w:w="656" w:type="pct"/>
                  <w:tcBorders>
                    <w:tl2br w:val="nil"/>
                    <w:tr2bl w:val="nil"/>
                  </w:tcBorders>
                  <w:noWrap w:val="0"/>
                  <w:vAlign w:val="center"/>
                </w:tcPr>
                <w:p w14:paraId="7C1CD5C8">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219.438</w:t>
                  </w:r>
                </w:p>
              </w:tc>
              <w:tc>
                <w:tcPr>
                  <w:tcW w:w="656" w:type="pct"/>
                  <w:tcBorders>
                    <w:tl2br w:val="nil"/>
                    <w:tr2bl w:val="nil"/>
                  </w:tcBorders>
                  <w:noWrap w:val="0"/>
                  <w:vAlign w:val="center"/>
                </w:tcPr>
                <w:p w14:paraId="4BD06B86">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100</w:t>
                  </w:r>
                </w:p>
              </w:tc>
              <w:tc>
                <w:tcPr>
                  <w:tcW w:w="525" w:type="pct"/>
                  <w:tcBorders>
                    <w:tl2br w:val="nil"/>
                    <w:tr2bl w:val="nil"/>
                  </w:tcBorders>
                  <w:noWrap w:val="0"/>
                  <w:vAlign w:val="center"/>
                </w:tcPr>
                <w:p w14:paraId="60A8D5D1">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0.45</w:t>
                  </w:r>
                </w:p>
              </w:tc>
              <w:tc>
                <w:tcPr>
                  <w:tcW w:w="932" w:type="pct"/>
                  <w:tcBorders>
                    <w:tl2br w:val="nil"/>
                    <w:tr2bl w:val="nil"/>
                  </w:tcBorders>
                  <w:noWrap w:val="0"/>
                  <w:vAlign w:val="center"/>
                </w:tcPr>
                <w:p w14:paraId="2B70C39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循环水排污</w:t>
                  </w:r>
                </w:p>
              </w:tc>
            </w:tr>
          </w:tbl>
          <w:p w14:paraId="29FFCDBB">
            <w:pPr>
              <w:keepNext w:val="0"/>
              <w:keepLines w:val="0"/>
              <w:pageBreakBefore w:val="0"/>
              <w:widowControl w:val="0"/>
              <w:kinsoku/>
              <w:wordWrap/>
              <w:overflowPunct/>
              <w:topLinePunct w:val="0"/>
              <w:autoSpaceDE w:val="0"/>
              <w:autoSpaceDN/>
              <w:bidi w:val="0"/>
              <w:adjustRightInd/>
              <w:snapToGrid/>
              <w:spacing w:before="157" w:beforeLines="50" w:line="360" w:lineRule="auto"/>
              <w:jc w:val="center"/>
              <w:textAlignment w:val="auto"/>
              <w:rPr>
                <w:rFonts w:hint="default"/>
                <w:b/>
                <w:color w:val="auto"/>
                <w:sz w:val="21"/>
                <w:szCs w:val="21"/>
                <w:highlight w:val="none"/>
                <w:lang w:val="en-US" w:eastAsia="zh-CN"/>
              </w:rPr>
            </w:pPr>
            <w:r>
              <w:rPr>
                <w:rFonts w:hint="eastAsia"/>
                <w:b/>
                <w:color w:val="auto"/>
                <w:sz w:val="21"/>
                <w:szCs w:val="21"/>
                <w:highlight w:val="none"/>
                <w:lang w:val="en-US" w:eastAsia="zh-CN"/>
              </w:rPr>
              <w:t>表2-3   管廊跨越园区道路情况一览表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1"/>
              <w:gridCol w:w="1631"/>
              <w:gridCol w:w="1632"/>
              <w:gridCol w:w="1632"/>
              <w:gridCol w:w="1635"/>
            </w:tblGrid>
            <w:tr w14:paraId="0E6EB1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99" w:type="pct"/>
                  <w:vMerge w:val="restart"/>
                  <w:tcBorders>
                    <w:tl2br w:val="nil"/>
                    <w:tr2bl w:val="nil"/>
                  </w:tcBorders>
                  <w:noWrap w:val="0"/>
                  <w:vAlign w:val="center"/>
                </w:tcPr>
                <w:p w14:paraId="2E9024DF">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道路名称</w:t>
                  </w:r>
                </w:p>
              </w:tc>
              <w:tc>
                <w:tcPr>
                  <w:tcW w:w="999" w:type="pct"/>
                  <w:vMerge w:val="restart"/>
                  <w:tcBorders>
                    <w:tl2br w:val="nil"/>
                    <w:tr2bl w:val="nil"/>
                  </w:tcBorders>
                  <w:noWrap w:val="0"/>
                  <w:vAlign w:val="center"/>
                </w:tcPr>
                <w:p w14:paraId="2B672637">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道路宽度</w:t>
                  </w:r>
                </w:p>
              </w:tc>
              <w:tc>
                <w:tcPr>
                  <w:tcW w:w="999" w:type="pct"/>
                  <w:vMerge w:val="restart"/>
                  <w:tcBorders>
                    <w:tl2br w:val="nil"/>
                    <w:tr2bl w:val="nil"/>
                  </w:tcBorders>
                  <w:noWrap w:val="0"/>
                  <w:vAlign w:val="center"/>
                </w:tcPr>
                <w:p w14:paraId="72810269">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跨越长度</w:t>
                  </w:r>
                </w:p>
              </w:tc>
              <w:tc>
                <w:tcPr>
                  <w:tcW w:w="2000" w:type="pct"/>
                  <w:gridSpan w:val="2"/>
                  <w:tcBorders>
                    <w:tl2br w:val="nil"/>
                    <w:tr2bl w:val="nil"/>
                  </w:tcBorders>
                  <w:noWrap w:val="0"/>
                  <w:vAlign w:val="center"/>
                </w:tcPr>
                <w:p w14:paraId="7727FD9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管廊高度</w:t>
                  </w:r>
                </w:p>
              </w:tc>
            </w:tr>
            <w:tr w14:paraId="045F0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999" w:type="pct"/>
                  <w:vMerge w:val="continue"/>
                  <w:tcBorders>
                    <w:tl2br w:val="nil"/>
                    <w:tr2bl w:val="nil"/>
                  </w:tcBorders>
                  <w:noWrap w:val="0"/>
                  <w:vAlign w:val="center"/>
                </w:tcPr>
                <w:p w14:paraId="740BD81D">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p>
              </w:tc>
              <w:tc>
                <w:tcPr>
                  <w:tcW w:w="999" w:type="pct"/>
                  <w:vMerge w:val="continue"/>
                  <w:tcBorders>
                    <w:tl2br w:val="nil"/>
                    <w:tr2bl w:val="nil"/>
                  </w:tcBorders>
                  <w:noWrap w:val="0"/>
                  <w:vAlign w:val="center"/>
                </w:tcPr>
                <w:p w14:paraId="0EA663D2">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p>
              </w:tc>
              <w:tc>
                <w:tcPr>
                  <w:tcW w:w="999" w:type="pct"/>
                  <w:vMerge w:val="continue"/>
                  <w:tcBorders>
                    <w:tl2br w:val="nil"/>
                    <w:tr2bl w:val="nil"/>
                  </w:tcBorders>
                  <w:noWrap w:val="0"/>
                  <w:vAlign w:val="center"/>
                </w:tcPr>
                <w:p w14:paraId="57F443CB">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p>
              </w:tc>
              <w:tc>
                <w:tcPr>
                  <w:tcW w:w="999" w:type="pct"/>
                  <w:tcBorders>
                    <w:tl2br w:val="nil"/>
                    <w:tr2bl w:val="nil"/>
                  </w:tcBorders>
                  <w:noWrap w:val="0"/>
                  <w:vAlign w:val="center"/>
                </w:tcPr>
                <w:p w14:paraId="21C6E8B0">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eastAsia"/>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（跨越段）</w:t>
                  </w:r>
                </w:p>
              </w:tc>
              <w:tc>
                <w:tcPr>
                  <w:tcW w:w="1000" w:type="pct"/>
                  <w:tcBorders>
                    <w:tl2br w:val="nil"/>
                    <w:tr2bl w:val="nil"/>
                  </w:tcBorders>
                  <w:noWrap w:val="0"/>
                  <w:vAlign w:val="center"/>
                </w:tcPr>
                <w:p w14:paraId="4A8EF9DA">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非跨越段</w:t>
                  </w:r>
                </w:p>
              </w:tc>
            </w:tr>
            <w:tr w14:paraId="04728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noWrap w:val="0"/>
                  <w:vAlign w:val="center"/>
                </w:tcPr>
                <w:p w14:paraId="725EA885">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经一路</w:t>
                  </w:r>
                </w:p>
              </w:tc>
              <w:tc>
                <w:tcPr>
                  <w:tcW w:w="999" w:type="pct"/>
                  <w:tcBorders>
                    <w:tl2br w:val="nil"/>
                    <w:tr2bl w:val="nil"/>
                  </w:tcBorders>
                  <w:noWrap w:val="0"/>
                  <w:vAlign w:val="center"/>
                </w:tcPr>
                <w:p w14:paraId="031363C4">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62.8m</w:t>
                  </w:r>
                </w:p>
              </w:tc>
              <w:tc>
                <w:tcPr>
                  <w:tcW w:w="999" w:type="pct"/>
                  <w:tcBorders>
                    <w:tl2br w:val="nil"/>
                    <w:tr2bl w:val="nil"/>
                  </w:tcBorders>
                  <w:noWrap w:val="0"/>
                  <w:vAlign w:val="center"/>
                </w:tcPr>
                <w:p w14:paraId="6EF7AADA">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92.9</w:t>
                  </w:r>
                </w:p>
              </w:tc>
              <w:tc>
                <w:tcPr>
                  <w:tcW w:w="999" w:type="pct"/>
                  <w:tcBorders>
                    <w:tl2br w:val="nil"/>
                    <w:tr2bl w:val="nil"/>
                  </w:tcBorders>
                  <w:noWrap w:val="0"/>
                  <w:vAlign w:val="center"/>
                </w:tcPr>
                <w:p w14:paraId="5525C53C">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≥6m</w:t>
                  </w:r>
                </w:p>
              </w:tc>
              <w:tc>
                <w:tcPr>
                  <w:tcW w:w="1000" w:type="pct"/>
                  <w:tcBorders>
                    <w:tl2br w:val="nil"/>
                    <w:tr2bl w:val="nil"/>
                  </w:tcBorders>
                  <w:noWrap w:val="0"/>
                  <w:vAlign w:val="center"/>
                </w:tcPr>
                <w:p w14:paraId="34938095">
                  <w:pPr>
                    <w:keepNext w:val="0"/>
                    <w:keepLines w:val="0"/>
                    <w:pageBreakBefore w:val="0"/>
                    <w:widowControl w:val="0"/>
                    <w:kinsoku/>
                    <w:wordWrap/>
                    <w:overflowPunct/>
                    <w:topLinePunct w:val="0"/>
                    <w:autoSpaceDE w:val="0"/>
                    <w:autoSpaceDN/>
                    <w:bidi w:val="0"/>
                    <w:adjustRightInd/>
                    <w:snapToGrid/>
                    <w:spacing w:line="240" w:lineRule="auto"/>
                    <w:jc w:val="center"/>
                    <w:textAlignment w:val="auto"/>
                    <w:rPr>
                      <w:rFonts w:hint="default"/>
                      <w:b w:val="0"/>
                      <w:bCs/>
                      <w:color w:val="auto"/>
                      <w:sz w:val="18"/>
                      <w:szCs w:val="18"/>
                      <w:highlight w:val="none"/>
                      <w:vertAlign w:val="baseline"/>
                      <w:lang w:val="en-US" w:eastAsia="zh-CN"/>
                    </w:rPr>
                  </w:pPr>
                  <w:r>
                    <w:rPr>
                      <w:rFonts w:hint="eastAsia"/>
                      <w:b w:val="0"/>
                      <w:bCs/>
                      <w:color w:val="auto"/>
                      <w:sz w:val="18"/>
                      <w:szCs w:val="18"/>
                      <w:highlight w:val="none"/>
                      <w:vertAlign w:val="baseline"/>
                      <w:lang w:val="en-US" w:eastAsia="zh-CN"/>
                    </w:rPr>
                    <w:t>≥3m</w:t>
                  </w:r>
                </w:p>
              </w:tc>
            </w:tr>
          </w:tbl>
          <w:p w14:paraId="4FF1EDF7">
            <w:pPr>
              <w:pStyle w:val="22"/>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b/>
                <w:bCs w:val="0"/>
                <w:color w:val="auto"/>
                <w:sz w:val="21"/>
                <w:szCs w:val="21"/>
                <w:highlight w:val="none"/>
                <w:lang w:val="en-US" w:eastAsia="zh-CN"/>
              </w:rPr>
            </w:pPr>
            <w:r>
              <w:rPr>
                <w:rFonts w:hint="eastAsia"/>
                <w:b/>
                <w:bCs w:val="0"/>
                <w:color w:val="auto"/>
                <w:sz w:val="21"/>
                <w:szCs w:val="21"/>
                <w:highlight w:val="none"/>
                <w:lang w:val="en-US" w:eastAsia="zh-CN"/>
              </w:rPr>
              <w:t>4、主要设备</w:t>
            </w:r>
          </w:p>
          <w:p w14:paraId="3D020C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本项目为中试基地基础设施建设工程，涉及的主要设备为基地公用工程基础设施配套设备和研发中心实验室基础实验设备，不涉及具体的中试生产设备。本项目主要设备构成见表2-4。</w:t>
            </w:r>
          </w:p>
          <w:p w14:paraId="5C2812DC">
            <w:pPr>
              <w:pStyle w:val="22"/>
              <w:keepNext w:val="0"/>
              <w:keepLines w:val="0"/>
              <w:pageBreakBefore w:val="0"/>
              <w:widowControl w:val="0"/>
              <w:kinsoku/>
              <w:wordWrap/>
              <w:overflowPunct/>
              <w:topLinePunct w:val="0"/>
              <w:autoSpaceDE/>
              <w:autoSpaceDN/>
              <w:bidi w:val="0"/>
              <w:adjustRightInd/>
              <w:snapToGrid/>
              <w:spacing w:after="0" w:line="360" w:lineRule="auto"/>
              <w:ind w:firstLine="0" w:firstLineChars="0"/>
              <w:jc w:val="center"/>
              <w:textAlignment w:val="auto"/>
              <w:rPr>
                <w:rFonts w:hint="default"/>
                <w:b/>
                <w:bCs w:val="0"/>
                <w:color w:val="auto"/>
                <w:sz w:val="21"/>
                <w:szCs w:val="21"/>
                <w:highlight w:val="none"/>
                <w:lang w:val="en-US" w:eastAsia="zh-CN"/>
              </w:rPr>
            </w:pPr>
            <w:r>
              <w:rPr>
                <w:rFonts w:hint="eastAsia"/>
                <w:b/>
                <w:bCs w:val="0"/>
                <w:color w:val="auto"/>
                <w:sz w:val="21"/>
                <w:szCs w:val="21"/>
                <w:highlight w:val="none"/>
                <w:lang w:val="en-US" w:eastAsia="zh-CN"/>
              </w:rPr>
              <w:t>表2-4   本项目主要设备构成一览表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3242"/>
              <w:gridCol w:w="839"/>
              <w:gridCol w:w="630"/>
              <w:gridCol w:w="2423"/>
            </w:tblGrid>
            <w:tr w14:paraId="1A3D2D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tcBorders>
                    <w:tl2br w:val="nil"/>
                    <w:tr2bl w:val="nil"/>
                  </w:tcBorders>
                  <w:noWrap w:val="0"/>
                  <w:vAlign w:val="center"/>
                </w:tcPr>
                <w:p w14:paraId="6DF9CB6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设施场所</w:t>
                  </w:r>
                </w:p>
              </w:tc>
              <w:tc>
                <w:tcPr>
                  <w:tcW w:w="1985" w:type="pct"/>
                  <w:tcBorders>
                    <w:tl2br w:val="nil"/>
                    <w:tr2bl w:val="nil"/>
                  </w:tcBorders>
                  <w:noWrap w:val="0"/>
                  <w:vAlign w:val="center"/>
                </w:tcPr>
                <w:p w14:paraId="7B69535B">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设备名称</w:t>
                  </w:r>
                </w:p>
              </w:tc>
              <w:tc>
                <w:tcPr>
                  <w:tcW w:w="514" w:type="pct"/>
                  <w:tcBorders>
                    <w:tl2br w:val="nil"/>
                    <w:tr2bl w:val="nil"/>
                  </w:tcBorders>
                  <w:noWrap w:val="0"/>
                  <w:vAlign w:val="center"/>
                </w:tcPr>
                <w:p w14:paraId="4921CAB8">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单位</w:t>
                  </w:r>
                </w:p>
              </w:tc>
              <w:tc>
                <w:tcPr>
                  <w:tcW w:w="386" w:type="pct"/>
                  <w:tcBorders>
                    <w:tl2br w:val="nil"/>
                    <w:tr2bl w:val="nil"/>
                  </w:tcBorders>
                  <w:noWrap w:val="0"/>
                  <w:vAlign w:val="center"/>
                </w:tcPr>
                <w:p w14:paraId="20BAFF4A">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数量</w:t>
                  </w:r>
                </w:p>
              </w:tc>
              <w:tc>
                <w:tcPr>
                  <w:tcW w:w="1483" w:type="pct"/>
                  <w:tcBorders>
                    <w:tl2br w:val="nil"/>
                    <w:tr2bl w:val="nil"/>
                  </w:tcBorders>
                  <w:noWrap w:val="0"/>
                  <w:vAlign w:val="center"/>
                </w:tcPr>
                <w:p w14:paraId="423A8430">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备注</w:t>
                  </w:r>
                </w:p>
              </w:tc>
            </w:tr>
            <w:tr w14:paraId="297C33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restart"/>
                  <w:tcBorders>
                    <w:tl2br w:val="nil"/>
                    <w:tr2bl w:val="nil"/>
                  </w:tcBorders>
                  <w:noWrap w:val="0"/>
                  <w:vAlign w:val="center"/>
                </w:tcPr>
                <w:p w14:paraId="0565D16B">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研发中心实验设备</w:t>
                  </w:r>
                </w:p>
              </w:tc>
              <w:tc>
                <w:tcPr>
                  <w:tcW w:w="1985" w:type="pct"/>
                  <w:tcBorders>
                    <w:tl2br w:val="nil"/>
                    <w:tr2bl w:val="nil"/>
                  </w:tcBorders>
                  <w:noWrap w:val="0"/>
                  <w:vAlign w:val="center"/>
                </w:tcPr>
                <w:p w14:paraId="52DEEB9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电加热板</w:t>
                  </w:r>
                </w:p>
              </w:tc>
              <w:tc>
                <w:tcPr>
                  <w:tcW w:w="514" w:type="pct"/>
                  <w:tcBorders>
                    <w:tl2br w:val="nil"/>
                    <w:tr2bl w:val="nil"/>
                  </w:tcBorders>
                  <w:noWrap w:val="0"/>
                  <w:vAlign w:val="center"/>
                </w:tcPr>
                <w:p w14:paraId="57F71A1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40F9E69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7DDD0ED2">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1B1C9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82B7B97">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5C88F05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微波消解仪</w:t>
                  </w:r>
                </w:p>
              </w:tc>
              <w:tc>
                <w:tcPr>
                  <w:tcW w:w="514" w:type="pct"/>
                  <w:tcBorders>
                    <w:tl2br w:val="nil"/>
                    <w:tr2bl w:val="nil"/>
                  </w:tcBorders>
                  <w:noWrap w:val="0"/>
                  <w:vAlign w:val="center"/>
                </w:tcPr>
                <w:p w14:paraId="636B66F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23EEC00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154947A7">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DD37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19BAE2DB">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482888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超声清洗仪</w:t>
                  </w:r>
                </w:p>
              </w:tc>
              <w:tc>
                <w:tcPr>
                  <w:tcW w:w="514" w:type="pct"/>
                  <w:tcBorders>
                    <w:tl2br w:val="nil"/>
                    <w:tr2bl w:val="nil"/>
                  </w:tcBorders>
                  <w:noWrap w:val="0"/>
                  <w:vAlign w:val="center"/>
                </w:tcPr>
                <w:p w14:paraId="66A2EF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4B208CA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62F6A698">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3D745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1B721C89">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3B3785D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离心机</w:t>
                  </w:r>
                </w:p>
              </w:tc>
              <w:tc>
                <w:tcPr>
                  <w:tcW w:w="514" w:type="pct"/>
                  <w:tcBorders>
                    <w:tl2br w:val="nil"/>
                    <w:tr2bl w:val="nil"/>
                  </w:tcBorders>
                  <w:noWrap w:val="0"/>
                  <w:vAlign w:val="center"/>
                </w:tcPr>
                <w:p w14:paraId="72A7DE6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BEB729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61AB0EA1">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046C1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6916A73">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94F2B6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超纯水仪</w:t>
                  </w:r>
                </w:p>
              </w:tc>
              <w:tc>
                <w:tcPr>
                  <w:tcW w:w="514" w:type="pct"/>
                  <w:tcBorders>
                    <w:tl2br w:val="nil"/>
                    <w:tr2bl w:val="nil"/>
                  </w:tcBorders>
                  <w:noWrap w:val="0"/>
                  <w:vAlign w:val="center"/>
                </w:tcPr>
                <w:p w14:paraId="322143A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3C5CAB8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3350EED4">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6810C7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375DC8B">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6E0B6B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恒温水浴震荡器</w:t>
                  </w:r>
                </w:p>
              </w:tc>
              <w:tc>
                <w:tcPr>
                  <w:tcW w:w="514" w:type="pct"/>
                  <w:tcBorders>
                    <w:tl2br w:val="nil"/>
                    <w:tr2bl w:val="nil"/>
                  </w:tcBorders>
                  <w:noWrap w:val="0"/>
                  <w:vAlign w:val="center"/>
                </w:tcPr>
                <w:p w14:paraId="1F7CEC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4255653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260E6C50">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452250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7F4C2CBE">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C17BCF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恒温油浴锅</w:t>
                  </w:r>
                </w:p>
              </w:tc>
              <w:tc>
                <w:tcPr>
                  <w:tcW w:w="514" w:type="pct"/>
                  <w:tcBorders>
                    <w:tl2br w:val="nil"/>
                    <w:tr2bl w:val="nil"/>
                  </w:tcBorders>
                  <w:noWrap w:val="0"/>
                  <w:vAlign w:val="center"/>
                </w:tcPr>
                <w:p w14:paraId="25BD4E9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C74EAB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4E076A13">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0F432D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0640BE8">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279A4AD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全自动BOD测定仪</w:t>
                  </w:r>
                </w:p>
              </w:tc>
              <w:tc>
                <w:tcPr>
                  <w:tcW w:w="514" w:type="pct"/>
                  <w:tcBorders>
                    <w:tl2br w:val="nil"/>
                    <w:tr2bl w:val="nil"/>
                  </w:tcBorders>
                  <w:noWrap w:val="0"/>
                  <w:vAlign w:val="center"/>
                </w:tcPr>
                <w:p w14:paraId="0713D42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35F80B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17B735AF">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15E06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52D9DED">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8CC701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多参数水质分析仪</w:t>
                  </w:r>
                </w:p>
              </w:tc>
              <w:tc>
                <w:tcPr>
                  <w:tcW w:w="514" w:type="pct"/>
                  <w:tcBorders>
                    <w:tl2br w:val="nil"/>
                    <w:tr2bl w:val="nil"/>
                  </w:tcBorders>
                  <w:noWrap w:val="0"/>
                  <w:vAlign w:val="center"/>
                </w:tcPr>
                <w:p w14:paraId="391A90F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0CB2849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294691DB">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7FE97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F8D20AA">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EA1785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PH计</w:t>
                  </w:r>
                </w:p>
              </w:tc>
              <w:tc>
                <w:tcPr>
                  <w:tcW w:w="514" w:type="pct"/>
                  <w:tcBorders>
                    <w:tl2br w:val="nil"/>
                    <w:tr2bl w:val="nil"/>
                  </w:tcBorders>
                  <w:noWrap w:val="0"/>
                  <w:vAlign w:val="center"/>
                </w:tcPr>
                <w:p w14:paraId="5C42872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504E90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36BB1510">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6B224F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1BFC33CD">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51B29BD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水分仪(库伦法</w:t>
                  </w:r>
                  <w:r>
                    <w:rPr>
                      <w:rFonts w:hint="eastAsia" w:ascii="Times New Roman" w:hAnsi="Times New Roman" w:eastAsia="宋体" w:cs="Times New Roman"/>
                      <w:i w:val="0"/>
                      <w:iCs w:val="0"/>
                      <w:color w:val="auto"/>
                      <w:kern w:val="0"/>
                      <w:sz w:val="18"/>
                      <w:szCs w:val="18"/>
                      <w:highlight w:val="none"/>
                      <w:u w:val="none"/>
                      <w:lang w:val="en-US" w:eastAsia="zh-CN" w:bidi="ar"/>
                    </w:rPr>
                    <w:t>）</w:t>
                  </w:r>
                </w:p>
              </w:tc>
              <w:tc>
                <w:tcPr>
                  <w:tcW w:w="514" w:type="pct"/>
                  <w:tcBorders>
                    <w:tl2br w:val="nil"/>
                    <w:tr2bl w:val="nil"/>
                  </w:tcBorders>
                  <w:noWrap w:val="0"/>
                  <w:vAlign w:val="center"/>
                </w:tcPr>
                <w:p w14:paraId="3AF6500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1AF3DA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4CC55F64">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26E6BB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BB8AFD4">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5C360B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水分仪(容量法</w:t>
                  </w:r>
                  <w:r>
                    <w:rPr>
                      <w:rFonts w:hint="eastAsia" w:ascii="Times New Roman" w:hAnsi="Times New Roman" w:eastAsia="宋体" w:cs="Times New Roman"/>
                      <w:i w:val="0"/>
                      <w:iCs w:val="0"/>
                      <w:color w:val="auto"/>
                      <w:kern w:val="0"/>
                      <w:sz w:val="18"/>
                      <w:szCs w:val="18"/>
                      <w:highlight w:val="none"/>
                      <w:u w:val="none"/>
                      <w:lang w:val="en-US" w:eastAsia="zh-CN" w:bidi="ar"/>
                    </w:rPr>
                    <w:t>）</w:t>
                  </w:r>
                </w:p>
              </w:tc>
              <w:tc>
                <w:tcPr>
                  <w:tcW w:w="514" w:type="pct"/>
                  <w:tcBorders>
                    <w:tl2br w:val="nil"/>
                    <w:tr2bl w:val="nil"/>
                  </w:tcBorders>
                  <w:noWrap w:val="0"/>
                  <w:vAlign w:val="center"/>
                </w:tcPr>
                <w:p w14:paraId="06C00E7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6086F1E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711C5686">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3FF053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1BECC891">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E92E40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全自动电位滴定仪</w:t>
                  </w:r>
                </w:p>
              </w:tc>
              <w:tc>
                <w:tcPr>
                  <w:tcW w:w="514" w:type="pct"/>
                  <w:tcBorders>
                    <w:tl2br w:val="nil"/>
                    <w:tr2bl w:val="nil"/>
                  </w:tcBorders>
                  <w:noWrap w:val="0"/>
                  <w:vAlign w:val="center"/>
                </w:tcPr>
                <w:p w14:paraId="7B549C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22680AB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0957308E">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04FA68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FC265DF">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FF48E3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分析天平</w:t>
                  </w:r>
                </w:p>
              </w:tc>
              <w:tc>
                <w:tcPr>
                  <w:tcW w:w="514" w:type="pct"/>
                  <w:tcBorders>
                    <w:tl2br w:val="nil"/>
                    <w:tr2bl w:val="nil"/>
                  </w:tcBorders>
                  <w:noWrap w:val="0"/>
                  <w:vAlign w:val="center"/>
                </w:tcPr>
                <w:p w14:paraId="42273AB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0505C7D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3</w:t>
                  </w:r>
                </w:p>
              </w:tc>
              <w:tc>
                <w:tcPr>
                  <w:tcW w:w="1483" w:type="pct"/>
                  <w:tcBorders>
                    <w:tl2br w:val="nil"/>
                    <w:tr2bl w:val="nil"/>
                  </w:tcBorders>
                  <w:noWrap w:val="0"/>
                  <w:vAlign w:val="center"/>
                </w:tcPr>
                <w:p w14:paraId="5C4F3C99">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31749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4EF796E3">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63E55C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分析天平</w:t>
                  </w:r>
                </w:p>
              </w:tc>
              <w:tc>
                <w:tcPr>
                  <w:tcW w:w="514" w:type="pct"/>
                  <w:tcBorders>
                    <w:tl2br w:val="nil"/>
                    <w:tr2bl w:val="nil"/>
                  </w:tcBorders>
                  <w:noWrap w:val="0"/>
                  <w:vAlign w:val="center"/>
                </w:tcPr>
                <w:p w14:paraId="7628D49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319BB5C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703FEBF6">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4BC3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102C47D">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441CCB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超低湿干燥箱</w:t>
                  </w:r>
                </w:p>
              </w:tc>
              <w:tc>
                <w:tcPr>
                  <w:tcW w:w="514" w:type="pct"/>
                  <w:tcBorders>
                    <w:tl2br w:val="nil"/>
                    <w:tr2bl w:val="nil"/>
                  </w:tcBorders>
                  <w:noWrap w:val="0"/>
                  <w:vAlign w:val="center"/>
                </w:tcPr>
                <w:p w14:paraId="1E037A9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27A3377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3A36A14A">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108926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42270CBE">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768DBC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试剂冷藏柜</w:t>
                  </w:r>
                </w:p>
              </w:tc>
              <w:tc>
                <w:tcPr>
                  <w:tcW w:w="514" w:type="pct"/>
                  <w:tcBorders>
                    <w:tl2br w:val="nil"/>
                    <w:tr2bl w:val="nil"/>
                  </w:tcBorders>
                  <w:noWrap w:val="0"/>
                  <w:vAlign w:val="center"/>
                </w:tcPr>
                <w:p w14:paraId="3EA81C0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6423A2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5785D6F2">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2973CE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0E17266">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C2367C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空气发生器</w:t>
                  </w:r>
                </w:p>
              </w:tc>
              <w:tc>
                <w:tcPr>
                  <w:tcW w:w="514" w:type="pct"/>
                  <w:tcBorders>
                    <w:tl2br w:val="nil"/>
                    <w:tr2bl w:val="nil"/>
                  </w:tcBorders>
                  <w:noWrap w:val="0"/>
                  <w:vAlign w:val="center"/>
                </w:tcPr>
                <w:p w14:paraId="016B925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4FE90E7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4</w:t>
                  </w:r>
                </w:p>
              </w:tc>
              <w:tc>
                <w:tcPr>
                  <w:tcW w:w="1483" w:type="pct"/>
                  <w:tcBorders>
                    <w:tl2br w:val="nil"/>
                    <w:tr2bl w:val="nil"/>
                  </w:tcBorders>
                  <w:noWrap w:val="0"/>
                  <w:vAlign w:val="center"/>
                </w:tcPr>
                <w:p w14:paraId="45DF9A27">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1E4B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3D04BF4">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DFFC67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氢气发生器</w:t>
                  </w:r>
                </w:p>
              </w:tc>
              <w:tc>
                <w:tcPr>
                  <w:tcW w:w="514" w:type="pct"/>
                  <w:tcBorders>
                    <w:tl2br w:val="nil"/>
                    <w:tr2bl w:val="nil"/>
                  </w:tcBorders>
                  <w:noWrap w:val="0"/>
                  <w:vAlign w:val="center"/>
                </w:tcPr>
                <w:p w14:paraId="5E36EF7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57332AC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4</w:t>
                  </w:r>
                </w:p>
              </w:tc>
              <w:tc>
                <w:tcPr>
                  <w:tcW w:w="1483" w:type="pct"/>
                  <w:tcBorders>
                    <w:tl2br w:val="nil"/>
                    <w:tr2bl w:val="nil"/>
                  </w:tcBorders>
                  <w:noWrap w:val="0"/>
                  <w:vAlign w:val="center"/>
                </w:tcPr>
                <w:p w14:paraId="659D4816">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76B559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2B1C0DE">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D492E9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鼓风烘箱</w:t>
                  </w:r>
                </w:p>
              </w:tc>
              <w:tc>
                <w:tcPr>
                  <w:tcW w:w="514" w:type="pct"/>
                  <w:tcBorders>
                    <w:tl2br w:val="nil"/>
                    <w:tr2bl w:val="nil"/>
                  </w:tcBorders>
                  <w:noWrap w:val="0"/>
                  <w:vAlign w:val="center"/>
                </w:tcPr>
                <w:p w14:paraId="1EB139A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7972F2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5A9404E3">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440B40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2B2688E">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988BF4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真空烘箱</w:t>
                  </w:r>
                </w:p>
              </w:tc>
              <w:tc>
                <w:tcPr>
                  <w:tcW w:w="514" w:type="pct"/>
                  <w:tcBorders>
                    <w:tl2br w:val="nil"/>
                    <w:tr2bl w:val="nil"/>
                  </w:tcBorders>
                  <w:noWrap w:val="0"/>
                  <w:vAlign w:val="center"/>
                </w:tcPr>
                <w:p w14:paraId="7BFA70F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1CB72F0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42212FD1">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3BE0F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C305C76">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304B63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马弗炉</w:t>
                  </w:r>
                </w:p>
              </w:tc>
              <w:tc>
                <w:tcPr>
                  <w:tcW w:w="514" w:type="pct"/>
                  <w:tcBorders>
                    <w:tl2br w:val="nil"/>
                    <w:tr2bl w:val="nil"/>
                  </w:tcBorders>
                  <w:noWrap w:val="0"/>
                  <w:vAlign w:val="center"/>
                </w:tcPr>
                <w:p w14:paraId="32C374C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10C4DAC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044E3322">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3A83B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1E6F496">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8F9B1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电感耦合等离子发光光谱仪(ICP)</w:t>
                  </w:r>
                </w:p>
              </w:tc>
              <w:tc>
                <w:tcPr>
                  <w:tcW w:w="514" w:type="pct"/>
                  <w:tcBorders>
                    <w:tl2br w:val="nil"/>
                    <w:tr2bl w:val="nil"/>
                  </w:tcBorders>
                  <w:noWrap w:val="0"/>
                  <w:vAlign w:val="center"/>
                </w:tcPr>
                <w:p w14:paraId="4204B8B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FA376A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57F05194">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2DA28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1A17236E">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EC206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紫外可见光分光光度计(UV)</w:t>
                  </w:r>
                </w:p>
              </w:tc>
              <w:tc>
                <w:tcPr>
                  <w:tcW w:w="514" w:type="pct"/>
                  <w:tcBorders>
                    <w:tl2br w:val="nil"/>
                    <w:tr2bl w:val="nil"/>
                  </w:tcBorders>
                  <w:noWrap w:val="0"/>
                  <w:vAlign w:val="center"/>
                </w:tcPr>
                <w:p w14:paraId="57DC082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34CC99B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42C9AD96">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342EA7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02CC207">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C1ED4D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气相色谱TCD检测器</w:t>
                  </w:r>
                </w:p>
              </w:tc>
              <w:tc>
                <w:tcPr>
                  <w:tcW w:w="514" w:type="pct"/>
                  <w:tcBorders>
                    <w:tl2br w:val="nil"/>
                    <w:tr2bl w:val="nil"/>
                  </w:tcBorders>
                  <w:noWrap w:val="0"/>
                  <w:vAlign w:val="center"/>
                </w:tcPr>
                <w:p w14:paraId="73B3C14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2D9A5DA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2</w:t>
                  </w:r>
                </w:p>
              </w:tc>
              <w:tc>
                <w:tcPr>
                  <w:tcW w:w="1483" w:type="pct"/>
                  <w:tcBorders>
                    <w:tl2br w:val="nil"/>
                    <w:tr2bl w:val="nil"/>
                  </w:tcBorders>
                  <w:noWrap w:val="0"/>
                  <w:vAlign w:val="center"/>
                </w:tcPr>
                <w:p w14:paraId="182B1ADB">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14757B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629" w:type="pct"/>
                  <w:vMerge w:val="continue"/>
                  <w:tcBorders>
                    <w:tl2br w:val="nil"/>
                    <w:tr2bl w:val="nil"/>
                  </w:tcBorders>
                  <w:noWrap w:val="0"/>
                  <w:vAlign w:val="center"/>
                </w:tcPr>
                <w:p w14:paraId="5E878D43">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C054E0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气相色谱FID检测器</w:t>
                  </w:r>
                </w:p>
              </w:tc>
              <w:tc>
                <w:tcPr>
                  <w:tcW w:w="514" w:type="pct"/>
                  <w:tcBorders>
                    <w:tl2br w:val="nil"/>
                    <w:tr2bl w:val="nil"/>
                  </w:tcBorders>
                  <w:noWrap w:val="0"/>
                  <w:vAlign w:val="center"/>
                </w:tcPr>
                <w:p w14:paraId="75C9039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51AEBD5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8</w:t>
                  </w:r>
                </w:p>
              </w:tc>
              <w:tc>
                <w:tcPr>
                  <w:tcW w:w="1483" w:type="pct"/>
                  <w:tcBorders>
                    <w:tl2br w:val="nil"/>
                    <w:tr2bl w:val="nil"/>
                  </w:tcBorders>
                  <w:noWrap w:val="0"/>
                  <w:vAlign w:val="center"/>
                </w:tcPr>
                <w:p w14:paraId="37D15E97">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9B4ED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71829BAA">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5C4FE2A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气相色谱质谱联用仪</w:t>
                  </w:r>
                </w:p>
              </w:tc>
              <w:tc>
                <w:tcPr>
                  <w:tcW w:w="514" w:type="pct"/>
                  <w:tcBorders>
                    <w:tl2br w:val="nil"/>
                    <w:tr2bl w:val="nil"/>
                  </w:tcBorders>
                  <w:noWrap w:val="0"/>
                  <w:vAlign w:val="center"/>
                </w:tcPr>
                <w:p w14:paraId="1BE2830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5169746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0BD9517B">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0D4DF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4A991A51">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2955D1F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凝胶色谱仪(GPC)</w:t>
                  </w:r>
                </w:p>
              </w:tc>
              <w:tc>
                <w:tcPr>
                  <w:tcW w:w="514" w:type="pct"/>
                  <w:tcBorders>
                    <w:tl2br w:val="nil"/>
                    <w:tr2bl w:val="nil"/>
                  </w:tcBorders>
                  <w:noWrap w:val="0"/>
                  <w:vAlign w:val="center"/>
                </w:tcPr>
                <w:p w14:paraId="7427AD3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66CA728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07B17643">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7466B9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C1B42B7">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37C98DF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全自动特性粘度仪</w:t>
                  </w:r>
                </w:p>
              </w:tc>
              <w:tc>
                <w:tcPr>
                  <w:tcW w:w="514" w:type="pct"/>
                  <w:tcBorders>
                    <w:tl2br w:val="nil"/>
                    <w:tr2bl w:val="nil"/>
                  </w:tcBorders>
                  <w:noWrap w:val="0"/>
                  <w:vAlign w:val="center"/>
                </w:tcPr>
                <w:p w14:paraId="4A82A5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027045E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79ABF6AE">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1BFF4B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FEBA7D6">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721C402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熔融指数仪</w:t>
                  </w:r>
                </w:p>
              </w:tc>
              <w:tc>
                <w:tcPr>
                  <w:tcW w:w="514" w:type="pct"/>
                  <w:tcBorders>
                    <w:tl2br w:val="nil"/>
                    <w:tr2bl w:val="nil"/>
                  </w:tcBorders>
                  <w:noWrap w:val="0"/>
                  <w:vAlign w:val="center"/>
                </w:tcPr>
                <w:p w14:paraId="743B167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2E676F2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75668CD6">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02E4F9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38D496C">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90D284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万能试验机</w:t>
                  </w:r>
                </w:p>
              </w:tc>
              <w:tc>
                <w:tcPr>
                  <w:tcW w:w="514" w:type="pct"/>
                  <w:tcBorders>
                    <w:tl2br w:val="nil"/>
                    <w:tr2bl w:val="nil"/>
                  </w:tcBorders>
                  <w:noWrap w:val="0"/>
                  <w:vAlign w:val="center"/>
                </w:tcPr>
                <w:p w14:paraId="1A19D3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DE6B78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5D1395D3">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0F4AF4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40299789">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3FF4E47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热重分析仪(TG)</w:t>
                  </w:r>
                </w:p>
              </w:tc>
              <w:tc>
                <w:tcPr>
                  <w:tcW w:w="514" w:type="pct"/>
                  <w:tcBorders>
                    <w:tl2br w:val="nil"/>
                    <w:tr2bl w:val="nil"/>
                  </w:tcBorders>
                  <w:noWrap w:val="0"/>
                  <w:vAlign w:val="center"/>
                </w:tcPr>
                <w:p w14:paraId="7F4C362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6551536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340AFED3">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23E3C6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574F2C9">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7BB3E98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差示扫描量热仪(DSC)</w:t>
                  </w:r>
                </w:p>
              </w:tc>
              <w:tc>
                <w:tcPr>
                  <w:tcW w:w="514" w:type="pct"/>
                  <w:tcBorders>
                    <w:tl2br w:val="nil"/>
                    <w:tr2bl w:val="nil"/>
                  </w:tcBorders>
                  <w:noWrap w:val="0"/>
                  <w:vAlign w:val="center"/>
                </w:tcPr>
                <w:p w14:paraId="1AF0BE8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573B087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highlight w:val="none"/>
                      <w:u w:val="none"/>
                      <w:lang w:val="en-US" w:eastAsia="zh-CN" w:bidi="ar-SA"/>
                    </w:rPr>
                  </w:pPr>
                  <w:r>
                    <w:rPr>
                      <w:rFonts w:hint="default" w:ascii="Times New Roman" w:hAnsi="Times New Roman" w:eastAsia="宋体" w:cs="Times New Roman"/>
                      <w:i w:val="0"/>
                      <w:iCs w:val="0"/>
                      <w:color w:val="auto"/>
                      <w:kern w:val="0"/>
                      <w:sz w:val="18"/>
                      <w:szCs w:val="18"/>
                      <w:highlight w:val="none"/>
                      <w:u w:val="none"/>
                      <w:lang w:val="en-US" w:eastAsia="zh-CN" w:bidi="ar"/>
                    </w:rPr>
                    <w:t>1</w:t>
                  </w:r>
                </w:p>
              </w:tc>
              <w:tc>
                <w:tcPr>
                  <w:tcW w:w="1483" w:type="pct"/>
                  <w:tcBorders>
                    <w:tl2br w:val="nil"/>
                    <w:tr2bl w:val="nil"/>
                  </w:tcBorders>
                  <w:noWrap w:val="0"/>
                  <w:vAlign w:val="center"/>
                </w:tcPr>
                <w:p w14:paraId="592013BC">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04F2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629" w:type="pct"/>
                  <w:vMerge w:val="restart"/>
                  <w:tcBorders>
                    <w:tl2br w:val="nil"/>
                    <w:tr2bl w:val="nil"/>
                  </w:tcBorders>
                  <w:noWrap w:val="0"/>
                  <w:vAlign w:val="center"/>
                </w:tcPr>
                <w:p w14:paraId="16BBFFB6">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空压站</w:t>
                  </w:r>
                </w:p>
              </w:tc>
              <w:tc>
                <w:tcPr>
                  <w:tcW w:w="1985" w:type="pct"/>
                  <w:tcBorders>
                    <w:tl2br w:val="nil"/>
                    <w:tr2bl w:val="nil"/>
                  </w:tcBorders>
                  <w:noWrap w:val="0"/>
                  <w:vAlign w:val="center"/>
                </w:tcPr>
                <w:p w14:paraId="71EF6211">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冷冻式干燥机</w:t>
                  </w:r>
                </w:p>
              </w:tc>
              <w:tc>
                <w:tcPr>
                  <w:tcW w:w="514" w:type="pct"/>
                  <w:tcBorders>
                    <w:tl2br w:val="nil"/>
                    <w:tr2bl w:val="nil"/>
                  </w:tcBorders>
                  <w:noWrap w:val="0"/>
                  <w:vAlign w:val="center"/>
                </w:tcPr>
                <w:p w14:paraId="60901248">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7D99C9D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36F961CC">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21B533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43AB703A">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701FEEC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微热吸附式干燥机</w:t>
                  </w:r>
                </w:p>
              </w:tc>
              <w:tc>
                <w:tcPr>
                  <w:tcW w:w="514" w:type="pct"/>
                  <w:tcBorders>
                    <w:tl2br w:val="nil"/>
                    <w:tr2bl w:val="nil"/>
                  </w:tcBorders>
                  <w:noWrap w:val="0"/>
                  <w:vAlign w:val="center"/>
                </w:tcPr>
                <w:p w14:paraId="18C4A96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0ACA2DCD">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0AA067C0">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339E31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E994B5A">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76062E1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变频螺杆式空气压缩机</w:t>
                  </w:r>
                </w:p>
              </w:tc>
              <w:tc>
                <w:tcPr>
                  <w:tcW w:w="514" w:type="pct"/>
                  <w:tcBorders>
                    <w:tl2br w:val="nil"/>
                    <w:tr2bl w:val="nil"/>
                  </w:tcBorders>
                  <w:noWrap w:val="0"/>
                  <w:vAlign w:val="center"/>
                </w:tcPr>
                <w:p w14:paraId="0BC96B56">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i w:val="0"/>
                      <w:iCs w:val="0"/>
                      <w:color w:val="auto"/>
                      <w:kern w:val="2"/>
                      <w:sz w:val="18"/>
                      <w:szCs w:val="18"/>
                      <w:highlight w:val="none"/>
                      <w:u w:val="none"/>
                      <w:lang w:val="en-US" w:eastAsia="zh-CN" w:bidi="ar-SA"/>
                    </w:rPr>
                    <w:t>台</w:t>
                  </w:r>
                </w:p>
              </w:tc>
              <w:tc>
                <w:tcPr>
                  <w:tcW w:w="386" w:type="pct"/>
                  <w:tcBorders>
                    <w:tl2br w:val="nil"/>
                    <w:tr2bl w:val="nil"/>
                  </w:tcBorders>
                  <w:noWrap w:val="0"/>
                  <w:vAlign w:val="center"/>
                </w:tcPr>
                <w:p w14:paraId="175BF5D8">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45CCF725">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76F73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restart"/>
                  <w:tcBorders>
                    <w:tl2br w:val="nil"/>
                    <w:tr2bl w:val="nil"/>
                  </w:tcBorders>
                  <w:noWrap w:val="0"/>
                  <w:vAlign w:val="center"/>
                </w:tcPr>
                <w:p w14:paraId="3256C6BD">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循环水站</w:t>
                  </w:r>
                </w:p>
              </w:tc>
              <w:tc>
                <w:tcPr>
                  <w:tcW w:w="1985" w:type="pct"/>
                  <w:tcBorders>
                    <w:tl2br w:val="nil"/>
                    <w:tr2bl w:val="nil"/>
                  </w:tcBorders>
                  <w:noWrap w:val="0"/>
                  <w:vAlign w:val="center"/>
                </w:tcPr>
                <w:p w14:paraId="398894A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循环水智能一体化机组</w:t>
                  </w:r>
                </w:p>
              </w:tc>
              <w:tc>
                <w:tcPr>
                  <w:tcW w:w="514" w:type="pct"/>
                  <w:tcBorders>
                    <w:tl2br w:val="nil"/>
                    <w:tr2bl w:val="nil"/>
                  </w:tcBorders>
                  <w:noWrap w:val="0"/>
                  <w:vAlign w:val="center"/>
                </w:tcPr>
                <w:p w14:paraId="333BA59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套</w:t>
                  </w:r>
                </w:p>
              </w:tc>
              <w:tc>
                <w:tcPr>
                  <w:tcW w:w="386" w:type="pct"/>
                  <w:tcBorders>
                    <w:tl2br w:val="nil"/>
                    <w:tr2bl w:val="nil"/>
                  </w:tcBorders>
                  <w:noWrap w:val="0"/>
                  <w:vAlign w:val="center"/>
                </w:tcPr>
                <w:p w14:paraId="7D5A6984">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3FBC4D17">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CDW-250ASY-P*1</w:t>
                  </w:r>
                </w:p>
              </w:tc>
            </w:tr>
            <w:tr w14:paraId="78C711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369982E0">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486D179">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玻璃钢结构逆流冷却塔</w:t>
                  </w:r>
                </w:p>
              </w:tc>
              <w:tc>
                <w:tcPr>
                  <w:tcW w:w="514" w:type="pct"/>
                  <w:tcBorders>
                    <w:tl2br w:val="nil"/>
                    <w:tr2bl w:val="nil"/>
                  </w:tcBorders>
                  <w:noWrap w:val="0"/>
                  <w:vAlign w:val="center"/>
                </w:tcPr>
                <w:p w14:paraId="1B048AE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套</w:t>
                  </w:r>
                </w:p>
              </w:tc>
              <w:tc>
                <w:tcPr>
                  <w:tcW w:w="386" w:type="pct"/>
                  <w:tcBorders>
                    <w:tl2br w:val="nil"/>
                    <w:tr2bl w:val="nil"/>
                  </w:tcBorders>
                  <w:noWrap w:val="0"/>
                  <w:vAlign w:val="center"/>
                </w:tcPr>
                <w:p w14:paraId="1C2BF496">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4</w:t>
                  </w:r>
                </w:p>
              </w:tc>
              <w:tc>
                <w:tcPr>
                  <w:tcW w:w="1483" w:type="pct"/>
                  <w:tcBorders>
                    <w:tl2br w:val="nil"/>
                    <w:tr2bl w:val="nil"/>
                  </w:tcBorders>
                  <w:noWrap w:val="0"/>
                  <w:vAlign w:val="center"/>
                </w:tcPr>
                <w:p w14:paraId="6F97D48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lang w:val="en-US" w:eastAsia="zh-CN"/>
                    </w:rPr>
                    <w:t>循环水量150m</w:t>
                  </w:r>
                  <w:r>
                    <w:rPr>
                      <w:rFonts w:hint="eastAsia" w:ascii="Times New Roman" w:hAnsi="Times New Roman" w:eastAsia="宋体" w:cs="Times New Roman"/>
                      <w:color w:val="auto"/>
                      <w:sz w:val="18"/>
                      <w:szCs w:val="18"/>
                      <w:highlight w:val="none"/>
                      <w:vertAlign w:val="superscript"/>
                      <w:lang w:val="en-US" w:eastAsia="zh-CN"/>
                    </w:rPr>
                    <w:t>3</w:t>
                  </w:r>
                  <w:r>
                    <w:rPr>
                      <w:rFonts w:hint="eastAsia" w:ascii="Times New Roman" w:hAnsi="Times New Roman" w:eastAsia="宋体" w:cs="Times New Roman"/>
                      <w:color w:val="auto"/>
                      <w:sz w:val="18"/>
                      <w:szCs w:val="18"/>
                      <w:highlight w:val="none"/>
                      <w:lang w:val="en-US" w:eastAsia="zh-CN"/>
                    </w:rPr>
                    <w:t>/h</w:t>
                  </w:r>
                </w:p>
              </w:tc>
            </w:tr>
            <w:tr w14:paraId="53473A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06DBC7B">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081DF0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循环水泵</w:t>
                  </w:r>
                </w:p>
              </w:tc>
              <w:tc>
                <w:tcPr>
                  <w:tcW w:w="514" w:type="pct"/>
                  <w:tcBorders>
                    <w:tl2br w:val="nil"/>
                    <w:tr2bl w:val="nil"/>
                  </w:tcBorders>
                  <w:noWrap w:val="0"/>
                  <w:vAlign w:val="center"/>
                </w:tcPr>
                <w:p w14:paraId="5D4B2AB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32AA1A9D">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7</w:t>
                  </w:r>
                </w:p>
              </w:tc>
              <w:tc>
                <w:tcPr>
                  <w:tcW w:w="1483" w:type="pct"/>
                  <w:tcBorders>
                    <w:tl2br w:val="nil"/>
                    <w:tr2bl w:val="nil"/>
                  </w:tcBorders>
                  <w:noWrap w:val="0"/>
                  <w:vAlign w:val="center"/>
                </w:tcPr>
                <w:p w14:paraId="36318B1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一期5台，二期预留2台</w:t>
                  </w:r>
                </w:p>
              </w:tc>
            </w:tr>
            <w:tr w14:paraId="0982ED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629" w:type="pct"/>
                  <w:vMerge w:val="restart"/>
                  <w:tcBorders>
                    <w:tl2br w:val="nil"/>
                    <w:tr2bl w:val="nil"/>
                  </w:tcBorders>
                  <w:noWrap w:val="0"/>
                  <w:vAlign w:val="center"/>
                </w:tcPr>
                <w:p w14:paraId="727546D1">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消防泵房</w:t>
                  </w:r>
                </w:p>
              </w:tc>
              <w:tc>
                <w:tcPr>
                  <w:tcW w:w="1985" w:type="pct"/>
                  <w:tcBorders>
                    <w:tl2br w:val="nil"/>
                    <w:tr2bl w:val="nil"/>
                  </w:tcBorders>
                  <w:noWrap w:val="0"/>
                  <w:vAlign w:val="center"/>
                </w:tcPr>
                <w:p w14:paraId="25FF1F60">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电动消防水泵</w:t>
                  </w:r>
                </w:p>
              </w:tc>
              <w:tc>
                <w:tcPr>
                  <w:tcW w:w="514" w:type="pct"/>
                  <w:tcBorders>
                    <w:tl2br w:val="nil"/>
                    <w:tr2bl w:val="nil"/>
                  </w:tcBorders>
                  <w:noWrap w:val="0"/>
                  <w:vAlign w:val="center"/>
                </w:tcPr>
                <w:p w14:paraId="6240304C">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0766A25C">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21793A79">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卧式水平中开双吸离心泵</w:t>
                  </w:r>
                </w:p>
              </w:tc>
            </w:tr>
            <w:tr w14:paraId="3FE7F3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642F2C2">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4CB8BE2C">
                  <w:pPr>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柴油机消防泵</w:t>
                  </w:r>
                </w:p>
              </w:tc>
              <w:tc>
                <w:tcPr>
                  <w:tcW w:w="514" w:type="pct"/>
                  <w:tcBorders>
                    <w:tl2br w:val="nil"/>
                    <w:tr2bl w:val="nil"/>
                  </w:tcBorders>
                  <w:noWrap w:val="0"/>
                  <w:vAlign w:val="center"/>
                </w:tcPr>
                <w:p w14:paraId="457A8E6D">
                  <w:pPr>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66B68AD7">
                  <w:pPr>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322D1A46">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7DB80A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A518321">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5DD650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稳压泵</w:t>
                  </w:r>
                </w:p>
              </w:tc>
              <w:tc>
                <w:tcPr>
                  <w:tcW w:w="514" w:type="pct"/>
                  <w:tcBorders>
                    <w:tl2br w:val="nil"/>
                    <w:tr2bl w:val="nil"/>
                  </w:tcBorders>
                  <w:noWrap w:val="0"/>
                  <w:vAlign w:val="center"/>
                </w:tcPr>
                <w:p w14:paraId="5AAEC383">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2FE9FDB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552B4EB5">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05A686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D515709">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E817B0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潜污泵</w:t>
                  </w:r>
                </w:p>
              </w:tc>
              <w:tc>
                <w:tcPr>
                  <w:tcW w:w="514" w:type="pct"/>
                  <w:tcBorders>
                    <w:tl2br w:val="nil"/>
                    <w:tr2bl w:val="nil"/>
                  </w:tcBorders>
                  <w:noWrap w:val="0"/>
                  <w:vAlign w:val="center"/>
                </w:tcPr>
                <w:p w14:paraId="7788EB3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4F533A1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57D46C11">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流量22m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/h，扬程15m</w:t>
                  </w:r>
                </w:p>
              </w:tc>
            </w:tr>
            <w:tr w14:paraId="7AD485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77AF4EF5">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098FB98">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电动单梁桥式起重机</w:t>
                  </w:r>
                </w:p>
              </w:tc>
              <w:tc>
                <w:tcPr>
                  <w:tcW w:w="514" w:type="pct"/>
                  <w:tcBorders>
                    <w:tl2br w:val="nil"/>
                    <w:tr2bl w:val="nil"/>
                  </w:tcBorders>
                  <w:noWrap w:val="0"/>
                  <w:vAlign w:val="center"/>
                </w:tcPr>
                <w:p w14:paraId="1E5FB40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2E00403D">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1D007FCC">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E853B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restart"/>
                  <w:tcBorders>
                    <w:tl2br w:val="nil"/>
                    <w:tr2bl w:val="nil"/>
                  </w:tcBorders>
                  <w:noWrap w:val="0"/>
                  <w:vAlign w:val="center"/>
                </w:tcPr>
                <w:p w14:paraId="0CE620D3">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换热站</w:t>
                  </w:r>
                </w:p>
              </w:tc>
              <w:tc>
                <w:tcPr>
                  <w:tcW w:w="1985" w:type="pct"/>
                  <w:tcBorders>
                    <w:tl2br w:val="nil"/>
                    <w:tr2bl w:val="nil"/>
                  </w:tcBorders>
                  <w:noWrap w:val="0"/>
                  <w:vAlign w:val="center"/>
                </w:tcPr>
                <w:p w14:paraId="09C9D314">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卧式双管程单壳程不锈钢波节管换热器</w:t>
                  </w:r>
                </w:p>
              </w:tc>
              <w:tc>
                <w:tcPr>
                  <w:tcW w:w="514" w:type="pct"/>
                  <w:tcBorders>
                    <w:tl2br w:val="nil"/>
                    <w:tr2bl w:val="nil"/>
                  </w:tcBorders>
                  <w:noWrap w:val="0"/>
                  <w:vAlign w:val="center"/>
                </w:tcPr>
                <w:p w14:paraId="732D43D5">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套</w:t>
                  </w:r>
                </w:p>
              </w:tc>
              <w:tc>
                <w:tcPr>
                  <w:tcW w:w="386" w:type="pct"/>
                  <w:tcBorders>
                    <w:tl2br w:val="nil"/>
                    <w:tr2bl w:val="nil"/>
                  </w:tcBorders>
                  <w:noWrap w:val="0"/>
                  <w:vAlign w:val="center"/>
                </w:tcPr>
                <w:p w14:paraId="5145BE86">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16F5017A">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供热量7MW/套</w:t>
                  </w:r>
                </w:p>
              </w:tc>
            </w:tr>
            <w:tr w14:paraId="229265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37C4DE5F">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23571E5">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循环水泵</w:t>
                  </w:r>
                </w:p>
              </w:tc>
              <w:tc>
                <w:tcPr>
                  <w:tcW w:w="514" w:type="pct"/>
                  <w:tcBorders>
                    <w:tl2br w:val="nil"/>
                    <w:tr2bl w:val="nil"/>
                  </w:tcBorders>
                  <w:noWrap w:val="0"/>
                  <w:vAlign w:val="center"/>
                </w:tcPr>
                <w:p w14:paraId="7D1D9C11">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2FDB1D68">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483" w:type="pct"/>
                  <w:tcBorders>
                    <w:tl2br w:val="nil"/>
                    <w:tr2bl w:val="nil"/>
                  </w:tcBorders>
                  <w:noWrap w:val="0"/>
                  <w:vAlign w:val="center"/>
                </w:tcPr>
                <w:p w14:paraId="7AD0436A">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Q=241m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/h</w:t>
                  </w:r>
                </w:p>
              </w:tc>
            </w:tr>
            <w:tr w14:paraId="357751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6D6D09C8">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568D0BE2">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补水泵</w:t>
                  </w:r>
                </w:p>
              </w:tc>
              <w:tc>
                <w:tcPr>
                  <w:tcW w:w="514" w:type="pct"/>
                  <w:tcBorders>
                    <w:tl2br w:val="nil"/>
                    <w:tr2bl w:val="nil"/>
                  </w:tcBorders>
                  <w:noWrap w:val="0"/>
                  <w:vAlign w:val="center"/>
                </w:tcPr>
                <w:p w14:paraId="2F63346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65736396">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483" w:type="pct"/>
                  <w:tcBorders>
                    <w:tl2br w:val="nil"/>
                    <w:tr2bl w:val="nil"/>
                  </w:tcBorders>
                  <w:noWrap w:val="0"/>
                  <w:vAlign w:val="center"/>
                </w:tcPr>
                <w:p w14:paraId="7A47938E">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水量Q=6m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/h</w:t>
                  </w:r>
                </w:p>
              </w:tc>
            </w:tr>
            <w:tr w14:paraId="157A5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38183C57">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53288E43">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囊式气压罐</w:t>
                  </w:r>
                </w:p>
              </w:tc>
              <w:tc>
                <w:tcPr>
                  <w:tcW w:w="514" w:type="pct"/>
                  <w:tcBorders>
                    <w:tl2br w:val="nil"/>
                    <w:tr2bl w:val="nil"/>
                  </w:tcBorders>
                  <w:noWrap w:val="0"/>
                  <w:vAlign w:val="center"/>
                </w:tcPr>
                <w:p w14:paraId="7D5A7FE3">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20887ED4">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483" w:type="pct"/>
                  <w:tcBorders>
                    <w:tl2br w:val="nil"/>
                    <w:tr2bl w:val="nil"/>
                  </w:tcBorders>
                  <w:noWrap w:val="0"/>
                  <w:vAlign w:val="center"/>
                </w:tcPr>
                <w:p w14:paraId="1C36B2F5">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调节容积1.0m</w:t>
                  </w:r>
                  <w:r>
                    <w:rPr>
                      <w:rFonts w:hint="default" w:ascii="Times New Roman" w:hAnsi="Times New Roman" w:eastAsia="宋体" w:cs="Times New Roman"/>
                      <w:color w:val="auto"/>
                      <w:kern w:val="0"/>
                      <w:sz w:val="18"/>
                      <w:szCs w:val="18"/>
                      <w:highlight w:val="none"/>
                      <w:vertAlign w:val="superscript"/>
                      <w:lang w:val="en-US" w:eastAsia="zh-CN" w:bidi="ar"/>
                    </w:rPr>
                    <w:t>3</w:t>
                  </w:r>
                </w:p>
              </w:tc>
            </w:tr>
            <w:tr w14:paraId="642D54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tcBorders>
                    <w:tl2br w:val="nil"/>
                    <w:tr2bl w:val="nil"/>
                  </w:tcBorders>
                  <w:noWrap w:val="0"/>
                  <w:vAlign w:val="center"/>
                </w:tcPr>
                <w:p w14:paraId="301A3A4C">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5756550">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补水箱</w:t>
                  </w:r>
                </w:p>
              </w:tc>
              <w:tc>
                <w:tcPr>
                  <w:tcW w:w="514" w:type="pct"/>
                  <w:tcBorders>
                    <w:tl2br w:val="nil"/>
                    <w:tr2bl w:val="nil"/>
                  </w:tcBorders>
                  <w:noWrap w:val="0"/>
                  <w:vAlign w:val="center"/>
                </w:tcPr>
                <w:p w14:paraId="4BEE259C">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3C71177B">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483" w:type="pct"/>
                  <w:tcBorders>
                    <w:tl2br w:val="nil"/>
                    <w:tr2bl w:val="nil"/>
                  </w:tcBorders>
                  <w:noWrap w:val="0"/>
                  <w:vAlign w:val="center"/>
                </w:tcPr>
                <w:p w14:paraId="3441993B">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水箱容积10m</w:t>
                  </w:r>
                  <w:r>
                    <w:rPr>
                      <w:rFonts w:hint="default" w:ascii="Times New Roman" w:hAnsi="Times New Roman" w:eastAsia="宋体" w:cs="Times New Roman"/>
                      <w:color w:val="auto"/>
                      <w:kern w:val="0"/>
                      <w:sz w:val="18"/>
                      <w:szCs w:val="18"/>
                      <w:highlight w:val="none"/>
                      <w:vertAlign w:val="superscript"/>
                      <w:lang w:val="en-US" w:eastAsia="zh-CN" w:bidi="ar"/>
                    </w:rPr>
                    <w:t>3</w:t>
                  </w:r>
                </w:p>
              </w:tc>
            </w:tr>
            <w:tr w14:paraId="4BC589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1EC0FEE">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731C4DCB">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闭式凝结水水箱</w:t>
                  </w:r>
                </w:p>
              </w:tc>
              <w:tc>
                <w:tcPr>
                  <w:tcW w:w="514" w:type="pct"/>
                  <w:tcBorders>
                    <w:tl2br w:val="nil"/>
                    <w:tr2bl w:val="nil"/>
                  </w:tcBorders>
                  <w:noWrap w:val="0"/>
                  <w:vAlign w:val="center"/>
                </w:tcPr>
                <w:p w14:paraId="596A5D55">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2611F504">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483" w:type="pct"/>
                  <w:tcBorders>
                    <w:tl2br w:val="nil"/>
                    <w:tr2bl w:val="nil"/>
                  </w:tcBorders>
                  <w:noWrap w:val="0"/>
                  <w:vAlign w:val="center"/>
                </w:tcPr>
                <w:p w14:paraId="732B080B">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V=20m</w:t>
                  </w:r>
                  <w:r>
                    <w:rPr>
                      <w:rFonts w:hint="default" w:ascii="Times New Roman" w:hAnsi="Times New Roman" w:eastAsia="宋体" w:cs="Times New Roman"/>
                      <w:color w:val="auto"/>
                      <w:kern w:val="0"/>
                      <w:sz w:val="18"/>
                      <w:szCs w:val="18"/>
                      <w:highlight w:val="none"/>
                      <w:vertAlign w:val="superscript"/>
                      <w:lang w:val="en-US" w:eastAsia="zh-CN" w:bidi="ar"/>
                    </w:rPr>
                    <w:t>3</w:t>
                  </w:r>
                </w:p>
              </w:tc>
            </w:tr>
            <w:tr w14:paraId="2F38AB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177E1891">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B26BBB0">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凝结水泵</w:t>
                  </w:r>
                </w:p>
              </w:tc>
              <w:tc>
                <w:tcPr>
                  <w:tcW w:w="514" w:type="pct"/>
                  <w:tcBorders>
                    <w:tl2br w:val="nil"/>
                    <w:tr2bl w:val="nil"/>
                  </w:tcBorders>
                  <w:noWrap w:val="0"/>
                  <w:vAlign w:val="center"/>
                </w:tcPr>
                <w:p w14:paraId="281B3833">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2628CD87">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51ED2A12">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流量Q=40m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/h</w:t>
                  </w:r>
                  <w:r>
                    <w:rPr>
                      <w:rFonts w:hint="eastAsia" w:ascii="Times New Roman" w:hAnsi="Times New Roman" w:eastAsia="宋体" w:cs="Times New Roman"/>
                      <w:color w:val="auto"/>
                      <w:kern w:val="0"/>
                      <w:sz w:val="18"/>
                      <w:szCs w:val="18"/>
                      <w:highlight w:val="none"/>
                      <w:lang w:val="en-US" w:eastAsia="zh-CN" w:bidi="ar"/>
                    </w:rPr>
                    <w:t>；</w:t>
                  </w:r>
                  <w:r>
                    <w:rPr>
                      <w:rFonts w:hint="default" w:ascii="Times New Roman" w:hAnsi="Times New Roman" w:eastAsia="宋体" w:cs="Times New Roman"/>
                      <w:color w:val="auto"/>
                      <w:kern w:val="0"/>
                      <w:sz w:val="18"/>
                      <w:szCs w:val="18"/>
                      <w:highlight w:val="none"/>
                      <w:lang w:val="en-US" w:eastAsia="zh-CN" w:bidi="ar"/>
                    </w:rPr>
                    <w:t>扬程H=70m</w:t>
                  </w:r>
                </w:p>
              </w:tc>
            </w:tr>
            <w:tr w14:paraId="09BD1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restart"/>
                  <w:tcBorders>
                    <w:tl2br w:val="nil"/>
                    <w:tr2bl w:val="nil"/>
                  </w:tcBorders>
                  <w:noWrap w:val="0"/>
                  <w:vAlign w:val="center"/>
                </w:tcPr>
                <w:p w14:paraId="0542023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火炬系统</w:t>
                  </w:r>
                </w:p>
              </w:tc>
              <w:tc>
                <w:tcPr>
                  <w:tcW w:w="1985" w:type="pct"/>
                  <w:tcBorders>
                    <w:tl2br w:val="nil"/>
                    <w:tr2bl w:val="nil"/>
                  </w:tcBorders>
                  <w:noWrap w:val="0"/>
                  <w:vAlign w:val="center"/>
                </w:tcPr>
                <w:p w14:paraId="1FBA2F1A">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低热值火炬头</w:t>
                  </w:r>
                </w:p>
              </w:tc>
              <w:tc>
                <w:tcPr>
                  <w:tcW w:w="514" w:type="pct"/>
                  <w:tcBorders>
                    <w:tl2br w:val="nil"/>
                    <w:tr2bl w:val="nil"/>
                  </w:tcBorders>
                  <w:noWrap w:val="0"/>
                  <w:vAlign w:val="center"/>
                </w:tcPr>
                <w:p w14:paraId="310DE756">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个</w:t>
                  </w:r>
                </w:p>
              </w:tc>
              <w:tc>
                <w:tcPr>
                  <w:tcW w:w="386" w:type="pct"/>
                  <w:tcBorders>
                    <w:tl2br w:val="nil"/>
                    <w:tr2bl w:val="nil"/>
                  </w:tcBorders>
                  <w:noWrap w:val="0"/>
                  <w:vAlign w:val="center"/>
                </w:tcPr>
                <w:p w14:paraId="179B968B">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419A54D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DN150×3000mm</w:t>
                  </w:r>
                </w:p>
              </w:tc>
            </w:tr>
            <w:tr w14:paraId="546A07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7B718DC5">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9003975">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低热值火炬筒体</w:t>
                  </w:r>
                </w:p>
              </w:tc>
              <w:tc>
                <w:tcPr>
                  <w:tcW w:w="514" w:type="pct"/>
                  <w:tcBorders>
                    <w:tl2br w:val="nil"/>
                    <w:tr2bl w:val="nil"/>
                  </w:tcBorders>
                  <w:noWrap w:val="0"/>
                  <w:vAlign w:val="center"/>
                </w:tcPr>
                <w:p w14:paraId="12584EF8">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个</w:t>
                  </w:r>
                </w:p>
              </w:tc>
              <w:tc>
                <w:tcPr>
                  <w:tcW w:w="386" w:type="pct"/>
                  <w:tcBorders>
                    <w:tl2br w:val="nil"/>
                    <w:tr2bl w:val="nil"/>
                  </w:tcBorders>
                  <w:noWrap w:val="0"/>
                  <w:vAlign w:val="center"/>
                </w:tcPr>
                <w:p w14:paraId="6F3C6906">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43CDA09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DN150×17000mm</w:t>
                  </w:r>
                </w:p>
              </w:tc>
            </w:tr>
            <w:tr w14:paraId="59BA45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38BB21B1">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60CEF21">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烃类高热值火炬头</w:t>
                  </w:r>
                </w:p>
              </w:tc>
              <w:tc>
                <w:tcPr>
                  <w:tcW w:w="514" w:type="pct"/>
                  <w:tcBorders>
                    <w:tl2br w:val="nil"/>
                    <w:tr2bl w:val="nil"/>
                  </w:tcBorders>
                  <w:noWrap w:val="0"/>
                  <w:vAlign w:val="center"/>
                </w:tcPr>
                <w:p w14:paraId="32625BCB">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个</w:t>
                  </w:r>
                </w:p>
              </w:tc>
              <w:tc>
                <w:tcPr>
                  <w:tcW w:w="386" w:type="pct"/>
                  <w:tcBorders>
                    <w:tl2br w:val="nil"/>
                    <w:tr2bl w:val="nil"/>
                  </w:tcBorders>
                  <w:noWrap w:val="0"/>
                  <w:vAlign w:val="center"/>
                </w:tcPr>
                <w:p w14:paraId="4623A0A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146E44F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DN150×3000mm</w:t>
                  </w:r>
                </w:p>
              </w:tc>
            </w:tr>
            <w:tr w14:paraId="5FF87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B3E3FCE">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248BD572">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烃类高热值火炬筒体</w:t>
                  </w:r>
                </w:p>
              </w:tc>
              <w:tc>
                <w:tcPr>
                  <w:tcW w:w="514" w:type="pct"/>
                  <w:tcBorders>
                    <w:tl2br w:val="nil"/>
                    <w:tr2bl w:val="nil"/>
                  </w:tcBorders>
                  <w:noWrap w:val="0"/>
                  <w:vAlign w:val="center"/>
                </w:tcPr>
                <w:p w14:paraId="7785BD80">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个</w:t>
                  </w:r>
                </w:p>
              </w:tc>
              <w:tc>
                <w:tcPr>
                  <w:tcW w:w="386" w:type="pct"/>
                  <w:tcBorders>
                    <w:tl2br w:val="nil"/>
                    <w:tr2bl w:val="nil"/>
                  </w:tcBorders>
                  <w:noWrap w:val="0"/>
                  <w:vAlign w:val="center"/>
                </w:tcPr>
                <w:p w14:paraId="11D3B1E8">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769A968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DN150×17000mm</w:t>
                  </w:r>
                </w:p>
              </w:tc>
            </w:tr>
            <w:tr w14:paraId="1619A4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4DEFAA9C">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62AC864C">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低热值火炬分液水封罐</w:t>
                  </w:r>
                </w:p>
              </w:tc>
              <w:tc>
                <w:tcPr>
                  <w:tcW w:w="514" w:type="pct"/>
                  <w:tcBorders>
                    <w:tl2br w:val="nil"/>
                    <w:tr2bl w:val="nil"/>
                  </w:tcBorders>
                  <w:noWrap w:val="0"/>
                  <w:vAlign w:val="center"/>
                </w:tcPr>
                <w:p w14:paraId="1C35B074">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座</w:t>
                  </w:r>
                </w:p>
              </w:tc>
              <w:tc>
                <w:tcPr>
                  <w:tcW w:w="386" w:type="pct"/>
                  <w:tcBorders>
                    <w:tl2br w:val="nil"/>
                    <w:tr2bl w:val="nil"/>
                  </w:tcBorders>
                  <w:noWrap w:val="0"/>
                  <w:vAlign w:val="center"/>
                </w:tcPr>
                <w:p w14:paraId="129CB428">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230077D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DN1000mm，L(TT)=2500mm</w:t>
                  </w:r>
                </w:p>
              </w:tc>
            </w:tr>
            <w:tr w14:paraId="5867DD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3C7F3CAC">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14CBFD94">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烃类高热值火炬分液罐</w:t>
                  </w:r>
                </w:p>
              </w:tc>
              <w:tc>
                <w:tcPr>
                  <w:tcW w:w="514" w:type="pct"/>
                  <w:tcBorders>
                    <w:tl2br w:val="nil"/>
                    <w:tr2bl w:val="nil"/>
                  </w:tcBorders>
                  <w:noWrap w:val="0"/>
                  <w:vAlign w:val="center"/>
                </w:tcPr>
                <w:p w14:paraId="6140E6A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座</w:t>
                  </w:r>
                </w:p>
              </w:tc>
              <w:tc>
                <w:tcPr>
                  <w:tcW w:w="386" w:type="pct"/>
                  <w:tcBorders>
                    <w:tl2br w:val="nil"/>
                    <w:tr2bl w:val="nil"/>
                  </w:tcBorders>
                  <w:noWrap w:val="0"/>
                  <w:vAlign w:val="center"/>
                </w:tcPr>
                <w:p w14:paraId="3786430C">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0FC1EF1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DN1000mm，L(TT)=2000mm</w:t>
                  </w:r>
                </w:p>
              </w:tc>
            </w:tr>
            <w:tr w14:paraId="55B7A6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B8B1008">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E80368D">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烃类高热值火炬水封罐</w:t>
                  </w:r>
                </w:p>
              </w:tc>
              <w:tc>
                <w:tcPr>
                  <w:tcW w:w="514" w:type="pct"/>
                  <w:tcBorders>
                    <w:tl2br w:val="nil"/>
                    <w:tr2bl w:val="nil"/>
                  </w:tcBorders>
                  <w:noWrap w:val="0"/>
                  <w:vAlign w:val="center"/>
                </w:tcPr>
                <w:p w14:paraId="6BB0635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座</w:t>
                  </w:r>
                </w:p>
              </w:tc>
              <w:tc>
                <w:tcPr>
                  <w:tcW w:w="386" w:type="pct"/>
                  <w:tcBorders>
                    <w:tl2br w:val="nil"/>
                    <w:tr2bl w:val="nil"/>
                  </w:tcBorders>
                  <w:noWrap w:val="0"/>
                  <w:vAlign w:val="center"/>
                </w:tcPr>
                <w:p w14:paraId="0D12DE7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4ABE472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DN1000mm，L(TT)=2000mm</w:t>
                  </w:r>
                </w:p>
              </w:tc>
            </w:tr>
            <w:tr w14:paraId="000432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5474D55A">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5BFB0F8E">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塔架</w:t>
                  </w:r>
                </w:p>
              </w:tc>
              <w:tc>
                <w:tcPr>
                  <w:tcW w:w="514" w:type="pct"/>
                  <w:tcBorders>
                    <w:tl2br w:val="nil"/>
                    <w:tr2bl w:val="nil"/>
                  </w:tcBorders>
                  <w:noWrap w:val="0"/>
                  <w:vAlign w:val="center"/>
                </w:tcPr>
                <w:p w14:paraId="601DD6E4">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座</w:t>
                  </w:r>
                </w:p>
              </w:tc>
              <w:tc>
                <w:tcPr>
                  <w:tcW w:w="386" w:type="pct"/>
                  <w:tcBorders>
                    <w:tl2br w:val="nil"/>
                    <w:tr2bl w:val="nil"/>
                  </w:tcBorders>
                  <w:noWrap w:val="0"/>
                  <w:vAlign w:val="center"/>
                </w:tcPr>
                <w:p w14:paraId="641BF96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4AE50962">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H=16.5m</w:t>
                  </w:r>
                </w:p>
              </w:tc>
            </w:tr>
            <w:tr w14:paraId="1C0792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F52209C">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70FC0E1E">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废水输送泵</w:t>
                  </w:r>
                </w:p>
              </w:tc>
              <w:tc>
                <w:tcPr>
                  <w:tcW w:w="514" w:type="pct"/>
                  <w:tcBorders>
                    <w:tl2br w:val="nil"/>
                    <w:tr2bl w:val="nil"/>
                  </w:tcBorders>
                  <w:noWrap w:val="0"/>
                  <w:vAlign w:val="center"/>
                </w:tcPr>
                <w:p w14:paraId="2D77E3B1">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1207CDB4">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63BDE4E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Q=5m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 xml:space="preserve"> /h，扬程：50m</w:t>
                  </w:r>
                </w:p>
              </w:tc>
            </w:tr>
            <w:tr w14:paraId="2660B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CC9231C">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AC2EC0C">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地面内传焰点火器</w:t>
                  </w:r>
                </w:p>
              </w:tc>
              <w:tc>
                <w:tcPr>
                  <w:tcW w:w="514" w:type="pct"/>
                  <w:tcBorders>
                    <w:tl2br w:val="nil"/>
                    <w:tr2bl w:val="nil"/>
                  </w:tcBorders>
                  <w:noWrap w:val="0"/>
                  <w:vAlign w:val="center"/>
                </w:tcPr>
                <w:p w14:paraId="05F9E643">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0641D6A1">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623E111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HLD-I</w:t>
                  </w:r>
                </w:p>
              </w:tc>
            </w:tr>
            <w:tr w14:paraId="215070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76C9D65B">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39A84BEC">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高空点火装置</w:t>
                  </w:r>
                </w:p>
              </w:tc>
              <w:tc>
                <w:tcPr>
                  <w:tcW w:w="514" w:type="pct"/>
                  <w:tcBorders>
                    <w:tl2br w:val="nil"/>
                    <w:tr2bl w:val="nil"/>
                  </w:tcBorders>
                  <w:noWrap w:val="0"/>
                  <w:vAlign w:val="center"/>
                </w:tcPr>
                <w:p w14:paraId="1D53D08D">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5A549470">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382536F8">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31905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05CF985B">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2A00393C">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宋体" w:hAnsi="宋体" w:eastAsia="宋体" w:cs="宋体"/>
                      <w:color w:val="auto"/>
                      <w:kern w:val="0"/>
                      <w:sz w:val="18"/>
                      <w:szCs w:val="18"/>
                      <w:highlight w:val="none"/>
                      <w:lang w:val="en-US" w:eastAsia="zh-CN" w:bidi="ar"/>
                    </w:rPr>
                    <w:t>长明灯</w:t>
                  </w:r>
                </w:p>
              </w:tc>
              <w:tc>
                <w:tcPr>
                  <w:tcW w:w="514" w:type="pct"/>
                  <w:tcBorders>
                    <w:tl2br w:val="nil"/>
                    <w:tr2bl w:val="nil"/>
                  </w:tcBorders>
                  <w:noWrap w:val="0"/>
                  <w:vAlign w:val="center"/>
                </w:tcPr>
                <w:p w14:paraId="7D336881">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个</w:t>
                  </w:r>
                </w:p>
              </w:tc>
              <w:tc>
                <w:tcPr>
                  <w:tcW w:w="386" w:type="pct"/>
                  <w:tcBorders>
                    <w:tl2br w:val="nil"/>
                    <w:tr2bl w:val="nil"/>
                  </w:tcBorders>
                  <w:noWrap w:val="0"/>
                  <w:vAlign w:val="center"/>
                </w:tcPr>
                <w:p w14:paraId="47F3A868">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6658D1D0">
                  <w:pPr>
                    <w:jc w:val="center"/>
                    <w:rPr>
                      <w:rFonts w:hint="default" w:ascii="Times New Roman" w:hAnsi="Times New Roman" w:eastAsia="宋体" w:cs="Times New Roman"/>
                      <w:b w:val="0"/>
                      <w:bCs/>
                      <w:color w:val="auto"/>
                      <w:sz w:val="18"/>
                      <w:szCs w:val="18"/>
                      <w:highlight w:val="none"/>
                      <w:vertAlign w:val="baseline"/>
                      <w:lang w:val="en-US" w:eastAsia="zh-CN"/>
                    </w:rPr>
                  </w:pPr>
                </w:p>
              </w:tc>
            </w:tr>
            <w:tr w14:paraId="58858A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restart"/>
                  <w:tcBorders>
                    <w:tl2br w:val="nil"/>
                    <w:tr2bl w:val="nil"/>
                  </w:tcBorders>
                  <w:noWrap w:val="0"/>
                  <w:vAlign w:val="center"/>
                </w:tcPr>
                <w:p w14:paraId="7696A3EC">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事故水池/初期雨水池</w:t>
                  </w:r>
                </w:p>
              </w:tc>
              <w:tc>
                <w:tcPr>
                  <w:tcW w:w="1985" w:type="pct"/>
                  <w:tcBorders>
                    <w:tl2br w:val="nil"/>
                    <w:tr2bl w:val="nil"/>
                  </w:tcBorders>
                  <w:noWrap w:val="0"/>
                  <w:vAlign w:val="center"/>
                </w:tcPr>
                <w:p w14:paraId="28FC2DED">
                  <w:pPr>
                    <w:keepNext w:val="0"/>
                    <w:keepLines w:val="0"/>
                    <w:widowControl/>
                    <w:suppressLineNumbers w:val="0"/>
                    <w:jc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事故水提升泵（潜污泵）</w:t>
                  </w:r>
                </w:p>
              </w:tc>
              <w:tc>
                <w:tcPr>
                  <w:tcW w:w="514" w:type="pct"/>
                  <w:tcBorders>
                    <w:tl2br w:val="nil"/>
                    <w:tr2bl w:val="nil"/>
                  </w:tcBorders>
                  <w:noWrap w:val="0"/>
                  <w:vAlign w:val="center"/>
                </w:tcPr>
                <w:p w14:paraId="359B36BD">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5B54090F">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4A66447E">
                  <w:pPr>
                    <w:keepNext w:val="0"/>
                    <w:keepLines w:val="0"/>
                    <w:widowControl/>
                    <w:suppressLineNumbers w:val="0"/>
                    <w:jc w:val="left"/>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Q=50m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 xml:space="preserve"> /h，H=23m</w:t>
                  </w:r>
                </w:p>
              </w:tc>
            </w:tr>
            <w:tr w14:paraId="2DD1E3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2280B9AE">
                  <w:pPr>
                    <w:jc w:val="center"/>
                    <w:rPr>
                      <w:rFonts w:hint="eastAsia"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02BDAC35">
                  <w:pPr>
                    <w:keepNext w:val="0"/>
                    <w:keepLines w:val="0"/>
                    <w:widowControl/>
                    <w:suppressLineNumbers w:val="0"/>
                    <w:jc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初期雨水提升泵（潜污泵）</w:t>
                  </w:r>
                </w:p>
              </w:tc>
              <w:tc>
                <w:tcPr>
                  <w:tcW w:w="514" w:type="pct"/>
                  <w:tcBorders>
                    <w:tl2br w:val="nil"/>
                    <w:tr2bl w:val="nil"/>
                  </w:tcBorders>
                  <w:noWrap w:val="0"/>
                  <w:vAlign w:val="center"/>
                </w:tcPr>
                <w:p w14:paraId="1467518D">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089542AA">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w:t>
                  </w:r>
                </w:p>
              </w:tc>
              <w:tc>
                <w:tcPr>
                  <w:tcW w:w="1483" w:type="pct"/>
                  <w:tcBorders>
                    <w:tl2br w:val="nil"/>
                    <w:tr2bl w:val="nil"/>
                  </w:tcBorders>
                  <w:noWrap w:val="0"/>
                  <w:vAlign w:val="center"/>
                </w:tcPr>
                <w:p w14:paraId="4312A84C">
                  <w:pPr>
                    <w:keepNext w:val="0"/>
                    <w:keepLines w:val="0"/>
                    <w:widowControl/>
                    <w:suppressLineNumbers w:val="0"/>
                    <w:jc w:val="left"/>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Q=40m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 xml:space="preserve"> /h，H=23m</w:t>
                  </w:r>
                </w:p>
              </w:tc>
            </w:tr>
            <w:tr w14:paraId="273B11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vMerge w:val="continue"/>
                  <w:tcBorders>
                    <w:tl2br w:val="nil"/>
                    <w:tr2bl w:val="nil"/>
                  </w:tcBorders>
                  <w:noWrap w:val="0"/>
                  <w:vAlign w:val="center"/>
                </w:tcPr>
                <w:p w14:paraId="729B13C3">
                  <w:pPr>
                    <w:jc w:val="center"/>
                    <w:rPr>
                      <w:rFonts w:hint="default" w:ascii="Times New Roman" w:hAnsi="Times New Roman" w:eastAsia="宋体" w:cs="Times New Roman"/>
                      <w:b w:val="0"/>
                      <w:bCs/>
                      <w:color w:val="auto"/>
                      <w:sz w:val="18"/>
                      <w:szCs w:val="18"/>
                      <w:highlight w:val="none"/>
                      <w:vertAlign w:val="baseline"/>
                      <w:lang w:val="en-US" w:eastAsia="zh-CN"/>
                    </w:rPr>
                  </w:pPr>
                </w:p>
              </w:tc>
              <w:tc>
                <w:tcPr>
                  <w:tcW w:w="1985" w:type="pct"/>
                  <w:tcBorders>
                    <w:tl2br w:val="nil"/>
                    <w:tr2bl w:val="nil"/>
                  </w:tcBorders>
                  <w:noWrap w:val="0"/>
                  <w:vAlign w:val="center"/>
                </w:tcPr>
                <w:p w14:paraId="56C8BDC6">
                  <w:pPr>
                    <w:keepNext w:val="0"/>
                    <w:keepLines w:val="0"/>
                    <w:widowControl/>
                    <w:suppressLineNumbers w:val="0"/>
                    <w:jc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清净雨水提升泵（潜污泵）</w:t>
                  </w:r>
                </w:p>
              </w:tc>
              <w:tc>
                <w:tcPr>
                  <w:tcW w:w="514" w:type="pct"/>
                  <w:tcBorders>
                    <w:tl2br w:val="nil"/>
                    <w:tr2bl w:val="nil"/>
                  </w:tcBorders>
                  <w:noWrap w:val="0"/>
                  <w:vAlign w:val="center"/>
                </w:tcPr>
                <w:p w14:paraId="2B0087E5">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台</w:t>
                  </w:r>
                </w:p>
              </w:tc>
              <w:tc>
                <w:tcPr>
                  <w:tcW w:w="386" w:type="pct"/>
                  <w:tcBorders>
                    <w:tl2br w:val="nil"/>
                    <w:tr2bl w:val="nil"/>
                  </w:tcBorders>
                  <w:noWrap w:val="0"/>
                  <w:vAlign w:val="center"/>
                </w:tcPr>
                <w:p w14:paraId="6C486B72">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3</w:t>
                  </w:r>
                </w:p>
              </w:tc>
              <w:tc>
                <w:tcPr>
                  <w:tcW w:w="1483" w:type="pct"/>
                  <w:tcBorders>
                    <w:tl2br w:val="nil"/>
                    <w:tr2bl w:val="nil"/>
                  </w:tcBorders>
                  <w:noWrap w:val="0"/>
                  <w:vAlign w:val="center"/>
                </w:tcPr>
                <w:p w14:paraId="52E847C2">
                  <w:pPr>
                    <w:keepNext w:val="0"/>
                    <w:keepLines w:val="0"/>
                    <w:widowControl/>
                    <w:suppressLineNumbers w:val="0"/>
                    <w:jc w:val="left"/>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Q=4320m</w:t>
                  </w:r>
                  <w:r>
                    <w:rPr>
                      <w:rFonts w:hint="default" w:ascii="Times New Roman" w:hAnsi="Times New Roman" w:eastAsia="宋体" w:cs="Times New Roman"/>
                      <w:color w:val="auto"/>
                      <w:kern w:val="0"/>
                      <w:sz w:val="18"/>
                      <w:szCs w:val="18"/>
                      <w:highlight w:val="none"/>
                      <w:vertAlign w:val="superscript"/>
                      <w:lang w:val="en-US" w:eastAsia="zh-CN" w:bidi="ar"/>
                    </w:rPr>
                    <w:t>3</w:t>
                  </w:r>
                  <w:r>
                    <w:rPr>
                      <w:rFonts w:hint="default" w:ascii="Times New Roman" w:hAnsi="Times New Roman" w:eastAsia="宋体" w:cs="Times New Roman"/>
                      <w:color w:val="auto"/>
                      <w:kern w:val="0"/>
                      <w:sz w:val="18"/>
                      <w:szCs w:val="18"/>
                      <w:highlight w:val="none"/>
                      <w:lang w:val="en-US" w:eastAsia="zh-CN" w:bidi="ar"/>
                    </w:rPr>
                    <w:t xml:space="preserve"> /h，H=12m</w:t>
                  </w:r>
                </w:p>
              </w:tc>
            </w:tr>
            <w:tr w14:paraId="69517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9" w:type="pct"/>
                  <w:tcBorders>
                    <w:tl2br w:val="nil"/>
                    <w:tr2bl w:val="nil"/>
                  </w:tcBorders>
                  <w:noWrap w:val="0"/>
                  <w:vAlign w:val="center"/>
                </w:tcPr>
                <w:p w14:paraId="36D24450">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生活污水处理</w:t>
                  </w:r>
                </w:p>
              </w:tc>
              <w:tc>
                <w:tcPr>
                  <w:tcW w:w="1985" w:type="pct"/>
                  <w:tcBorders>
                    <w:tl2br w:val="nil"/>
                    <w:tr2bl w:val="nil"/>
                  </w:tcBorders>
                  <w:noWrap w:val="0"/>
                  <w:vAlign w:val="center"/>
                </w:tcPr>
                <w:p w14:paraId="40D5CF1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化粪池</w:t>
                  </w:r>
                </w:p>
              </w:tc>
              <w:tc>
                <w:tcPr>
                  <w:tcW w:w="514" w:type="pct"/>
                  <w:tcBorders>
                    <w:tl2br w:val="nil"/>
                    <w:tr2bl w:val="nil"/>
                  </w:tcBorders>
                  <w:noWrap w:val="0"/>
                  <w:vAlign w:val="center"/>
                </w:tcPr>
                <w:p w14:paraId="1674B81C">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座</w:t>
                  </w:r>
                </w:p>
              </w:tc>
              <w:tc>
                <w:tcPr>
                  <w:tcW w:w="386" w:type="pct"/>
                  <w:tcBorders>
                    <w:tl2br w:val="nil"/>
                    <w:tr2bl w:val="nil"/>
                  </w:tcBorders>
                  <w:noWrap w:val="0"/>
                  <w:vAlign w:val="center"/>
                </w:tcPr>
                <w:p w14:paraId="57F0521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1483" w:type="pct"/>
                  <w:tcBorders>
                    <w:tl2br w:val="nil"/>
                    <w:tr2bl w:val="nil"/>
                  </w:tcBorders>
                  <w:noWrap w:val="0"/>
                  <w:vAlign w:val="center"/>
                </w:tcPr>
                <w:p w14:paraId="41F65D69">
                  <w:pPr>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cs="Times New Roman"/>
                      <w:color w:val="auto"/>
                      <w:sz w:val="18"/>
                      <w:szCs w:val="18"/>
                      <w:highlight w:val="none"/>
                    </w:rPr>
                    <w:t>型号为G9-30SF，有效容积30m</w:t>
                  </w:r>
                  <w:r>
                    <w:rPr>
                      <w:rFonts w:hint="default" w:ascii="Times New Roman" w:hAnsi="Times New Roman" w:cs="Times New Roman"/>
                      <w:color w:val="auto"/>
                      <w:sz w:val="18"/>
                      <w:szCs w:val="18"/>
                      <w:highlight w:val="none"/>
                      <w:vertAlign w:val="superscript"/>
                      <w:lang w:val="en-US" w:eastAsia="zh-CN"/>
                    </w:rPr>
                    <w:t>3</w:t>
                  </w:r>
                  <w:r>
                    <w:rPr>
                      <w:rFonts w:hint="default" w:ascii="Times New Roman" w:hAnsi="Times New Roman" w:cs="Times New Roman"/>
                      <w:color w:val="auto"/>
                      <w:sz w:val="18"/>
                      <w:szCs w:val="18"/>
                      <w:highlight w:val="none"/>
                    </w:rPr>
                    <w:t>，钢筋混凝土结构</w:t>
                  </w:r>
                </w:p>
              </w:tc>
            </w:tr>
          </w:tbl>
          <w:p w14:paraId="3801968A">
            <w:pPr>
              <w:autoSpaceDE w:val="0"/>
              <w:spacing w:line="360" w:lineRule="auto"/>
              <w:ind w:firstLine="422" w:firstLineChars="200"/>
              <w:rPr>
                <w:rFonts w:hint="eastAsia"/>
                <w:b/>
                <w:color w:val="auto"/>
                <w:sz w:val="21"/>
                <w:szCs w:val="21"/>
                <w:highlight w:val="none"/>
                <w:lang w:val="en-US" w:eastAsia="zh-CN"/>
              </w:rPr>
            </w:pPr>
          </w:p>
          <w:p w14:paraId="37E330EF">
            <w:pPr>
              <w:autoSpaceDE w:val="0"/>
              <w:spacing w:line="360" w:lineRule="auto"/>
              <w:ind w:firstLine="422" w:firstLineChars="200"/>
              <w:rPr>
                <w:rFonts w:hint="default" w:eastAsia="宋体"/>
                <w:b/>
                <w:color w:val="auto"/>
                <w:sz w:val="21"/>
                <w:szCs w:val="21"/>
                <w:highlight w:val="none"/>
                <w:lang w:val="en-US" w:eastAsia="zh-CN"/>
              </w:rPr>
            </w:pPr>
            <w:r>
              <w:rPr>
                <w:rFonts w:hint="eastAsia"/>
                <w:b/>
                <w:color w:val="auto"/>
                <w:sz w:val="21"/>
                <w:szCs w:val="21"/>
                <w:highlight w:val="none"/>
                <w:lang w:val="en-US" w:eastAsia="zh-CN"/>
              </w:rPr>
              <w:t>5</w:t>
            </w:r>
            <w:r>
              <w:rPr>
                <w:b/>
                <w:color w:val="auto"/>
                <w:sz w:val="21"/>
                <w:szCs w:val="21"/>
                <w:highlight w:val="none"/>
              </w:rPr>
              <w:t>、</w:t>
            </w:r>
            <w:r>
              <w:rPr>
                <w:rFonts w:hint="eastAsia"/>
                <w:b/>
                <w:color w:val="auto"/>
                <w:sz w:val="21"/>
                <w:szCs w:val="21"/>
                <w:highlight w:val="none"/>
                <w:lang w:val="en-US" w:eastAsia="zh-CN"/>
              </w:rPr>
              <w:t>公用工程</w:t>
            </w:r>
          </w:p>
          <w:p w14:paraId="4F1250F0">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lang w:eastAsia="zh-CN"/>
              </w:rPr>
              <w:t>（1）</w:t>
            </w:r>
            <w:r>
              <w:rPr>
                <w:rFonts w:hint="default" w:ascii="Times New Roman" w:hAnsi="Times New Roman" w:eastAsia="宋体" w:cs="Times New Roman"/>
                <w:color w:val="auto"/>
                <w:spacing w:val="-4"/>
                <w:sz w:val="21"/>
                <w:szCs w:val="21"/>
                <w:highlight w:val="none"/>
              </w:rPr>
              <w:t>供电</w:t>
            </w:r>
          </w:p>
          <w:p w14:paraId="665C749A">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392"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7"/>
                <w:sz w:val="21"/>
                <w:szCs w:val="21"/>
                <w:highlight w:val="none"/>
              </w:rPr>
              <w:t>项目用电由</w:t>
            </w:r>
            <w:r>
              <w:rPr>
                <w:rFonts w:hint="eastAsia" w:ascii="Times New Roman" w:hAnsi="Times New Roman" w:eastAsia="宋体" w:cs="Times New Roman"/>
                <w:color w:val="auto"/>
                <w:spacing w:val="-7"/>
                <w:sz w:val="21"/>
                <w:szCs w:val="21"/>
                <w:highlight w:val="none"/>
                <w:lang w:val="en-US" w:eastAsia="zh-CN"/>
              </w:rPr>
              <w:t>图克项目工业区供电系统引入基地，基地内建设变电所1座</w:t>
            </w:r>
            <w:r>
              <w:rPr>
                <w:rFonts w:hint="default" w:ascii="Times New Roman" w:hAnsi="Times New Roman" w:eastAsia="宋体" w:cs="Times New Roman"/>
                <w:color w:val="auto"/>
                <w:spacing w:val="-2"/>
                <w:sz w:val="21"/>
                <w:szCs w:val="21"/>
                <w:highlight w:val="none"/>
              </w:rPr>
              <w:t>。</w:t>
            </w:r>
          </w:p>
          <w:p w14:paraId="684120F3">
            <w:pPr>
              <w:pStyle w:val="50"/>
              <w:keepNext w:val="0"/>
              <w:keepLines w:val="0"/>
              <w:pageBreakBefore w:val="0"/>
              <w:widowControl w:val="0"/>
              <w:numPr>
                <w:ilvl w:val="0"/>
                <w:numId w:val="4"/>
              </w:numPr>
              <w:kinsoku/>
              <w:wordWrap/>
              <w:overflowPunct/>
              <w:topLinePunct w:val="0"/>
              <w:autoSpaceDE/>
              <w:autoSpaceDN/>
              <w:bidi w:val="0"/>
              <w:adjustRightInd/>
              <w:snapToGrid/>
              <w:ind w:firstLine="420" w:firstLineChars="200"/>
              <w:textAlignment w:val="auto"/>
              <w:rPr>
                <w:rFonts w:hint="eastAsia" w:eastAsia="宋体" w:cs="Times New Roman"/>
                <w:b w:val="0"/>
                <w:bCs w:val="0"/>
                <w:color w:val="auto"/>
                <w:sz w:val="21"/>
                <w:szCs w:val="21"/>
                <w:highlight w:val="none"/>
                <w:lang w:val="en-US" w:eastAsia="zh-CN"/>
              </w:rPr>
            </w:pPr>
            <w:r>
              <w:rPr>
                <w:rFonts w:hint="eastAsia" w:eastAsia="宋体" w:cs="Times New Roman"/>
                <w:b w:val="0"/>
                <w:bCs w:val="0"/>
                <w:color w:val="auto"/>
                <w:sz w:val="21"/>
                <w:szCs w:val="21"/>
                <w:highlight w:val="none"/>
                <w:lang w:val="en-US" w:eastAsia="zh-CN"/>
              </w:rPr>
              <w:t>给水</w:t>
            </w:r>
          </w:p>
          <w:p w14:paraId="3E15F558">
            <w:pPr>
              <w:keepNext w:val="0"/>
              <w:keepLines w:val="0"/>
              <w:pageBreakBefore w:val="0"/>
              <w:widowControl w:val="0"/>
              <w:kinsoku/>
              <w:wordWrap/>
              <w:overflowPunct/>
              <w:topLinePunct w:val="0"/>
              <w:autoSpaceDE/>
              <w:autoSpaceDN/>
              <w:bidi w:val="0"/>
              <w:adjustRightInd/>
              <w:snapToGrid/>
              <w:spacing w:line="360" w:lineRule="auto"/>
              <w:ind w:firstLine="416" w:firstLineChars="200"/>
              <w:textAlignment w:val="auto"/>
              <w:rPr>
                <w:color w:val="auto"/>
                <w:spacing w:val="-1"/>
                <w:sz w:val="21"/>
                <w:szCs w:val="21"/>
                <w:highlight w:val="none"/>
              </w:rPr>
            </w:pPr>
            <w:r>
              <w:rPr>
                <w:rFonts w:hint="eastAsia" w:eastAsia="宋体"/>
                <w:color w:val="auto"/>
                <w:spacing w:val="-1"/>
                <w:sz w:val="21"/>
                <w:szCs w:val="21"/>
                <w:highlight w:val="none"/>
                <w:lang w:val="en-US" w:eastAsia="zh-CN"/>
              </w:rPr>
              <w:t>项目生产、生活用水</w:t>
            </w:r>
            <w:r>
              <w:rPr>
                <w:color w:val="auto"/>
                <w:spacing w:val="-1"/>
                <w:sz w:val="21"/>
                <w:szCs w:val="21"/>
                <w:highlight w:val="none"/>
              </w:rPr>
              <w:t>由市政供水管网提供。</w:t>
            </w:r>
            <w:r>
              <w:rPr>
                <w:rFonts w:hint="eastAsia" w:ascii="Times New Roman" w:hAnsi="Times New Roman" w:eastAsia="宋体" w:cs="Times New Roman"/>
                <w:color w:val="auto"/>
                <w:sz w:val="21"/>
                <w:szCs w:val="21"/>
                <w:highlight w:val="none"/>
                <w:lang w:val="en-US" w:eastAsia="zh-CN"/>
              </w:rPr>
              <w:t>本项目按基地工作人员总数约50人，</w:t>
            </w:r>
            <w:r>
              <w:rPr>
                <w:rFonts w:hint="default" w:ascii="Times New Roman" w:hAnsi="Times New Roman" w:eastAsia="宋体" w:cs="Times New Roman"/>
                <w:b w:val="0"/>
                <w:bCs w:val="0"/>
                <w:color w:val="auto"/>
                <w:sz w:val="21"/>
                <w:szCs w:val="21"/>
                <w:highlight w:val="none"/>
              </w:rPr>
              <w:t>根据</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rPr>
              <w:t>内蒙古自治区地方标准行业用水定额</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rPr>
              <w:t>（DB15/T385-2020）</w:t>
            </w:r>
            <w:r>
              <w:rPr>
                <w:rFonts w:hint="eastAsia"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生活用水量90L.人/d，则生活用水量为4.5m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/d。</w:t>
            </w:r>
          </w:p>
          <w:p w14:paraId="3940C901">
            <w:pPr>
              <w:pStyle w:val="23"/>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排水</w:t>
            </w:r>
          </w:p>
          <w:p w14:paraId="290650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①生活污水：</w:t>
            </w:r>
            <w:r>
              <w:rPr>
                <w:rFonts w:hint="eastAsia" w:ascii="Times New Roman" w:hAnsi="Times New Roman" w:eastAsia="宋体" w:cs="Times New Roman"/>
                <w:color w:val="auto"/>
                <w:sz w:val="21"/>
                <w:szCs w:val="21"/>
                <w:highlight w:val="none"/>
                <w:lang w:val="en-US" w:eastAsia="zh-CN"/>
              </w:rPr>
              <w:t>生活污水按用水量的80%计，则生活污水产生量为3.6m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/d，生活污水经化粪池收集后，定期清掏送园区污水处理厂处理</w:t>
            </w:r>
            <w:r>
              <w:rPr>
                <w:rFonts w:hint="default" w:ascii="Times New Roman" w:hAnsi="Times New Roman" w:eastAsia="宋体" w:cs="Times New Roman"/>
                <w:color w:val="auto"/>
                <w:sz w:val="21"/>
                <w:szCs w:val="21"/>
                <w:highlight w:val="none"/>
                <w:lang w:val="en-US" w:eastAsia="zh-CN"/>
              </w:rPr>
              <w:t>。</w:t>
            </w:r>
          </w:p>
          <w:p w14:paraId="46E743A4">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②生产废水：本项目生产废水</w:t>
            </w:r>
            <w:r>
              <w:rPr>
                <w:rFonts w:hint="eastAsia"/>
                <w:color w:val="auto"/>
                <w:sz w:val="21"/>
                <w:szCs w:val="21"/>
                <w:highlight w:val="none"/>
                <w:lang w:val="en-US" w:eastAsia="zh-CN"/>
              </w:rPr>
              <w:t>包括</w:t>
            </w:r>
            <w:r>
              <w:rPr>
                <w:rFonts w:hint="default" w:ascii="Times New Roman" w:hAnsi="Times New Roman" w:eastAsia="宋体" w:cs="Times New Roman"/>
                <w:color w:val="auto"/>
                <w:sz w:val="21"/>
                <w:szCs w:val="21"/>
                <w:highlight w:val="none"/>
                <w:lang w:val="en-US" w:eastAsia="zh-CN"/>
              </w:rPr>
              <w:t>循环水站</w:t>
            </w:r>
            <w:r>
              <w:rPr>
                <w:rFonts w:hint="eastAsia" w:ascii="Times New Roman" w:hAnsi="Times New Roman" w:eastAsia="宋体" w:cs="Times New Roman"/>
                <w:color w:val="auto"/>
                <w:sz w:val="21"/>
                <w:szCs w:val="21"/>
                <w:highlight w:val="none"/>
                <w:lang w:val="en-US" w:eastAsia="zh-CN"/>
              </w:rPr>
              <w:t>废水和</w:t>
            </w:r>
            <w:r>
              <w:rPr>
                <w:rFonts w:hint="default" w:ascii="Times New Roman" w:hAnsi="Times New Roman" w:eastAsia="宋体" w:cs="Times New Roman"/>
                <w:color w:val="auto"/>
                <w:sz w:val="21"/>
                <w:szCs w:val="21"/>
                <w:highlight w:val="none"/>
                <w:lang w:val="en-US" w:eastAsia="zh-CN"/>
              </w:rPr>
              <w:t>火炬系统</w:t>
            </w:r>
            <w:r>
              <w:rPr>
                <w:rFonts w:hint="eastAsia" w:ascii="Times New Roman" w:hAnsi="Times New Roman" w:eastAsia="宋体" w:cs="Times New Roman"/>
                <w:color w:val="auto"/>
                <w:sz w:val="21"/>
                <w:szCs w:val="21"/>
                <w:highlight w:val="none"/>
                <w:lang w:val="en-US" w:eastAsia="zh-CN"/>
              </w:rPr>
              <w:t>废水。</w:t>
            </w:r>
          </w:p>
          <w:p w14:paraId="7B01B67A">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循环水站循环水量为150m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/h，废水量约为循环量的0.5%，则循环水站废水量为0.75m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/h（18m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/d）。</w:t>
            </w:r>
          </w:p>
          <w:p w14:paraId="726F2016">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火炬系统设置</w:t>
            </w:r>
            <w:r>
              <w:rPr>
                <w:rFonts w:hint="eastAsia" w:ascii="宋体" w:hAnsi="宋体" w:eastAsia="宋体" w:cs="宋体"/>
                <w:color w:val="auto"/>
                <w:kern w:val="0"/>
                <w:sz w:val="21"/>
                <w:szCs w:val="21"/>
                <w:highlight w:val="none"/>
                <w:lang w:val="en-US" w:eastAsia="zh-CN" w:bidi="ar"/>
              </w:rPr>
              <w:t>低热值火炬和高热值烃类火炬两套</w:t>
            </w:r>
            <w:r>
              <w:rPr>
                <w:rFonts w:hint="eastAsia" w:ascii="Times New Roman" w:hAnsi="Times New Roman" w:eastAsia="宋体" w:cs="Times New Roman"/>
                <w:color w:val="auto"/>
                <w:sz w:val="21"/>
                <w:szCs w:val="21"/>
                <w:highlight w:val="none"/>
                <w:lang w:val="en-US" w:eastAsia="zh-CN"/>
              </w:rPr>
              <w:t>，事故状态下驰放气处理能力分别为</w:t>
            </w:r>
            <w:r>
              <w:rPr>
                <w:rFonts w:hint="eastAsia"/>
                <w:color w:val="auto"/>
                <w:sz w:val="21"/>
                <w:szCs w:val="21"/>
                <w:highlight w:val="none"/>
                <w:lang w:val="en-US" w:eastAsia="zh-CN"/>
              </w:rPr>
              <w:t>7000m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/h和2000m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/h，驰放气处理过程因气体自身含水量以及燃烧生成的水量，会产生废水，产生量约4-5m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p w14:paraId="2F98E219">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循环水站废水、火炬系统废水均通过管廊管道送</w:t>
            </w:r>
            <w:r>
              <w:rPr>
                <w:rFonts w:hint="eastAsia" w:ascii="Times New Roman" w:hAnsi="Times New Roman" w:cs="Times New Roman"/>
                <w:color w:val="auto"/>
                <w:sz w:val="21"/>
                <w:szCs w:val="21"/>
                <w:highlight w:val="none"/>
                <w:u w:val="none"/>
                <w:lang w:val="en-US" w:eastAsia="zh-CN"/>
              </w:rPr>
              <w:t>中煤鄂尔多斯能源化工有限公司</w:t>
            </w:r>
            <w:r>
              <w:rPr>
                <w:rFonts w:hint="eastAsia" w:ascii="Times New Roman" w:hAnsi="Times New Roman" w:eastAsia="宋体" w:cs="Times New Roman"/>
                <w:color w:val="auto"/>
                <w:sz w:val="21"/>
                <w:szCs w:val="21"/>
                <w:highlight w:val="none"/>
                <w:lang w:val="en-US" w:eastAsia="zh-CN"/>
              </w:rPr>
              <w:t>厂区废水处理系统有偿处理。</w:t>
            </w:r>
          </w:p>
          <w:p w14:paraId="0E6D7366">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color w:val="auto"/>
                <w:kern w:val="0"/>
                <w:sz w:val="21"/>
                <w:szCs w:val="21"/>
                <w:highlight w:val="none"/>
                <w:lang w:val="en-US" w:eastAsia="zh-CN"/>
              </w:rPr>
              <w:t>厂区通过阀门井内阀门控制切换，初期雨经初期雨水池收集后，由污水罐车拉运送园区污水处理厂处理；清净雨水进入雨水管网</w:t>
            </w:r>
            <w:r>
              <w:rPr>
                <w:rFonts w:hint="eastAsia" w:ascii="Times New Roman" w:hAnsi="Times New Roman" w:eastAsia="宋体" w:cs="Times New Roman"/>
                <w:color w:val="auto"/>
                <w:kern w:val="0"/>
                <w:sz w:val="21"/>
                <w:szCs w:val="21"/>
                <w:highlight w:val="none"/>
                <w:lang w:val="en-US" w:eastAsia="zh-CN" w:bidi="ar"/>
              </w:rPr>
              <w:t>。</w:t>
            </w:r>
          </w:p>
          <w:p w14:paraId="0A3B75DE">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（5）供热</w:t>
            </w:r>
          </w:p>
          <w:p w14:paraId="5C5D2753">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供热主要为后续入驻基地的中试项目提供生产用热，采用2.5MPa中压蒸汽，由</w:t>
            </w:r>
            <w:r>
              <w:rPr>
                <w:rFonts w:hint="eastAsia" w:ascii="Times New Roman" w:hAnsi="Times New Roman" w:cs="Times New Roman"/>
                <w:color w:val="auto"/>
                <w:sz w:val="21"/>
                <w:szCs w:val="21"/>
                <w:highlight w:val="none"/>
                <w:u w:val="none"/>
                <w:lang w:val="en-US" w:eastAsia="zh-CN"/>
              </w:rPr>
              <w:t>中煤鄂尔多斯能源化工有限公司</w:t>
            </w:r>
            <w:r>
              <w:rPr>
                <w:rFonts w:hint="eastAsia" w:ascii="Times New Roman" w:hAnsi="Times New Roman" w:eastAsia="宋体" w:cs="Times New Roman"/>
                <w:color w:val="auto"/>
                <w:sz w:val="21"/>
                <w:szCs w:val="21"/>
                <w:highlight w:val="none"/>
                <w:lang w:val="en-US" w:eastAsia="zh-CN"/>
              </w:rPr>
              <w:t>通过外部管廊引入基地内部。本项目仅建设蒸汽管道及其冷凝液回收管道，不涉及具体用气量。</w:t>
            </w:r>
          </w:p>
          <w:p w14:paraId="6186A242">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04" w:firstLineChars="200"/>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4"/>
                <w:sz w:val="21"/>
                <w:szCs w:val="21"/>
                <w:highlight w:val="none"/>
                <w:lang w:eastAsia="zh-CN"/>
              </w:rPr>
              <w:t>（</w:t>
            </w:r>
            <w:r>
              <w:rPr>
                <w:rFonts w:hint="eastAsia" w:ascii="Times New Roman" w:hAnsi="Times New Roman" w:eastAsia="宋体" w:cs="Times New Roman"/>
                <w:color w:val="auto"/>
                <w:spacing w:val="-4"/>
                <w:sz w:val="21"/>
                <w:szCs w:val="21"/>
                <w:highlight w:val="none"/>
                <w:lang w:val="en-US" w:eastAsia="zh-CN"/>
              </w:rPr>
              <w:t>4</w:t>
            </w:r>
            <w:r>
              <w:rPr>
                <w:rFonts w:hint="default" w:ascii="Times New Roman" w:hAnsi="Times New Roman" w:eastAsia="宋体" w:cs="Times New Roman"/>
                <w:color w:val="auto"/>
                <w:spacing w:val="-4"/>
                <w:sz w:val="21"/>
                <w:szCs w:val="21"/>
                <w:highlight w:val="none"/>
                <w:lang w:eastAsia="zh-CN"/>
              </w:rPr>
              <w:t>）</w:t>
            </w:r>
            <w:r>
              <w:rPr>
                <w:rFonts w:hint="eastAsia" w:ascii="Times New Roman" w:hAnsi="Times New Roman" w:eastAsia="宋体" w:cs="Times New Roman"/>
                <w:color w:val="auto"/>
                <w:spacing w:val="-4"/>
                <w:sz w:val="21"/>
                <w:szCs w:val="21"/>
                <w:highlight w:val="none"/>
                <w:lang w:val="en-US" w:eastAsia="zh-CN"/>
              </w:rPr>
              <w:t>采暖</w:t>
            </w:r>
          </w:p>
          <w:p w14:paraId="341E39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本项目冬季采暖由</w:t>
            </w:r>
            <w:r>
              <w:rPr>
                <w:rFonts w:hint="eastAsia" w:ascii="Times New Roman" w:hAnsi="Times New Roman" w:cs="Times New Roman"/>
                <w:color w:val="auto"/>
                <w:szCs w:val="21"/>
                <w:highlight w:val="none"/>
                <w:u w:val="none"/>
                <w:lang w:val="en-US" w:eastAsia="zh-CN"/>
              </w:rPr>
              <w:t>中煤鄂尔多斯能源化工有限公司</w:t>
            </w:r>
            <w:r>
              <w:rPr>
                <w:rFonts w:hint="eastAsia" w:ascii="Times New Roman" w:hAnsi="Times New Roman" w:eastAsia="宋体" w:cs="Times New Roman"/>
                <w:color w:val="auto"/>
                <w:sz w:val="21"/>
                <w:szCs w:val="21"/>
                <w:highlight w:val="none"/>
                <w:lang w:val="en-US" w:eastAsia="zh-CN"/>
              </w:rPr>
              <w:t>引入的2.5MPa中压蒸汽部分进入基地换热站经换热后，再为办公生活区及车间供暖。</w:t>
            </w:r>
          </w:p>
          <w:p w14:paraId="4199F1DF">
            <w:pPr>
              <w:pStyle w:val="2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（6）天然气</w:t>
            </w:r>
          </w:p>
          <w:p w14:paraId="2C4432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基地后续入驻项目使用的天然气由西侧厂界外市政天然气管道接入</w:t>
            </w:r>
            <w:r>
              <w:rPr>
                <w:rFonts w:hint="eastAsia" w:ascii="Times New Roman" w:hAnsi="Times New Roman" w:cs="Times New Roman"/>
                <w:color w:val="auto"/>
                <w:highlight w:val="none"/>
                <w:lang w:val="en-US" w:eastAsia="zh-CN"/>
              </w:rPr>
              <w:t>基地内</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并采</w:t>
            </w:r>
            <w:r>
              <w:rPr>
                <w:rFonts w:hint="default" w:ascii="Times New Roman" w:hAnsi="Times New Roman" w:cs="Times New Roman"/>
                <w:color w:val="auto"/>
                <w:highlight w:val="none"/>
                <w:lang w:val="en-US" w:eastAsia="zh-CN"/>
              </w:rPr>
              <w:t>用管廊铺设，总长度约800m，采用DN100的管道，设计压力0.6MPa。</w:t>
            </w:r>
          </w:p>
          <w:p w14:paraId="31DA83DD">
            <w:pPr>
              <w:pStyle w:val="22"/>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color w:val="auto"/>
                <w:highlight w:val="none"/>
                <w:lang w:val="en-US" w:eastAsia="zh-CN"/>
              </w:rPr>
            </w:pPr>
            <w:r>
              <w:rPr>
                <w:rFonts w:hint="eastAsia" w:ascii="Times New Roman" w:hAnsi="Times New Roman" w:cs="Times New Roman"/>
                <w:color w:val="auto"/>
                <w:highlight w:val="none"/>
                <w:lang w:val="en-US" w:eastAsia="zh-CN"/>
              </w:rPr>
              <w:t>（7）试验用气</w:t>
            </w:r>
          </w:p>
          <w:p w14:paraId="4C5C1162">
            <w:pPr>
              <w:pStyle w:val="22"/>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color w:val="auto"/>
                <w:highlight w:val="none"/>
                <w:lang w:val="en-US" w:eastAsia="zh-CN"/>
              </w:rPr>
            </w:pPr>
            <w:r>
              <w:rPr>
                <w:rFonts w:hint="eastAsia"/>
                <w:color w:val="auto"/>
                <w:highlight w:val="none"/>
                <w:lang w:val="en-US" w:eastAsia="zh-CN"/>
              </w:rPr>
              <w:t>试验用气包括氢气、富一氧化碳气、二氧化碳、仪表空气、工厂空气、中低压氮气，全部由</w:t>
            </w:r>
            <w:r>
              <w:rPr>
                <w:rFonts w:hint="eastAsia" w:ascii="Times New Roman" w:hAnsi="Times New Roman" w:cs="Times New Roman"/>
                <w:color w:val="auto"/>
                <w:szCs w:val="21"/>
                <w:highlight w:val="none"/>
                <w:u w:val="none"/>
                <w:lang w:val="en-US" w:eastAsia="zh-CN"/>
              </w:rPr>
              <w:t>中煤鄂尔多斯能源化工有限公司</w:t>
            </w:r>
            <w:r>
              <w:rPr>
                <w:rFonts w:hint="eastAsia"/>
                <w:color w:val="auto"/>
                <w:highlight w:val="none"/>
                <w:lang w:val="en-US" w:eastAsia="zh-CN"/>
              </w:rPr>
              <w:t>经外部管廊引入本项目，管道相应情况见表2-2。本次工程仅建设管廊及管道工程，为后续入驻基地的中试项目提供用气输送管道，具体用气量根据中试项目确定，本次工程不涉及各类气体用气量。</w:t>
            </w:r>
          </w:p>
          <w:p w14:paraId="05EFB23D">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2" w:firstLineChars="200"/>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6</w:t>
            </w:r>
            <w:r>
              <w:rPr>
                <w:rFonts w:hint="default" w:ascii="Times New Roman" w:hAnsi="Times New Roman" w:eastAsia="宋体" w:cs="Times New Roman"/>
                <w:b/>
                <w:bCs/>
                <w:color w:val="auto"/>
                <w:spacing w:val="-1"/>
                <w:sz w:val="21"/>
                <w:szCs w:val="21"/>
                <w:highlight w:val="none"/>
              </w:rPr>
              <w:t>、劳动定员及工作制度</w:t>
            </w:r>
          </w:p>
          <w:p w14:paraId="6D30A0A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12" w:firstLineChars="200"/>
              <w:jc w:val="both"/>
              <w:textAlignment w:val="auto"/>
              <w:rPr>
                <w:rFonts w:hint="default" w:ascii="Times New Roman" w:hAnsi="Times New Roman" w:cs="Times New Roman"/>
                <w:b/>
                <w:bCs/>
                <w:color w:val="auto"/>
                <w:kern w:val="0"/>
                <w:szCs w:val="21"/>
                <w:highlight w:val="none"/>
                <w:lang w:val="en-US" w:eastAsia="zh-CN"/>
              </w:rPr>
            </w:pPr>
            <w:r>
              <w:rPr>
                <w:rFonts w:hint="eastAsia" w:ascii="Times New Roman" w:hAnsi="Times New Roman" w:eastAsia="宋体" w:cs="Times New Roman"/>
                <w:color w:val="auto"/>
                <w:spacing w:val="-2"/>
                <w:sz w:val="21"/>
                <w:szCs w:val="21"/>
                <w:highlight w:val="none"/>
                <w:lang w:val="en-US" w:eastAsia="zh-CN"/>
              </w:rPr>
              <w:t>中试基地投用后，工作人员约50人左右，基地管理机构实施8小时工作制，年工作330d，入驻中试项目根据实际情况设置日工作时长。</w:t>
            </w:r>
          </w:p>
        </w:tc>
      </w:tr>
      <w:tr w14:paraId="4A316D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44" w:hRule="atLeast"/>
          <w:jc w:val="center"/>
        </w:trPr>
        <w:tc>
          <w:tcPr>
            <w:tcW w:w="710" w:type="dxa"/>
            <w:noWrap w:val="0"/>
            <w:vAlign w:val="center"/>
          </w:tcPr>
          <w:p w14:paraId="48FF0CD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总平面及现场布置</w:t>
            </w:r>
          </w:p>
        </w:tc>
        <w:tc>
          <w:tcPr>
            <w:tcW w:w="8380" w:type="dxa"/>
            <w:noWrap w:val="0"/>
            <w:vAlign w:val="center"/>
          </w:tcPr>
          <w:p w14:paraId="2D68F710">
            <w:pPr>
              <w:keepNext w:val="0"/>
              <w:keepLines w:val="0"/>
              <w:pageBreakBefore w:val="0"/>
              <w:widowControl w:val="0"/>
              <w:kinsoku/>
              <w:wordWrap/>
              <w:overflowPunct/>
              <w:topLinePunct w:val="0"/>
              <w:autoSpaceDE w:val="0"/>
              <w:autoSpaceDN/>
              <w:bidi w:val="0"/>
              <w:adjustRightInd/>
              <w:snapToGrid/>
              <w:spacing w:line="360" w:lineRule="auto"/>
              <w:ind w:firstLine="422" w:firstLineChars="200"/>
              <w:textAlignment w:val="auto"/>
              <w:rPr>
                <w:rFonts w:hint="default"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（1）中试基地总平面布置</w:t>
            </w:r>
          </w:p>
          <w:p w14:paraId="072AF797">
            <w:pPr>
              <w:keepNext w:val="0"/>
              <w:keepLines w:val="0"/>
              <w:pageBreakBefore w:val="0"/>
              <w:widowControl w:val="0"/>
              <w:kinsoku/>
              <w:wordWrap/>
              <w:overflowPunct/>
              <w:topLinePunct w:val="0"/>
              <w:autoSpaceDE w:val="0"/>
              <w:autoSpaceDN/>
              <w:bidi w:val="0"/>
              <w:adjustRightInd/>
              <w:snapToGrid/>
              <w:spacing w:line="360" w:lineRule="auto"/>
              <w:ind w:firstLine="420" w:firstLineChars="200"/>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中试基地基础设施工程由一期工程和二工程组成。</w:t>
            </w:r>
            <w:r>
              <w:rPr>
                <w:rFonts w:hint="eastAsia" w:ascii="Times New Roman" w:hAnsi="Times New Roman" w:cs="Times New Roman"/>
                <w:b w:val="0"/>
                <w:bCs/>
                <w:color w:val="auto"/>
                <w:sz w:val="21"/>
                <w:szCs w:val="21"/>
                <w:highlight w:val="none"/>
                <w:lang w:val="en-US" w:eastAsia="zh-CN"/>
              </w:rPr>
              <w:t>基地</w:t>
            </w:r>
            <w:r>
              <w:rPr>
                <w:rFonts w:hint="default" w:ascii="Times New Roman" w:hAnsi="Times New Roman" w:cs="Times New Roman"/>
                <w:b w:val="0"/>
                <w:bCs/>
                <w:color w:val="auto"/>
                <w:sz w:val="21"/>
                <w:szCs w:val="21"/>
                <w:highlight w:val="none"/>
                <w:lang w:val="en-US" w:eastAsia="zh-CN"/>
              </w:rPr>
              <w:t>总平面布置功能分区布局清晰合理，分为办公及研发控制区、精细化工试验区、露天实验区、公辅装置区和仓储区等，具体布置如下：</w:t>
            </w:r>
          </w:p>
          <w:p w14:paraId="691D0839">
            <w:pPr>
              <w:pStyle w:val="22"/>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①办公及研发控制区：位于基地西北角，由综合楼、研发中心、食堂和中控楼组成，为基地的厂前区，承担基地办公生活与研发、实验等功能。</w:t>
            </w:r>
            <w:r>
              <w:rPr>
                <w:rFonts w:hint="eastAsia" w:ascii="Times New Roman" w:hAnsi="Times New Roman" w:cs="Times New Roman"/>
                <w:color w:val="auto"/>
                <w:highlight w:val="none"/>
                <w:lang w:val="en-US" w:eastAsia="zh-CN"/>
              </w:rPr>
              <w:t>该区</w:t>
            </w:r>
            <w:r>
              <w:rPr>
                <w:rFonts w:hint="default" w:ascii="Times New Roman" w:hAnsi="Times New Roman" w:cs="Times New Roman"/>
                <w:color w:val="auto"/>
                <w:highlight w:val="none"/>
                <w:lang w:val="en-US" w:eastAsia="zh-CN"/>
              </w:rPr>
              <w:t>域设置独立的进出口，位于西侧。</w:t>
            </w:r>
          </w:p>
          <w:p w14:paraId="7FE168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②精细化工试验区：办公及研发控制区东侧由北向南共11座标准化厂房构成精细化工试验区，其中1#、2#、3#、4#和9#厂房为甲类厂房，5#、6#、7#、8#、10#和11#厂房为丙类厂房。</w:t>
            </w:r>
          </w:p>
          <w:p w14:paraId="0FC079E2">
            <w:pPr>
              <w:pStyle w:val="22"/>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③露天试验区：精细化工试验区东侧为露天试验区，主要由12#-15#4处露天试验区构成（为预留区域，实际建设内容根据入驻中试项目确定），12#露天试验区东侧为火炬</w:t>
            </w:r>
            <w:r>
              <w:rPr>
                <w:rFonts w:hint="eastAsia" w:ascii="Times New Roman" w:hAnsi="Times New Roman" w:cs="Times New Roman"/>
                <w:color w:val="auto"/>
                <w:highlight w:val="none"/>
                <w:lang w:val="en-US" w:eastAsia="zh-CN"/>
              </w:rPr>
              <w:t>处理</w:t>
            </w:r>
            <w:r>
              <w:rPr>
                <w:rFonts w:hint="default" w:ascii="Times New Roman" w:hAnsi="Times New Roman" w:cs="Times New Roman"/>
                <w:color w:val="auto"/>
                <w:highlight w:val="none"/>
                <w:lang w:val="en-US" w:eastAsia="zh-CN"/>
              </w:rPr>
              <w:t>系统；15#露天试验区东侧为基地事故应急水池。</w:t>
            </w:r>
          </w:p>
          <w:p w14:paraId="2B9736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fldChar w:fldCharType="begin"/>
            </w:r>
            <w:r>
              <w:rPr>
                <w:rFonts w:hint="default" w:ascii="Times New Roman" w:hAnsi="Times New Roman" w:cs="Times New Roman"/>
                <w:color w:val="auto"/>
                <w:highlight w:val="none"/>
                <w:lang w:val="en-US" w:eastAsia="zh-CN"/>
              </w:rPr>
              <w:instrText xml:space="preserve"> = 4 \* GB3 \* MERGEFORMAT </w:instrText>
            </w:r>
            <w:r>
              <w:rPr>
                <w:rFonts w:hint="default" w:ascii="Times New Roman" w:hAnsi="Times New Roman" w:cs="Times New Roman"/>
                <w:color w:val="auto"/>
                <w:highlight w:val="none"/>
                <w:lang w:val="en-US" w:eastAsia="zh-CN"/>
              </w:rPr>
              <w:fldChar w:fldCharType="separate"/>
            </w:r>
            <w:r>
              <w:rPr>
                <w:rFonts w:hint="default" w:ascii="Times New Roman" w:hAnsi="Times New Roman" w:cs="Times New Roman"/>
                <w:color w:val="auto"/>
                <w:highlight w:val="none"/>
              </w:rPr>
              <w:t>④</w:t>
            </w:r>
            <w:r>
              <w:rPr>
                <w:rFonts w:hint="default" w:ascii="Times New Roman" w:hAnsi="Times New Roman" w:cs="Times New Roman"/>
                <w:color w:val="auto"/>
                <w:highlight w:val="none"/>
                <w:lang w:val="en-US" w:eastAsia="zh-CN"/>
              </w:rPr>
              <w:fldChar w:fldCharType="end"/>
            </w:r>
            <w:r>
              <w:rPr>
                <w:rFonts w:hint="default" w:ascii="Times New Roman" w:hAnsi="Times New Roman" w:cs="Times New Roman"/>
                <w:color w:val="auto"/>
                <w:highlight w:val="none"/>
                <w:lang w:val="en-US" w:eastAsia="zh-CN"/>
              </w:rPr>
              <w:t>公辅装置区：位于办公及研发控制区南侧，由西向东依次为变电所、空压站、消防泵房及消防水池、循环水站和换热站。</w:t>
            </w:r>
          </w:p>
          <w:p w14:paraId="6E82F891">
            <w:pPr>
              <w:pStyle w:val="22"/>
              <w:keepNext w:val="0"/>
              <w:keepLines w:val="0"/>
              <w:pageBreakBefore w:val="0"/>
              <w:widowControl w:val="0"/>
              <w:kinsoku/>
              <w:wordWrap/>
              <w:overflowPunct/>
              <w:topLinePunct w:val="0"/>
              <w:autoSpaceDE/>
              <w:autoSpaceDN/>
              <w:bidi w:val="0"/>
              <w:adjustRightInd/>
              <w:snapToGrid/>
              <w:spacing w:before="0" w:after="0" w:line="360" w:lineRule="auto"/>
              <w:ind w:leftChars="0"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fldChar w:fldCharType="begin"/>
            </w:r>
            <w:r>
              <w:rPr>
                <w:rFonts w:hint="default" w:ascii="Times New Roman" w:hAnsi="Times New Roman" w:cs="Times New Roman"/>
                <w:color w:val="auto"/>
                <w:highlight w:val="none"/>
                <w:lang w:val="en-US" w:eastAsia="zh-CN"/>
              </w:rPr>
              <w:instrText xml:space="preserve"> = 5 \* GB3 \* MERGEFORMAT </w:instrText>
            </w:r>
            <w:r>
              <w:rPr>
                <w:rFonts w:hint="default" w:ascii="Times New Roman" w:hAnsi="Times New Roman" w:cs="Times New Roman"/>
                <w:color w:val="auto"/>
                <w:highlight w:val="none"/>
                <w:lang w:val="en-US" w:eastAsia="zh-CN"/>
              </w:rPr>
              <w:fldChar w:fldCharType="separate"/>
            </w:r>
            <w:r>
              <w:rPr>
                <w:rFonts w:hint="default" w:ascii="Times New Roman" w:hAnsi="Times New Roman" w:cs="Times New Roman"/>
                <w:color w:val="auto"/>
                <w:highlight w:val="none"/>
              </w:rPr>
              <w:t>⑤</w:t>
            </w:r>
            <w:r>
              <w:rPr>
                <w:rFonts w:hint="default" w:ascii="Times New Roman" w:hAnsi="Times New Roman" w:cs="Times New Roman"/>
                <w:color w:val="auto"/>
                <w:highlight w:val="none"/>
                <w:lang w:val="en-US" w:eastAsia="zh-CN"/>
              </w:rPr>
              <w:fldChar w:fldCharType="end"/>
            </w:r>
            <w:r>
              <w:rPr>
                <w:rFonts w:hint="default" w:ascii="Times New Roman" w:hAnsi="Times New Roman" w:cs="Times New Roman"/>
                <w:color w:val="auto"/>
                <w:highlight w:val="none"/>
                <w:lang w:val="en-US" w:eastAsia="zh-CN"/>
              </w:rPr>
              <w:t>仓储区：公辅装置区南侧为仓储区，由1座甲类仓库、1座乙类仓库、1座丙类仓库和1座危废库构成，同时预留罐区用地1处。</w:t>
            </w:r>
          </w:p>
          <w:p w14:paraId="2A56EE42">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fldChar w:fldCharType="begin"/>
            </w:r>
            <w:r>
              <w:rPr>
                <w:rFonts w:hint="default" w:ascii="Times New Roman" w:hAnsi="Times New Roman" w:cs="Times New Roman"/>
                <w:color w:val="auto"/>
                <w:highlight w:val="none"/>
                <w:lang w:val="en-US" w:eastAsia="zh-CN"/>
              </w:rPr>
              <w:instrText xml:space="preserve"> = 6 \* GB3 \* MERGEFORMAT </w:instrText>
            </w:r>
            <w:r>
              <w:rPr>
                <w:rFonts w:hint="default" w:ascii="Times New Roman" w:hAnsi="Times New Roman" w:cs="Times New Roman"/>
                <w:color w:val="auto"/>
                <w:highlight w:val="none"/>
                <w:lang w:val="en-US" w:eastAsia="zh-CN"/>
              </w:rPr>
              <w:fldChar w:fldCharType="separate"/>
            </w:r>
            <w:r>
              <w:rPr>
                <w:rFonts w:hint="default" w:ascii="Times New Roman" w:hAnsi="Times New Roman" w:cs="Times New Roman"/>
                <w:color w:val="auto"/>
                <w:highlight w:val="none"/>
              </w:rPr>
              <w:t>⑥</w:t>
            </w:r>
            <w:r>
              <w:rPr>
                <w:rFonts w:hint="default" w:ascii="Times New Roman" w:hAnsi="Times New Roman" w:cs="Times New Roman"/>
                <w:color w:val="auto"/>
                <w:highlight w:val="none"/>
                <w:lang w:val="en-US" w:eastAsia="zh-CN"/>
              </w:rPr>
              <w:fldChar w:fldCharType="end"/>
            </w:r>
            <w:r>
              <w:rPr>
                <w:rFonts w:hint="default" w:ascii="Times New Roman" w:hAnsi="Times New Roman" w:cs="Times New Roman"/>
                <w:color w:val="auto"/>
                <w:highlight w:val="none"/>
                <w:lang w:val="en-US" w:eastAsia="zh-CN"/>
              </w:rPr>
              <w:t>二期工程：二期工程位于一期工程北侧，由3座标准化试验厂房组成。</w:t>
            </w:r>
          </w:p>
          <w:p w14:paraId="2EBF206C">
            <w:pPr>
              <w:pStyle w:val="22"/>
              <w:keepNext w:val="0"/>
              <w:keepLines w:val="0"/>
              <w:pageBreakBefore w:val="0"/>
              <w:widowControl w:val="0"/>
              <w:kinsoku/>
              <w:wordWrap/>
              <w:overflowPunct/>
              <w:topLinePunct w:val="0"/>
              <w:autoSpaceDN/>
              <w:bidi w:val="0"/>
              <w:adjustRightInd/>
              <w:snapToGrid/>
              <w:spacing w:before="0" w:after="0" w:line="360"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生产区进出口位于西南侧。</w:t>
            </w:r>
          </w:p>
          <w:p w14:paraId="3B31CBA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b/>
                <w:bCs/>
                <w:color w:val="auto"/>
                <w:highlight w:val="none"/>
                <w:lang w:val="en-US" w:eastAsia="zh-CN"/>
              </w:rPr>
            </w:pPr>
            <w:r>
              <w:rPr>
                <w:rFonts w:hint="eastAsia"/>
                <w:b/>
                <w:bCs/>
                <w:color w:val="auto"/>
                <w:highlight w:val="none"/>
                <w:lang w:val="en-US" w:eastAsia="zh-CN"/>
              </w:rPr>
              <w:t>（2）外部管廊走向布置</w:t>
            </w:r>
          </w:p>
          <w:p w14:paraId="636D3343">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color w:val="auto"/>
                <w:highlight w:val="none"/>
                <w:lang w:val="en-US" w:eastAsia="zh-CN"/>
              </w:rPr>
            </w:pPr>
            <w:r>
              <w:rPr>
                <w:rFonts w:hint="eastAsia"/>
                <w:color w:val="auto"/>
                <w:highlight w:val="none"/>
                <w:lang w:val="en-US" w:eastAsia="zh-CN"/>
              </w:rPr>
              <w:t>外部管廊起点位于中试基地西侧厂界，向西架设管廊，跨越经一路后，终点为</w:t>
            </w:r>
            <w:r>
              <w:rPr>
                <w:rFonts w:hint="eastAsia" w:ascii="Times New Roman" w:hAnsi="Times New Roman" w:cs="Times New Roman"/>
                <w:color w:val="auto"/>
                <w:szCs w:val="21"/>
                <w:highlight w:val="none"/>
                <w:u w:val="none"/>
                <w:lang w:val="en-US" w:eastAsia="zh-CN"/>
              </w:rPr>
              <w:t>中煤鄂尔多斯能源化工有限公司</w:t>
            </w:r>
            <w:r>
              <w:rPr>
                <w:rFonts w:hint="eastAsia"/>
                <w:color w:val="auto"/>
                <w:highlight w:val="none"/>
                <w:lang w:val="en-US" w:eastAsia="zh-CN"/>
              </w:rPr>
              <w:t>东侧厂界，全厂215.5m。</w:t>
            </w:r>
          </w:p>
          <w:p w14:paraId="57324072">
            <w:pPr>
              <w:keepNext w:val="0"/>
              <w:keepLines w:val="0"/>
              <w:pageBreakBefore w:val="0"/>
              <w:widowControl w:val="0"/>
              <w:kinsoku/>
              <w:wordWrap/>
              <w:overflowPunct/>
              <w:topLinePunct w:val="0"/>
              <w:autoSpaceDN/>
              <w:bidi w:val="0"/>
              <w:adjustRightInd/>
              <w:snapToGrid/>
              <w:spacing w:line="360" w:lineRule="auto"/>
              <w:ind w:firstLine="420" w:firstLineChars="200"/>
              <w:textAlignment w:val="auto"/>
              <w:rPr>
                <w:rFonts w:ascii="宋体" w:hAnsi="宋体" w:cs="宋体"/>
                <w:color w:val="auto"/>
                <w:kern w:val="0"/>
                <w:szCs w:val="21"/>
                <w:highlight w:val="none"/>
              </w:rPr>
            </w:pPr>
            <w:r>
              <w:rPr>
                <w:rFonts w:hint="eastAsia"/>
                <w:color w:val="auto"/>
                <w:highlight w:val="none"/>
                <w:lang w:val="en-US" w:eastAsia="zh-CN"/>
              </w:rPr>
              <w:t>本项目总平面布置见附图8。</w:t>
            </w:r>
          </w:p>
        </w:tc>
      </w:tr>
      <w:tr w14:paraId="3F2A7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14:paraId="34B71C18">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施工方案</w:t>
            </w:r>
          </w:p>
        </w:tc>
        <w:tc>
          <w:tcPr>
            <w:tcW w:w="8380" w:type="dxa"/>
            <w:noWrap w:val="0"/>
            <w:vAlign w:val="top"/>
          </w:tcPr>
          <w:p w14:paraId="596EFB58">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both"/>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（1）施工工艺</w:t>
            </w:r>
          </w:p>
          <w:p w14:paraId="079D04F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本项目建设内容主要为标准化厂房、库房、综合楼、研发楼等建筑物和管廊工程。主要建筑物施工流程见图2-1；管廊工程施工流程见图2-2。</w:t>
            </w:r>
          </w:p>
          <w:p w14:paraId="25A6B526">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both"/>
              <w:textAlignment w:val="auto"/>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eastAsia="宋体" w:cs="Times New Roman"/>
                <w:b/>
                <w:bCs/>
                <w:color w:val="auto"/>
                <w:kern w:val="0"/>
                <w:sz w:val="21"/>
                <w:szCs w:val="21"/>
                <w:highlight w:val="none"/>
                <w:lang w:val="en-US" w:eastAsia="zh-CN" w:bidi="ar"/>
              </w:rPr>
              <w:t>（</w:t>
            </w:r>
            <w:r>
              <w:rPr>
                <w:rFonts w:hint="eastAsia" w:ascii="Times New Roman" w:hAnsi="Times New Roman" w:eastAsia="宋体" w:cs="Times New Roman"/>
                <w:b/>
                <w:bCs/>
                <w:color w:val="auto"/>
                <w:kern w:val="0"/>
                <w:sz w:val="21"/>
                <w:szCs w:val="21"/>
                <w:highlight w:val="none"/>
                <w:lang w:val="en-US" w:eastAsia="zh-CN" w:bidi="ar"/>
              </w:rPr>
              <w:t>2</w:t>
            </w:r>
            <w:r>
              <w:rPr>
                <w:rFonts w:hint="default" w:ascii="Times New Roman" w:hAnsi="Times New Roman" w:eastAsia="宋体" w:cs="Times New Roman"/>
                <w:b/>
                <w:bCs/>
                <w:color w:val="auto"/>
                <w:kern w:val="0"/>
                <w:sz w:val="21"/>
                <w:szCs w:val="21"/>
                <w:highlight w:val="none"/>
                <w:lang w:val="en-US" w:eastAsia="zh-CN" w:bidi="ar"/>
              </w:rPr>
              <w:t>）施工</w:t>
            </w:r>
            <w:r>
              <w:rPr>
                <w:rFonts w:hint="eastAsia" w:ascii="Times New Roman" w:hAnsi="Times New Roman" w:eastAsia="宋体" w:cs="Times New Roman"/>
                <w:b/>
                <w:bCs/>
                <w:color w:val="auto"/>
                <w:kern w:val="0"/>
                <w:sz w:val="21"/>
                <w:szCs w:val="21"/>
                <w:highlight w:val="none"/>
                <w:lang w:val="en-US" w:eastAsia="zh-CN" w:bidi="ar"/>
              </w:rPr>
              <w:t>时序</w:t>
            </w:r>
          </w:p>
          <w:p w14:paraId="3198F3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b w:val="0"/>
                <w:bCs w:val="0"/>
                <w:color w:val="auto"/>
                <w:sz w:val="21"/>
                <w:szCs w:val="21"/>
                <w:highlight w:val="none"/>
                <w:lang w:val="en-US"/>
              </w:rPr>
            </w:pPr>
            <w:r>
              <w:rPr>
                <w:rFonts w:hint="eastAsia" w:ascii="宋体" w:hAnsi="宋体" w:eastAsia="宋体" w:cs="宋体"/>
                <w:b w:val="0"/>
                <w:bCs w:val="0"/>
                <w:color w:val="auto"/>
                <w:kern w:val="0"/>
                <w:sz w:val="21"/>
                <w:szCs w:val="21"/>
                <w:highlight w:val="none"/>
                <w:lang w:val="en-US" w:eastAsia="zh-CN" w:bidi="ar"/>
              </w:rPr>
              <w:t>本项目施工</w:t>
            </w:r>
            <w:r>
              <w:rPr>
                <w:rFonts w:ascii="宋体" w:hAnsi="宋体" w:eastAsia="宋体" w:cs="宋体"/>
                <w:b w:val="0"/>
                <w:bCs w:val="0"/>
                <w:color w:val="auto"/>
                <w:kern w:val="0"/>
                <w:sz w:val="21"/>
                <w:szCs w:val="21"/>
                <w:highlight w:val="none"/>
                <w:lang w:val="en-US" w:eastAsia="zh-CN" w:bidi="ar"/>
              </w:rPr>
              <w:t>遵循“</w:t>
            </w:r>
            <w:r>
              <w:rPr>
                <w:rStyle w:val="27"/>
                <w:rFonts w:ascii="宋体" w:hAnsi="宋体" w:eastAsia="宋体" w:cs="宋体"/>
                <w:b w:val="0"/>
                <w:bCs w:val="0"/>
                <w:color w:val="auto"/>
                <w:kern w:val="0"/>
                <w:sz w:val="21"/>
                <w:szCs w:val="21"/>
                <w:highlight w:val="none"/>
                <w:lang w:val="en-US" w:eastAsia="zh-CN" w:bidi="ar"/>
              </w:rPr>
              <w:t>先地下后地上、先结构后围护、先管线后装修</w:t>
            </w:r>
            <w:r>
              <w:rPr>
                <w:rFonts w:ascii="宋体" w:hAnsi="宋体" w:eastAsia="宋体" w:cs="宋体"/>
                <w:b w:val="0"/>
                <w:bCs w:val="0"/>
                <w:color w:val="auto"/>
                <w:kern w:val="0"/>
                <w:sz w:val="21"/>
                <w:szCs w:val="21"/>
                <w:highlight w:val="none"/>
                <w:lang w:val="en-US" w:eastAsia="zh-CN" w:bidi="ar"/>
              </w:rPr>
              <w:t>”原则，统筹厂房、仓库、管廊交叉施工，重点保障结构安全、管线预埋准确性及后期使用灵活性。</w:t>
            </w:r>
            <w:r>
              <w:rPr>
                <w:rFonts w:hint="eastAsia" w:ascii="宋体" w:hAnsi="宋体" w:eastAsia="宋体" w:cs="宋体"/>
                <w:b w:val="0"/>
                <w:bCs w:val="0"/>
                <w:color w:val="auto"/>
                <w:kern w:val="0"/>
                <w:sz w:val="21"/>
                <w:szCs w:val="21"/>
                <w:highlight w:val="none"/>
                <w:lang w:val="en-US" w:eastAsia="zh-CN" w:bidi="ar"/>
              </w:rPr>
              <w:t>具体施工时序如下：</w:t>
            </w:r>
          </w:p>
          <w:p w14:paraId="1EECDA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前期准备→地下工程→主体结构（厂房等）→机电与管线→装饰装修→验收交付</w:t>
            </w:r>
          </w:p>
          <w:p w14:paraId="2945ADE7">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both"/>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（3）建设周期</w:t>
            </w:r>
            <w:r>
              <w:rPr>
                <w:rFonts w:hint="eastAsia" w:ascii="宋体" w:hAnsi="宋体" w:cs="宋体"/>
                <w:b/>
                <w:bCs/>
                <w:color w:val="auto"/>
                <w:kern w:val="0"/>
                <w:szCs w:val="21"/>
                <w:highlight w:val="none"/>
                <w:lang w:val="en-US" w:eastAsia="zh-CN"/>
              </w:rPr>
              <w:t>：</w:t>
            </w:r>
            <w:r>
              <w:rPr>
                <w:rFonts w:hint="default" w:ascii="Times New Roman" w:hAnsi="Times New Roman" w:cs="Times New Roman"/>
                <w:color w:val="auto"/>
                <w:kern w:val="0"/>
                <w:szCs w:val="21"/>
                <w:highlight w:val="none"/>
                <w:lang w:val="en-US" w:eastAsia="zh-CN"/>
              </w:rPr>
              <w:t>本项目施工周期24个月。</w:t>
            </w:r>
          </w:p>
          <w:p w14:paraId="0FA69A8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kern w:val="0"/>
                <w:sz w:val="21"/>
                <w:szCs w:val="21"/>
                <w:highlight w:val="none"/>
                <w:lang w:val="en-US" w:eastAsia="zh-CN" w:bidi="ar"/>
              </w:rPr>
            </w:pPr>
          </w:p>
          <w:p w14:paraId="330163A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color w:val="auto"/>
                <w:sz w:val="21"/>
                <w:highlight w:val="none"/>
              </w:rPr>
              <mc:AlternateContent>
                <mc:Choice Requires="wpg">
                  <w:drawing>
                    <wp:anchor distT="0" distB="0" distL="114300" distR="114300" simplePos="0" relativeHeight="251682816" behindDoc="0" locked="0" layoutInCell="1" allowOverlap="1">
                      <wp:simplePos x="0" y="0"/>
                      <wp:positionH relativeFrom="column">
                        <wp:posOffset>55245</wp:posOffset>
                      </wp:positionH>
                      <wp:positionV relativeFrom="paragraph">
                        <wp:posOffset>15875</wp:posOffset>
                      </wp:positionV>
                      <wp:extent cx="4781550" cy="1781175"/>
                      <wp:effectExtent l="0" t="0" r="0" b="0"/>
                      <wp:wrapNone/>
                      <wp:docPr id="56" name="组合 69"/>
                      <wp:cNvGraphicFramePr/>
                      <a:graphic xmlns:a="http://schemas.openxmlformats.org/drawingml/2006/main">
                        <a:graphicData uri="http://schemas.microsoft.com/office/word/2010/wordprocessingGroup">
                          <wpg:wgp>
                            <wpg:cNvGrpSpPr/>
                            <wpg:grpSpPr>
                              <a:xfrm>
                                <a:off x="0" y="0"/>
                                <a:ext cx="4781550" cy="1781175"/>
                                <a:chOff x="4045" y="481916"/>
                                <a:chExt cx="7530" cy="2805"/>
                              </a:xfrm>
                            </wpg:grpSpPr>
                            <wps:wsp>
                              <wps:cNvPr id="31" name="矩形 19"/>
                              <wps:cNvSpPr/>
                              <wps:spPr>
                                <a:xfrm>
                                  <a:off x="6524" y="482652"/>
                                  <a:ext cx="2287" cy="458"/>
                                </a:xfrm>
                                <a:prstGeom prst="rect">
                                  <a:avLst/>
                                </a:prstGeom>
                                <a:noFill/>
                                <a:ln w="9525" cap="flat" cmpd="sng">
                                  <a:solidFill>
                                    <a:srgbClr val="000000"/>
                                  </a:solidFill>
                                  <a:prstDash val="solid"/>
                                  <a:miter/>
                                  <a:headEnd type="none" w="med" len="med"/>
                                  <a:tailEnd type="none" w="med" len="med"/>
                                </a:ln>
                              </wps:spPr>
                              <wps:txbx>
                                <w:txbxContent>
                                  <w:p w14:paraId="37CCFCBB">
                                    <w:pPr>
                                      <w:jc w:val="center"/>
                                      <w:rPr>
                                        <w:rFonts w:hint="default" w:eastAsia="宋体"/>
                                        <w:lang w:val="en-US" w:eastAsia="zh-CN"/>
                                      </w:rPr>
                                    </w:pPr>
                                    <w:r>
                                      <w:rPr>
                                        <w:rFonts w:hint="eastAsia"/>
                                        <w:lang w:val="en-US" w:eastAsia="zh-CN"/>
                                      </w:rPr>
                                      <w:t>基坑开挖及基础施工</w:t>
                                    </w:r>
                                  </w:p>
                                </w:txbxContent>
                              </wps:txbx>
                              <wps:bodyPr vert="horz" wrap="square" anchor="t" anchorCtr="0" upright="1"/>
                            </wps:wsp>
                            <wps:wsp>
                              <wps:cNvPr id="32" name="矩形 20"/>
                              <wps:cNvSpPr/>
                              <wps:spPr>
                                <a:xfrm>
                                  <a:off x="4639" y="482656"/>
                                  <a:ext cx="1205" cy="399"/>
                                </a:xfrm>
                                <a:prstGeom prst="rect">
                                  <a:avLst/>
                                </a:prstGeom>
                                <a:noFill/>
                                <a:ln w="9525" cap="flat" cmpd="sng">
                                  <a:solidFill>
                                    <a:srgbClr val="000000"/>
                                  </a:solidFill>
                                  <a:prstDash val="solid"/>
                                  <a:miter/>
                                  <a:headEnd type="none" w="med" len="med"/>
                                  <a:tailEnd type="none" w="med" len="med"/>
                                </a:ln>
                              </wps:spPr>
                              <wps:txbx>
                                <w:txbxContent>
                                  <w:p w14:paraId="3F19502A">
                                    <w:pPr>
                                      <w:rPr>
                                        <w:rFonts w:hint="default" w:eastAsia="宋体"/>
                                        <w:lang w:val="en-US" w:eastAsia="zh-CN"/>
                                      </w:rPr>
                                    </w:pPr>
                                    <w:r>
                                      <w:rPr>
                                        <w:rFonts w:hint="eastAsia"/>
                                        <w:lang w:val="en-US" w:eastAsia="zh-CN"/>
                                      </w:rPr>
                                      <w:t>场地平整</w:t>
                                    </w:r>
                                  </w:p>
                                </w:txbxContent>
                              </wps:txbx>
                              <wps:bodyPr vert="horz" wrap="square" anchor="t" anchorCtr="0" upright="1"/>
                            </wps:wsp>
                            <wps:wsp>
                              <wps:cNvPr id="33" name="矩形 21"/>
                              <wps:cNvSpPr/>
                              <wps:spPr>
                                <a:xfrm>
                                  <a:off x="9583" y="482647"/>
                                  <a:ext cx="1670" cy="444"/>
                                </a:xfrm>
                                <a:prstGeom prst="rect">
                                  <a:avLst/>
                                </a:prstGeom>
                                <a:noFill/>
                                <a:ln w="9525" cap="flat" cmpd="sng">
                                  <a:solidFill>
                                    <a:srgbClr val="000000"/>
                                  </a:solidFill>
                                  <a:prstDash val="solid"/>
                                  <a:miter/>
                                  <a:headEnd type="none" w="med" len="med"/>
                                  <a:tailEnd type="none" w="med" len="med"/>
                                </a:ln>
                              </wps:spPr>
                              <wps:txbx>
                                <w:txbxContent>
                                  <w:p w14:paraId="6A38B7CD">
                                    <w:pPr>
                                      <w:rPr>
                                        <w:rFonts w:hint="default" w:eastAsia="宋体"/>
                                        <w:lang w:val="en-US" w:eastAsia="zh-CN"/>
                                      </w:rPr>
                                    </w:pPr>
                                    <w:r>
                                      <w:rPr>
                                        <w:rFonts w:hint="eastAsia"/>
                                        <w:lang w:val="en-US" w:eastAsia="zh-CN"/>
                                      </w:rPr>
                                      <w:t>主体结构施工</w:t>
                                    </w:r>
                                  </w:p>
                                </w:txbxContent>
                              </wps:txbx>
                              <wps:bodyPr vert="horz" wrap="square" anchor="t" anchorCtr="0" upright="1"/>
                            </wps:wsp>
                            <wps:wsp>
                              <wps:cNvPr id="34" name="矩形 22"/>
                              <wps:cNvSpPr/>
                              <wps:spPr>
                                <a:xfrm>
                                  <a:off x="9816" y="483536"/>
                                  <a:ext cx="1314" cy="444"/>
                                </a:xfrm>
                                <a:prstGeom prst="rect">
                                  <a:avLst/>
                                </a:prstGeom>
                                <a:noFill/>
                                <a:ln w="9525" cap="flat" cmpd="sng">
                                  <a:solidFill>
                                    <a:srgbClr val="000000"/>
                                  </a:solidFill>
                                  <a:prstDash val="solid"/>
                                  <a:miter/>
                                  <a:headEnd type="none" w="med" len="med"/>
                                  <a:tailEnd type="none" w="med" len="med"/>
                                </a:ln>
                              </wps:spPr>
                              <wps:txbx>
                                <w:txbxContent>
                                  <w:p w14:paraId="76CD76E0">
                                    <w:pPr>
                                      <w:jc w:val="center"/>
                                      <w:rPr>
                                        <w:rFonts w:hint="default" w:eastAsia="宋体"/>
                                        <w:lang w:val="en-US" w:eastAsia="zh-CN"/>
                                      </w:rPr>
                                    </w:pPr>
                                    <w:r>
                                      <w:rPr>
                                        <w:rFonts w:hint="eastAsia"/>
                                        <w:lang w:val="en-US" w:eastAsia="zh-CN"/>
                                      </w:rPr>
                                      <w:t>装饰装修</w:t>
                                    </w:r>
                                  </w:p>
                                </w:txbxContent>
                              </wps:txbx>
                              <wps:bodyPr vert="horz" wrap="square" anchor="t" anchorCtr="0" upright="1"/>
                            </wps:wsp>
                            <wps:wsp>
                              <wps:cNvPr id="35" name="矩形 23"/>
                              <wps:cNvSpPr/>
                              <wps:spPr>
                                <a:xfrm>
                                  <a:off x="7651" y="483536"/>
                                  <a:ext cx="1314" cy="444"/>
                                </a:xfrm>
                                <a:prstGeom prst="rect">
                                  <a:avLst/>
                                </a:prstGeom>
                                <a:noFill/>
                                <a:ln w="9525" cap="flat" cmpd="sng">
                                  <a:solidFill>
                                    <a:srgbClr val="000000"/>
                                  </a:solidFill>
                                  <a:prstDash val="solid"/>
                                  <a:miter/>
                                  <a:headEnd type="none" w="med" len="med"/>
                                  <a:tailEnd type="none" w="med" len="med"/>
                                </a:ln>
                              </wps:spPr>
                              <wps:txbx>
                                <w:txbxContent>
                                  <w:p w14:paraId="389E3BB8">
                                    <w:pPr>
                                      <w:jc w:val="center"/>
                                      <w:rPr>
                                        <w:rFonts w:hint="default" w:eastAsia="宋体"/>
                                        <w:lang w:val="en-US" w:eastAsia="zh-CN"/>
                                      </w:rPr>
                                    </w:pPr>
                                    <w:r>
                                      <w:rPr>
                                        <w:rFonts w:hint="eastAsia"/>
                                        <w:lang w:val="en-US" w:eastAsia="zh-CN"/>
                                      </w:rPr>
                                      <w:t>设备安装</w:t>
                                    </w:r>
                                  </w:p>
                                </w:txbxContent>
                              </wps:txbx>
                              <wps:bodyPr vert="horz" wrap="square" anchor="t" anchorCtr="0" upright="1"/>
                            </wps:wsp>
                            <wps:wsp>
                              <wps:cNvPr id="36" name="矩形 24"/>
                              <wps:cNvSpPr/>
                              <wps:spPr>
                                <a:xfrm>
                                  <a:off x="5457" y="483570"/>
                                  <a:ext cx="1314" cy="399"/>
                                </a:xfrm>
                                <a:prstGeom prst="rect">
                                  <a:avLst/>
                                </a:prstGeom>
                                <a:noFill/>
                                <a:ln w="9525" cap="flat" cmpd="sng">
                                  <a:solidFill>
                                    <a:srgbClr val="000000"/>
                                  </a:solidFill>
                                  <a:prstDash val="solid"/>
                                  <a:miter/>
                                  <a:headEnd type="none" w="med" len="med"/>
                                  <a:tailEnd type="none" w="med" len="med"/>
                                </a:ln>
                              </wps:spPr>
                              <wps:txbx>
                                <w:txbxContent>
                                  <w:p w14:paraId="0AE208E9">
                                    <w:pPr>
                                      <w:jc w:val="center"/>
                                      <w:rPr>
                                        <w:rFonts w:hint="default" w:eastAsia="宋体"/>
                                        <w:lang w:val="en-US" w:eastAsia="zh-CN"/>
                                      </w:rPr>
                                    </w:pPr>
                                    <w:r>
                                      <w:rPr>
                                        <w:rFonts w:hint="eastAsia"/>
                                        <w:lang w:val="en-US" w:eastAsia="zh-CN"/>
                                      </w:rPr>
                                      <w:t>调试运行</w:t>
                                    </w:r>
                                  </w:p>
                                </w:txbxContent>
                              </wps:txbx>
                              <wps:bodyPr vert="horz" wrap="square" anchor="t" anchorCtr="0" upright="1"/>
                            </wps:wsp>
                            <wps:wsp>
                              <wps:cNvPr id="37" name="直线 25"/>
                              <wps:cNvCnPr/>
                              <wps:spPr>
                                <a:xfrm>
                                  <a:off x="5859" y="482847"/>
                                  <a:ext cx="664" cy="1"/>
                                </a:xfrm>
                                <a:prstGeom prst="line">
                                  <a:avLst/>
                                </a:prstGeom>
                                <a:ln w="9525" cap="flat" cmpd="sng">
                                  <a:solidFill>
                                    <a:srgbClr val="000000"/>
                                  </a:solidFill>
                                  <a:prstDash val="solid"/>
                                  <a:headEnd type="none" w="med" len="med"/>
                                  <a:tailEnd type="triangle" w="med" len="med"/>
                                </a:ln>
                              </wps:spPr>
                              <wps:bodyPr upright="1"/>
                            </wps:wsp>
                            <wps:wsp>
                              <wps:cNvPr id="38" name="直线 26"/>
                              <wps:cNvCnPr/>
                              <wps:spPr>
                                <a:xfrm>
                                  <a:off x="8826" y="482874"/>
                                  <a:ext cx="757" cy="1"/>
                                </a:xfrm>
                                <a:prstGeom prst="line">
                                  <a:avLst/>
                                </a:prstGeom>
                                <a:ln w="9525" cap="flat" cmpd="sng">
                                  <a:solidFill>
                                    <a:srgbClr val="000000"/>
                                  </a:solidFill>
                                  <a:prstDash val="solid"/>
                                  <a:headEnd type="none" w="med" len="med"/>
                                  <a:tailEnd type="triangle" w="med" len="med"/>
                                </a:ln>
                              </wps:spPr>
                              <wps:bodyPr upright="1"/>
                            </wps:wsp>
                            <wps:wsp>
                              <wps:cNvPr id="39" name="直线 27"/>
                              <wps:cNvCnPr/>
                              <wps:spPr>
                                <a:xfrm>
                                  <a:off x="10417" y="483073"/>
                                  <a:ext cx="1" cy="505"/>
                                </a:xfrm>
                                <a:prstGeom prst="line">
                                  <a:avLst/>
                                </a:prstGeom>
                                <a:ln w="9525" cap="flat" cmpd="sng">
                                  <a:solidFill>
                                    <a:srgbClr val="000000"/>
                                  </a:solidFill>
                                  <a:prstDash val="solid"/>
                                  <a:headEnd type="none" w="med" len="med"/>
                                  <a:tailEnd type="triangle" w="med" len="med"/>
                                </a:ln>
                              </wps:spPr>
                              <wps:bodyPr upright="1"/>
                            </wps:wsp>
                            <wps:wsp>
                              <wps:cNvPr id="40" name="直线 28"/>
                              <wps:cNvCnPr/>
                              <wps:spPr>
                                <a:xfrm flipH="1">
                                  <a:off x="8980" y="483765"/>
                                  <a:ext cx="792" cy="1"/>
                                </a:xfrm>
                                <a:prstGeom prst="line">
                                  <a:avLst/>
                                </a:prstGeom>
                                <a:ln w="9525" cap="flat" cmpd="sng">
                                  <a:solidFill>
                                    <a:srgbClr val="000000"/>
                                  </a:solidFill>
                                  <a:prstDash val="solid"/>
                                  <a:headEnd type="none" w="med" len="med"/>
                                  <a:tailEnd type="triangle" w="med" len="med"/>
                                </a:ln>
                              </wps:spPr>
                              <wps:bodyPr upright="1"/>
                            </wps:wsp>
                            <wps:wsp>
                              <wps:cNvPr id="41" name="直线 29"/>
                              <wps:cNvCnPr/>
                              <wps:spPr>
                                <a:xfrm flipH="1">
                                  <a:off x="6771" y="483800"/>
                                  <a:ext cx="881" cy="1"/>
                                </a:xfrm>
                                <a:prstGeom prst="line">
                                  <a:avLst/>
                                </a:prstGeom>
                                <a:ln w="9525" cap="flat" cmpd="sng">
                                  <a:solidFill>
                                    <a:srgbClr val="000000"/>
                                  </a:solidFill>
                                  <a:prstDash val="solid"/>
                                  <a:headEnd type="none" w="med" len="med"/>
                                  <a:tailEnd type="triangle" w="med" len="med"/>
                                </a:ln>
                              </wps:spPr>
                              <wps:bodyPr upright="1"/>
                            </wps:wsp>
                            <wps:wsp>
                              <wps:cNvPr id="42" name="直线 30"/>
                              <wps:cNvCnPr/>
                              <wps:spPr>
                                <a:xfrm flipV="1">
                                  <a:off x="5241" y="482302"/>
                                  <a:ext cx="1" cy="332"/>
                                </a:xfrm>
                                <a:prstGeom prst="line">
                                  <a:avLst/>
                                </a:prstGeom>
                                <a:ln w="9525" cap="flat" cmpd="sng">
                                  <a:solidFill>
                                    <a:srgbClr val="000000"/>
                                  </a:solidFill>
                                  <a:prstDash val="dash"/>
                                  <a:headEnd type="none" w="med" len="med"/>
                                  <a:tailEnd type="triangle" w="med" len="med"/>
                                </a:ln>
                              </wps:spPr>
                              <wps:bodyPr upright="1"/>
                            </wps:wsp>
                            <wps:wsp>
                              <wps:cNvPr id="43" name="直线 31"/>
                              <wps:cNvCnPr/>
                              <wps:spPr>
                                <a:xfrm flipV="1">
                                  <a:off x="7543" y="482324"/>
                                  <a:ext cx="1" cy="332"/>
                                </a:xfrm>
                                <a:prstGeom prst="line">
                                  <a:avLst/>
                                </a:prstGeom>
                                <a:ln w="9525" cap="flat" cmpd="sng">
                                  <a:solidFill>
                                    <a:srgbClr val="000000"/>
                                  </a:solidFill>
                                  <a:prstDash val="dash"/>
                                  <a:headEnd type="none" w="med" len="med"/>
                                  <a:tailEnd type="triangle" w="med" len="med"/>
                                </a:ln>
                              </wps:spPr>
                              <wps:bodyPr upright="1"/>
                            </wps:wsp>
                            <wps:wsp>
                              <wps:cNvPr id="44" name="直线 32"/>
                              <wps:cNvCnPr/>
                              <wps:spPr>
                                <a:xfrm flipV="1">
                                  <a:off x="6091" y="483968"/>
                                  <a:ext cx="1" cy="332"/>
                                </a:xfrm>
                                <a:prstGeom prst="line">
                                  <a:avLst/>
                                </a:prstGeom>
                                <a:ln w="9525" cap="flat" cmpd="sng">
                                  <a:solidFill>
                                    <a:srgbClr val="000000"/>
                                  </a:solidFill>
                                  <a:prstDash val="dash"/>
                                  <a:headEnd type="triangle" w="med" len="med"/>
                                  <a:tailEnd type="none" w="med" len="med"/>
                                </a:ln>
                              </wps:spPr>
                              <wps:bodyPr upright="1"/>
                            </wps:wsp>
                            <wps:wsp>
                              <wps:cNvPr id="45" name="直线 33"/>
                              <wps:cNvCnPr/>
                              <wps:spPr>
                                <a:xfrm flipV="1">
                                  <a:off x="10464" y="483986"/>
                                  <a:ext cx="1" cy="332"/>
                                </a:xfrm>
                                <a:prstGeom prst="line">
                                  <a:avLst/>
                                </a:prstGeom>
                                <a:ln w="9525" cap="flat" cmpd="sng">
                                  <a:solidFill>
                                    <a:srgbClr val="000000"/>
                                  </a:solidFill>
                                  <a:prstDash val="dash"/>
                                  <a:headEnd type="triangle" w="med" len="med"/>
                                  <a:tailEnd type="none" w="med" len="med"/>
                                </a:ln>
                              </wps:spPr>
                              <wps:bodyPr upright="1"/>
                            </wps:wsp>
                            <wps:wsp>
                              <wps:cNvPr id="46" name="直线 34"/>
                              <wps:cNvCnPr/>
                              <wps:spPr>
                                <a:xfrm flipV="1">
                                  <a:off x="10402" y="482319"/>
                                  <a:ext cx="1" cy="332"/>
                                </a:xfrm>
                                <a:prstGeom prst="line">
                                  <a:avLst/>
                                </a:prstGeom>
                                <a:ln w="9525" cap="flat" cmpd="sng">
                                  <a:solidFill>
                                    <a:srgbClr val="000000"/>
                                  </a:solidFill>
                                  <a:prstDash val="dash"/>
                                  <a:headEnd type="none" w="med" len="med"/>
                                  <a:tailEnd type="triangle" w="med" len="med"/>
                                </a:ln>
                              </wps:spPr>
                              <wps:bodyPr upright="1"/>
                            </wps:wsp>
                            <wps:wsp>
                              <wps:cNvPr id="47" name="直线 35"/>
                              <wps:cNvCnPr/>
                              <wps:spPr>
                                <a:xfrm flipV="1">
                                  <a:off x="8285" y="483982"/>
                                  <a:ext cx="1" cy="332"/>
                                </a:xfrm>
                                <a:prstGeom prst="line">
                                  <a:avLst/>
                                </a:prstGeom>
                                <a:ln w="9525" cap="flat" cmpd="sng">
                                  <a:solidFill>
                                    <a:srgbClr val="000000"/>
                                  </a:solidFill>
                                  <a:prstDash val="dash"/>
                                  <a:headEnd type="triangle" w="med" len="med"/>
                                  <a:tailEnd type="none" w="med" len="med"/>
                                </a:ln>
                              </wps:spPr>
                              <wps:bodyPr upright="1"/>
                            </wps:wsp>
                            <wps:wsp>
                              <wps:cNvPr id="48" name="矩形 36"/>
                              <wps:cNvSpPr/>
                              <wps:spPr>
                                <a:xfrm>
                                  <a:off x="4045" y="481916"/>
                                  <a:ext cx="2556" cy="399"/>
                                </a:xfrm>
                                <a:prstGeom prst="rect">
                                  <a:avLst/>
                                </a:prstGeom>
                                <a:noFill/>
                                <a:ln>
                                  <a:noFill/>
                                </a:ln>
                              </wps:spPr>
                              <wps:txbx>
                                <w:txbxContent>
                                  <w:p w14:paraId="6D61DD78">
                                    <w:pPr>
                                      <w:rPr>
                                        <w:rFonts w:hint="default" w:eastAsia="宋体"/>
                                        <w:sz w:val="18"/>
                                        <w:szCs w:val="18"/>
                                        <w:lang w:val="en-US" w:eastAsia="zh-CN"/>
                                      </w:rPr>
                                    </w:pPr>
                                    <w:r>
                                      <w:rPr>
                                        <w:rFonts w:hint="eastAsia"/>
                                        <w:sz w:val="18"/>
                                        <w:szCs w:val="18"/>
                                        <w:lang w:val="en-US" w:eastAsia="zh-CN"/>
                                      </w:rPr>
                                      <w:t>扬尘、渣土、噪声、植被破坏</w:t>
                                    </w:r>
                                  </w:p>
                                </w:txbxContent>
                              </wps:txbx>
                              <wps:bodyPr vert="horz" wrap="square" anchor="t" anchorCtr="0" upright="1"/>
                            </wps:wsp>
                            <wps:wsp>
                              <wps:cNvPr id="49" name="矩形 37"/>
                              <wps:cNvSpPr/>
                              <wps:spPr>
                                <a:xfrm>
                                  <a:off x="6663" y="481929"/>
                                  <a:ext cx="1792" cy="399"/>
                                </a:xfrm>
                                <a:prstGeom prst="rect">
                                  <a:avLst/>
                                </a:prstGeom>
                                <a:noFill/>
                                <a:ln>
                                  <a:noFill/>
                                </a:ln>
                              </wps:spPr>
                              <wps:txbx>
                                <w:txbxContent>
                                  <w:p w14:paraId="74047415">
                                    <w:pPr>
                                      <w:rPr>
                                        <w:rFonts w:hint="default" w:eastAsia="宋体"/>
                                        <w:sz w:val="18"/>
                                        <w:szCs w:val="18"/>
                                        <w:lang w:val="en-US" w:eastAsia="zh-CN"/>
                                      </w:rPr>
                                    </w:pPr>
                                    <w:r>
                                      <w:rPr>
                                        <w:rFonts w:hint="eastAsia"/>
                                        <w:sz w:val="18"/>
                                        <w:szCs w:val="18"/>
                                        <w:lang w:val="en-US" w:eastAsia="zh-CN"/>
                                      </w:rPr>
                                      <w:t>扬尘、渣土、噪声</w:t>
                                    </w:r>
                                  </w:p>
                                </w:txbxContent>
                              </wps:txbx>
                              <wps:bodyPr vert="horz" wrap="square" anchor="t" anchorCtr="0" upright="1"/>
                            </wps:wsp>
                            <wps:wsp>
                              <wps:cNvPr id="50" name="矩形 38"/>
                              <wps:cNvSpPr/>
                              <wps:spPr>
                                <a:xfrm>
                                  <a:off x="9428" y="481943"/>
                                  <a:ext cx="2070" cy="399"/>
                                </a:xfrm>
                                <a:prstGeom prst="rect">
                                  <a:avLst/>
                                </a:prstGeom>
                                <a:noFill/>
                                <a:ln>
                                  <a:noFill/>
                                </a:ln>
                              </wps:spPr>
                              <wps:txbx>
                                <w:txbxContent>
                                  <w:p w14:paraId="38D91AB5">
                                    <w:pPr>
                                      <w:rPr>
                                        <w:rFonts w:hint="default" w:eastAsia="宋体"/>
                                        <w:sz w:val="18"/>
                                        <w:szCs w:val="18"/>
                                        <w:lang w:val="en-US" w:eastAsia="zh-CN"/>
                                      </w:rPr>
                                    </w:pPr>
                                    <w:r>
                                      <w:rPr>
                                        <w:rFonts w:hint="eastAsia"/>
                                        <w:sz w:val="18"/>
                                        <w:szCs w:val="18"/>
                                        <w:lang w:val="en-US" w:eastAsia="zh-CN"/>
                                      </w:rPr>
                                      <w:t>建筑垃圾、噪声、废水</w:t>
                                    </w:r>
                                  </w:p>
                                </w:txbxContent>
                              </wps:txbx>
                              <wps:bodyPr vert="horz" wrap="square" anchor="t" anchorCtr="0" upright="1"/>
                            </wps:wsp>
                            <wps:wsp>
                              <wps:cNvPr id="51" name="矩形 39"/>
                              <wps:cNvSpPr/>
                              <wps:spPr>
                                <a:xfrm>
                                  <a:off x="9861" y="484323"/>
                                  <a:ext cx="1714" cy="399"/>
                                </a:xfrm>
                                <a:prstGeom prst="rect">
                                  <a:avLst/>
                                </a:prstGeom>
                                <a:noFill/>
                                <a:ln>
                                  <a:noFill/>
                                </a:ln>
                              </wps:spPr>
                              <wps:txbx>
                                <w:txbxContent>
                                  <w:p w14:paraId="6E974A86">
                                    <w:pPr>
                                      <w:rPr>
                                        <w:rFonts w:hint="default" w:eastAsia="宋体"/>
                                        <w:sz w:val="18"/>
                                        <w:szCs w:val="18"/>
                                        <w:lang w:val="en-US" w:eastAsia="zh-CN"/>
                                      </w:rPr>
                                    </w:pPr>
                                    <w:r>
                                      <w:rPr>
                                        <w:rFonts w:hint="eastAsia"/>
                                        <w:sz w:val="18"/>
                                        <w:szCs w:val="18"/>
                                        <w:lang w:val="en-US" w:eastAsia="zh-CN"/>
                                      </w:rPr>
                                      <w:t>建筑垃圾、噪声</w:t>
                                    </w:r>
                                  </w:p>
                                </w:txbxContent>
                              </wps:txbx>
                              <wps:bodyPr vert="horz" wrap="square" anchor="t" anchorCtr="0" upright="1"/>
                            </wps:wsp>
                            <wps:wsp>
                              <wps:cNvPr id="52" name="矩形 40"/>
                              <wps:cNvSpPr/>
                              <wps:spPr>
                                <a:xfrm>
                                  <a:off x="7651" y="484323"/>
                                  <a:ext cx="1375" cy="399"/>
                                </a:xfrm>
                                <a:prstGeom prst="rect">
                                  <a:avLst/>
                                </a:prstGeom>
                                <a:noFill/>
                                <a:ln>
                                  <a:noFill/>
                                </a:ln>
                              </wps:spPr>
                              <wps:txbx>
                                <w:txbxContent>
                                  <w:p w14:paraId="69B01619">
                                    <w:pPr>
                                      <w:rPr>
                                        <w:rFonts w:hint="default" w:eastAsia="宋体"/>
                                        <w:sz w:val="18"/>
                                        <w:szCs w:val="18"/>
                                        <w:lang w:val="en-US" w:eastAsia="zh-CN"/>
                                      </w:rPr>
                                    </w:pPr>
                                    <w:r>
                                      <w:rPr>
                                        <w:rFonts w:hint="eastAsia"/>
                                        <w:sz w:val="18"/>
                                        <w:szCs w:val="18"/>
                                        <w:lang w:val="en-US" w:eastAsia="zh-CN"/>
                                      </w:rPr>
                                      <w:t>废弃包装物</w:t>
                                    </w:r>
                                  </w:p>
                                </w:txbxContent>
                              </wps:txbx>
                              <wps:bodyPr vert="horz" wrap="square" anchor="t" anchorCtr="0" upright="1"/>
                            </wps:wsp>
                            <wps:wsp>
                              <wps:cNvPr id="53" name="矩形 41"/>
                              <wps:cNvSpPr/>
                              <wps:spPr>
                                <a:xfrm>
                                  <a:off x="5488" y="484310"/>
                                  <a:ext cx="1205" cy="399"/>
                                </a:xfrm>
                                <a:prstGeom prst="rect">
                                  <a:avLst/>
                                </a:prstGeom>
                                <a:noFill/>
                                <a:ln>
                                  <a:noFill/>
                                </a:ln>
                              </wps:spPr>
                              <wps:txbx>
                                <w:txbxContent>
                                  <w:p w14:paraId="1C440D74">
                                    <w:pPr>
                                      <w:jc w:val="center"/>
                                      <w:rPr>
                                        <w:rFonts w:hint="default" w:eastAsia="宋体"/>
                                        <w:sz w:val="18"/>
                                        <w:szCs w:val="18"/>
                                        <w:lang w:val="en-US" w:eastAsia="zh-CN"/>
                                      </w:rPr>
                                    </w:pPr>
                                    <w:r>
                                      <w:rPr>
                                        <w:rFonts w:hint="eastAsia"/>
                                        <w:sz w:val="18"/>
                                        <w:szCs w:val="18"/>
                                        <w:lang w:val="en-US" w:eastAsia="zh-CN"/>
                                      </w:rPr>
                                      <w:t>噪声</w:t>
                                    </w:r>
                                  </w:p>
                                </w:txbxContent>
                              </wps:txbx>
                              <wps:bodyPr vert="horz" wrap="square" anchor="t" anchorCtr="0" upright="1"/>
                            </wps:wsp>
                            <wps:wsp>
                              <wps:cNvPr id="54" name="直线 67"/>
                              <wps:cNvCnPr/>
                              <wps:spPr>
                                <a:xfrm flipV="1">
                                  <a:off x="8270" y="483187"/>
                                  <a:ext cx="1" cy="332"/>
                                </a:xfrm>
                                <a:prstGeom prst="line">
                                  <a:avLst/>
                                </a:prstGeom>
                                <a:ln w="9525" cap="flat" cmpd="sng">
                                  <a:solidFill>
                                    <a:srgbClr val="000000"/>
                                  </a:solidFill>
                                  <a:prstDash val="dash"/>
                                  <a:headEnd type="none" w="med" len="med"/>
                                  <a:tailEnd type="triangle" w="med" len="med"/>
                                </a:ln>
                              </wps:spPr>
                              <wps:bodyPr upright="1"/>
                            </wps:wsp>
                            <wps:wsp>
                              <wps:cNvPr id="55" name="矩形 68"/>
                              <wps:cNvSpPr/>
                              <wps:spPr>
                                <a:xfrm>
                                  <a:off x="7963" y="483065"/>
                                  <a:ext cx="1205" cy="399"/>
                                </a:xfrm>
                                <a:prstGeom prst="rect">
                                  <a:avLst/>
                                </a:prstGeom>
                                <a:noFill/>
                                <a:ln>
                                  <a:noFill/>
                                </a:ln>
                              </wps:spPr>
                              <wps:txbx>
                                <w:txbxContent>
                                  <w:p w14:paraId="06992FB4">
                                    <w:pPr>
                                      <w:jc w:val="center"/>
                                      <w:rPr>
                                        <w:rFonts w:hint="default" w:eastAsia="宋体"/>
                                        <w:sz w:val="18"/>
                                        <w:szCs w:val="18"/>
                                        <w:lang w:val="en-US" w:eastAsia="zh-CN"/>
                                      </w:rPr>
                                    </w:pPr>
                                    <w:r>
                                      <w:rPr>
                                        <w:rFonts w:hint="eastAsia"/>
                                        <w:sz w:val="18"/>
                                        <w:szCs w:val="18"/>
                                        <w:lang w:val="en-US" w:eastAsia="zh-CN"/>
                                      </w:rPr>
                                      <w:t>噪声</w:t>
                                    </w:r>
                                  </w:p>
                                </w:txbxContent>
                              </wps:txbx>
                              <wps:bodyPr vert="horz" wrap="square" anchor="t" anchorCtr="0" upright="1"/>
                            </wps:wsp>
                          </wpg:wgp>
                        </a:graphicData>
                      </a:graphic>
                    </wp:anchor>
                  </w:drawing>
                </mc:Choice>
                <mc:Fallback>
                  <w:pict>
                    <v:group id="组合 69" o:spid="_x0000_s1026" o:spt="203" style="position:absolute;left:0pt;margin-left:4.35pt;margin-top:1.25pt;height:140.25pt;width:376.5pt;z-index:251682816;mso-width-relative:page;mso-height-relative:page;" coordorigin="4045,481916" coordsize="7530,2805" o:gfxdata="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">
                      <o:lock v:ext="edit" aspectratio="f"/>
                      <v:rect id="矩形 19" o:spid="_x0000_s1026" o:spt="1" style="position:absolute;left:6524;top:482652;height:458;width:2287;" filled="f" stroked="t" coordsize="21600,21600" o:gfxdata="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F9Ok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37CCFCBB">
                              <w:pPr>
                                <w:jc w:val="center"/>
                                <w:rPr>
                                  <w:rFonts w:hint="default" w:eastAsia="宋体"/>
                                  <w:lang w:val="en-US" w:eastAsia="zh-CN"/>
                                </w:rPr>
                              </w:pPr>
                              <w:r>
                                <w:rPr>
                                  <w:rFonts w:hint="eastAsia"/>
                                  <w:lang w:val="en-US" w:eastAsia="zh-CN"/>
                                </w:rPr>
                                <w:t>基坑开挖及基础施工</w:t>
                              </w:r>
                            </w:p>
                          </w:txbxContent>
                        </v:textbox>
                      </v:rect>
                      <v:rect id="矩形 20" o:spid="_x0000_s1026" o:spt="1" style="position:absolute;left:4639;top:482656;height:399;width:1205;" filled="f" stroked="t" coordsize="21600,21600" o:gfxdata="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xU3T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3F19502A">
                              <w:pPr>
                                <w:rPr>
                                  <w:rFonts w:hint="default" w:eastAsia="宋体"/>
                                  <w:lang w:val="en-US" w:eastAsia="zh-CN"/>
                                </w:rPr>
                              </w:pPr>
                              <w:r>
                                <w:rPr>
                                  <w:rFonts w:hint="eastAsia"/>
                                  <w:lang w:val="en-US" w:eastAsia="zh-CN"/>
                                </w:rPr>
                                <w:t>场地平整</w:t>
                              </w:r>
                            </w:p>
                          </w:txbxContent>
                        </v:textbox>
                      </v:rect>
                      <v:rect id="矩形 21" o:spid="_x0000_s1026" o:spt="1" style="position:absolute;left:9583;top:482647;height:444;width:1670;" filled="f" stroked="t" coordsize="21600,21600" o:gfxdata="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noSLsAAADb&#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w:txbxContent>
                            <w:p w14:paraId="6A38B7CD">
                              <w:pPr>
                                <w:rPr>
                                  <w:rFonts w:hint="default" w:eastAsia="宋体"/>
                                  <w:lang w:val="en-US" w:eastAsia="zh-CN"/>
                                </w:rPr>
                              </w:pPr>
                              <w:r>
                                <w:rPr>
                                  <w:rFonts w:hint="eastAsia"/>
                                  <w:lang w:val="en-US" w:eastAsia="zh-CN"/>
                                </w:rPr>
                                <w:t>主体结构施工</w:t>
                              </w:r>
                            </w:p>
                          </w:txbxContent>
                        </v:textbox>
                      </v:rect>
                      <v:rect id="矩形 22" o:spid="_x0000_s1026" o:spt="1" style="position:absolute;left:9816;top:483536;height:444;width:1314;" filled="f" stroked="t" coordsize="21600,21600" o:gfxdata="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YHA8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76CD76E0">
                              <w:pPr>
                                <w:jc w:val="center"/>
                                <w:rPr>
                                  <w:rFonts w:hint="default" w:eastAsia="宋体"/>
                                  <w:lang w:val="en-US" w:eastAsia="zh-CN"/>
                                </w:rPr>
                              </w:pPr>
                              <w:r>
                                <w:rPr>
                                  <w:rFonts w:hint="eastAsia"/>
                                  <w:lang w:val="en-US" w:eastAsia="zh-CN"/>
                                </w:rPr>
                                <w:t>装饰装修</w:t>
                              </w:r>
                            </w:p>
                          </w:txbxContent>
                        </v:textbox>
                      </v:rect>
                      <v:rect id="矩形 23" o:spid="_x0000_s1026" o:spt="1" style="position:absolute;left:7651;top:483536;height:444;width:1314;" filled="f" stroked="t" coordsize="21600,21600" o:gfxdata="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LNWn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389E3BB8">
                              <w:pPr>
                                <w:jc w:val="center"/>
                                <w:rPr>
                                  <w:rFonts w:hint="default" w:eastAsia="宋体"/>
                                  <w:lang w:val="en-US" w:eastAsia="zh-CN"/>
                                </w:rPr>
                              </w:pPr>
                              <w:r>
                                <w:rPr>
                                  <w:rFonts w:hint="eastAsia"/>
                                  <w:lang w:val="en-US" w:eastAsia="zh-CN"/>
                                </w:rPr>
                                <w:t>设备安装</w:t>
                              </w:r>
                            </w:p>
                          </w:txbxContent>
                        </v:textbox>
                      </v:rect>
                      <v:rect id="矩形 24" o:spid="_x0000_s1026" o:spt="1" style="position:absolute;left:5457;top:483570;height:399;width:1314;" filled="f" stroked="t" coordsize="21600,21600" o:gfxdata="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kvQvQAA&#10;ANs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0AE208E9">
                              <w:pPr>
                                <w:jc w:val="center"/>
                                <w:rPr>
                                  <w:rFonts w:hint="default" w:eastAsia="宋体"/>
                                  <w:lang w:val="en-US" w:eastAsia="zh-CN"/>
                                </w:rPr>
                              </w:pPr>
                              <w:r>
                                <w:rPr>
                                  <w:rFonts w:hint="eastAsia"/>
                                  <w:lang w:val="en-US" w:eastAsia="zh-CN"/>
                                </w:rPr>
                                <w:t>调试运行</w:t>
                              </w:r>
                            </w:p>
                          </w:txbxContent>
                        </v:textbox>
                      </v:rect>
                      <v:line id="直线 25" o:spid="_x0000_s1026" o:spt="20" style="position:absolute;left:5859;top:482847;height:1;width:664;" filled="f" stroked="t" coordsize="21600,21600" o:gfxdata="UEsDBAoAAAAAAIdO4kAAAAAAAAAAAAAAAAAEAAAAZHJzL1BLAwQUAAAACACHTuJArfU4v78AAADb&#10;AAAADwAAAGRycy9kb3ducmV2LnhtbEWPT2vCQBTE7wW/w/KE3uomF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1OL+/&#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6" o:spid="_x0000_s1026" o:spt="20" style="position:absolute;left:8826;top:482874;height:1;width:757;"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线 27" o:spid="_x0000_s1026" o:spt="20" style="position:absolute;left:10417;top:483073;height:505;width:1;" filled="f" stroked="t" coordsize="21600,21600" o:gfxdata="UEsDBAoAAAAAAIdO4kAAAAAAAAAAAAAAAAAEAAAAZHJzL1BLAwQUAAAACACHTuJAsyYJVr8AAADb&#10;AAAADwAAAGRycy9kb3ducmV2LnhtbEWPT2vCQBTE7wW/w/KE3uomFkqM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mCVa/&#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8" o:spid="_x0000_s1026" o:spt="20" style="position:absolute;left:8980;top:483765;flip:x;height:1;width:792;" filled="f" stroked="t" coordsize="21600,21600" o:gfxdata="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MH1a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line id="直线 29" o:spid="_x0000_s1026" o:spt="20" style="position:absolute;left:6771;top:483800;flip:x;height:1;width:881;" filled="f" stroked="t" coordsize="21600,21600" o:gfxdata="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1Q8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30" o:spid="_x0000_s1026" o:spt="20" style="position:absolute;left:5241;top:482302;flip:y;height:332;width:1;" filled="f" stroked="t" coordsize="21600,21600" o:gfxdata="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Zp0du2AAAA2wAAAA8A&#10;AAAAAAAAAQAgAAAAIgAAAGRycy9kb3ducmV2LnhtbFBLAQIUABQAAAAIAIdO4kAzLwWeOwAAADkA&#10;AAAQAAAAAAAAAAEAIAAAAAUBAABkcnMvc2hhcGV4bWwueG1sUEsFBgAAAAAGAAYAWwEAAK8DAAAA&#10;AA==&#10;">
                        <v:fill on="f" focussize="0,0"/>
                        <v:stroke color="#000000" joinstyle="round" dashstyle="dash" endarrow="block"/>
                        <v:imagedata o:title=""/>
                        <o:lock v:ext="edit" aspectratio="f"/>
                      </v:line>
                      <v:line id="直线 31" o:spid="_x0000_s1026" o:spt="20" style="position:absolute;left:7543;top:482324;flip:y;height:332;width:1;" filled="f" stroked="t" coordsize="21600,21600" o:gfxdata="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JXRA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line>
                      <v:line id="直线 32" o:spid="_x0000_s1026" o:spt="20" style="position:absolute;left:6091;top:483968;flip:y;height:332;width:1;" filled="f" stroked="t" coordsize="21600,21600" o:gfxdata="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Xq8z74A&#10;AADbAAAADwAAAAAAAAABACAAAAAiAAAAZHJzL2Rvd25yZXYueG1sUEsBAhQAFAAAAAgAh07iQDMv&#10;BZ47AAAAOQAAABAAAAAAAAAAAQAgAAAADQEAAGRycy9zaGFwZXhtbC54bWxQSwUGAAAAAAYABgBb&#10;AQAAtwMAAAAA&#10;">
                        <v:fill on="f" focussize="0,0"/>
                        <v:stroke color="#000000" joinstyle="round" dashstyle="dash" startarrow="block"/>
                        <v:imagedata o:title=""/>
                        <o:lock v:ext="edit" aspectratio="f"/>
                      </v:line>
                      <v:line id="直线 33" o:spid="_x0000_s1026" o:spt="20" style="position:absolute;left:10464;top:483986;flip:y;height:332;width:1;" filled="f" stroked="t" coordsize="21600,21600" o:gfxdata="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YZVL4A&#10;AADbAAAADwAAAAAAAAABACAAAAAiAAAAZHJzL2Rvd25yZXYueG1sUEsBAhQAFAAAAAgAh07iQDMv&#10;BZ47AAAAOQAAABAAAAAAAAAAAQAgAAAADQEAAGRycy9zaGFwZXhtbC54bWxQSwUGAAAAAAYABgBb&#10;AQAAtwMAAAAA&#10;">
                        <v:fill on="f" focussize="0,0"/>
                        <v:stroke color="#000000" joinstyle="round" dashstyle="dash" startarrow="block"/>
                        <v:imagedata o:title=""/>
                        <o:lock v:ext="edit" aspectratio="f"/>
                      </v:line>
                      <v:line id="直线 34" o:spid="_x0000_s1026" o:spt="20" style="position:absolute;left:10402;top:482319;flip:y;height:332;width:1;" filled="f" stroked="t" coordsize="21600,21600" o:gfxdata="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lS19i2AAAA2wAAAA8A&#10;AAAAAAAAAQAgAAAAIgAAAGRycy9kb3ducmV2LnhtbFBLAQIUABQAAAAIAIdO4kAzLwWeOwAAADkA&#10;AAAQAAAAAAAAAAEAIAAAAAUBAABkcnMvc2hhcGV4bWwueG1sUEsFBgAAAAAGAAYAWwEAAK8DAAAA&#10;AA==&#10;">
                        <v:fill on="f" focussize="0,0"/>
                        <v:stroke color="#000000" joinstyle="round" dashstyle="dash" endarrow="block"/>
                        <v:imagedata o:title=""/>
                        <o:lock v:ext="edit" aspectratio="f"/>
                      </v:line>
                      <v:line id="直线 35" o:spid="_x0000_s1026" o:spt="20" style="position:absolute;left:8285;top:483982;flip:y;height:332;width:1;" filled="f" stroked="t" coordsize="21600,21600" o:gfxdata="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qCK4vQAA&#10;ANsAAAAPAAAAAAAAAAEAIAAAACIAAABkcnMvZG93bnJldi54bWxQSwECFAAUAAAACACHTuJAMy8F&#10;njsAAAA5AAAAEAAAAAAAAAABACAAAAAMAQAAZHJzL3NoYXBleG1sLnhtbFBLBQYAAAAABgAGAFsB&#10;AAC2AwAAAAA=&#10;">
                        <v:fill on="f" focussize="0,0"/>
                        <v:stroke color="#000000" joinstyle="round" dashstyle="dash" startarrow="block"/>
                        <v:imagedata o:title=""/>
                        <o:lock v:ext="edit" aspectratio="f"/>
                      </v:line>
                      <v:rect id="矩形 36" o:spid="_x0000_s1026" o:spt="1" style="position:absolute;left:4045;top:481916;height:399;width:2556;" filled="f" stroked="f" coordsize="21600,21600" o:gfxdata="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HC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D61DD78">
                              <w:pPr>
                                <w:rPr>
                                  <w:rFonts w:hint="default" w:eastAsia="宋体"/>
                                  <w:sz w:val="18"/>
                                  <w:szCs w:val="18"/>
                                  <w:lang w:val="en-US" w:eastAsia="zh-CN"/>
                                </w:rPr>
                              </w:pPr>
                              <w:r>
                                <w:rPr>
                                  <w:rFonts w:hint="eastAsia"/>
                                  <w:sz w:val="18"/>
                                  <w:szCs w:val="18"/>
                                  <w:lang w:val="en-US" w:eastAsia="zh-CN"/>
                                </w:rPr>
                                <w:t>扬尘、渣土、噪声、植被破坏</w:t>
                              </w:r>
                            </w:p>
                          </w:txbxContent>
                        </v:textbox>
                      </v:rect>
                      <v:rect id="矩形 37" o:spid="_x0000_s1026" o:spt="1" style="position:absolute;left:6663;top:481929;height:399;width:1792;" filled="f" stroked="f" coordsize="21600,21600" o:gfxdata="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YikL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4047415">
                              <w:pPr>
                                <w:rPr>
                                  <w:rFonts w:hint="default" w:eastAsia="宋体"/>
                                  <w:sz w:val="18"/>
                                  <w:szCs w:val="18"/>
                                  <w:lang w:val="en-US" w:eastAsia="zh-CN"/>
                                </w:rPr>
                              </w:pPr>
                              <w:r>
                                <w:rPr>
                                  <w:rFonts w:hint="eastAsia"/>
                                  <w:sz w:val="18"/>
                                  <w:szCs w:val="18"/>
                                  <w:lang w:val="en-US" w:eastAsia="zh-CN"/>
                                </w:rPr>
                                <w:t>扬尘、渣土、噪声</w:t>
                              </w:r>
                            </w:p>
                          </w:txbxContent>
                        </v:textbox>
                      </v:rect>
                      <v:rect id="矩形 38" o:spid="_x0000_s1026" o:spt="1" style="position:absolute;left:9428;top:481943;height:399;width:2070;" filled="f" stroked="f" coordsize="21600,21600" o:gfxdata="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lUd0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8D91AB5">
                              <w:pPr>
                                <w:rPr>
                                  <w:rFonts w:hint="default" w:eastAsia="宋体"/>
                                  <w:sz w:val="18"/>
                                  <w:szCs w:val="18"/>
                                  <w:lang w:val="en-US" w:eastAsia="zh-CN"/>
                                </w:rPr>
                              </w:pPr>
                              <w:r>
                                <w:rPr>
                                  <w:rFonts w:hint="eastAsia"/>
                                  <w:sz w:val="18"/>
                                  <w:szCs w:val="18"/>
                                  <w:lang w:val="en-US" w:eastAsia="zh-CN"/>
                                </w:rPr>
                                <w:t>建筑垃圾、噪声、废水</w:t>
                              </w:r>
                            </w:p>
                          </w:txbxContent>
                        </v:textbox>
                      </v:rect>
                      <v:rect id="矩形 39" o:spid="_x0000_s1026" o:spt="1" style="position:absolute;left:9861;top:484323;height:399;width:1714;" filled="f" stroked="f" coordsize="21600,21600" o:gfxdata="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GbhL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E974A86">
                              <w:pPr>
                                <w:rPr>
                                  <w:rFonts w:hint="default" w:eastAsia="宋体"/>
                                  <w:sz w:val="18"/>
                                  <w:szCs w:val="18"/>
                                  <w:lang w:val="en-US" w:eastAsia="zh-CN"/>
                                </w:rPr>
                              </w:pPr>
                              <w:r>
                                <w:rPr>
                                  <w:rFonts w:hint="eastAsia"/>
                                  <w:sz w:val="18"/>
                                  <w:szCs w:val="18"/>
                                  <w:lang w:val="en-US" w:eastAsia="zh-CN"/>
                                </w:rPr>
                                <w:t>建筑垃圾、噪声</w:t>
                              </w:r>
                            </w:p>
                          </w:txbxContent>
                        </v:textbox>
                      </v:rect>
                      <v:rect id="矩形 40" o:spid="_x0000_s1026" o:spt="1" style="position:absolute;left:7651;top:484323;height:399;width:1375;" filled="f" stroked="f" coordsize="21600,21600" o:gfxdata="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yyY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9B01619">
                              <w:pPr>
                                <w:rPr>
                                  <w:rFonts w:hint="default" w:eastAsia="宋体"/>
                                  <w:sz w:val="18"/>
                                  <w:szCs w:val="18"/>
                                  <w:lang w:val="en-US" w:eastAsia="zh-CN"/>
                                </w:rPr>
                              </w:pPr>
                              <w:r>
                                <w:rPr>
                                  <w:rFonts w:hint="eastAsia"/>
                                  <w:sz w:val="18"/>
                                  <w:szCs w:val="18"/>
                                  <w:lang w:val="en-US" w:eastAsia="zh-CN"/>
                                </w:rPr>
                                <w:t>废弃包装物</w:t>
                              </w:r>
                            </w:p>
                          </w:txbxContent>
                        </v:textbox>
                      </v:rect>
                      <v:rect id="矩形 41" o:spid="_x0000_s1026" o:spt="1" style="position:absolute;left:5488;top:484310;height:399;width:1205;" filled="f" stroked="f" coordsize="21600,21600" o:gfxdata="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oeDp7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1C440D74">
                              <w:pPr>
                                <w:jc w:val="center"/>
                                <w:rPr>
                                  <w:rFonts w:hint="default" w:eastAsia="宋体"/>
                                  <w:sz w:val="18"/>
                                  <w:szCs w:val="18"/>
                                  <w:lang w:val="en-US" w:eastAsia="zh-CN"/>
                                </w:rPr>
                              </w:pPr>
                              <w:r>
                                <w:rPr>
                                  <w:rFonts w:hint="eastAsia"/>
                                  <w:sz w:val="18"/>
                                  <w:szCs w:val="18"/>
                                  <w:lang w:val="en-US" w:eastAsia="zh-CN"/>
                                </w:rPr>
                                <w:t>噪声</w:t>
                              </w:r>
                            </w:p>
                          </w:txbxContent>
                        </v:textbox>
                      </v:rect>
                      <v:line id="直线 67" o:spid="_x0000_s1026" o:spt="20" style="position:absolute;left:8270;top:483187;flip:y;height:332;width:1;" filled="f" stroked="t" coordsize="21600,21600" o:gfxdata="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FXrp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line>
                      <v:rect id="矩形 68" o:spid="_x0000_s1026" o:spt="1" style="position:absolute;left:7963;top:483065;height:399;width:1205;" filled="f" stroked="f" coordsize="21600,21600" o:gfxdata="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iK+SL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06992FB4">
                              <w:pPr>
                                <w:jc w:val="center"/>
                                <w:rPr>
                                  <w:rFonts w:hint="default" w:eastAsia="宋体"/>
                                  <w:sz w:val="18"/>
                                  <w:szCs w:val="18"/>
                                  <w:lang w:val="en-US" w:eastAsia="zh-CN"/>
                                </w:rPr>
                              </w:pPr>
                              <w:r>
                                <w:rPr>
                                  <w:rFonts w:hint="eastAsia"/>
                                  <w:sz w:val="18"/>
                                  <w:szCs w:val="18"/>
                                  <w:lang w:val="en-US" w:eastAsia="zh-CN"/>
                                </w:rPr>
                                <w:t>噪声</w:t>
                              </w:r>
                            </w:p>
                          </w:txbxContent>
                        </v:textbox>
                      </v:rect>
                    </v:group>
                  </w:pict>
                </mc:Fallback>
              </mc:AlternateContent>
            </w:r>
          </w:p>
          <w:p w14:paraId="441CB4F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p>
          <w:p w14:paraId="055C6BE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p>
          <w:p w14:paraId="2B37A6E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p>
          <w:p w14:paraId="33013A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p>
          <w:p w14:paraId="5BC9F5C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p>
          <w:p w14:paraId="48D450F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p>
          <w:p w14:paraId="14CE8D5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p>
          <w:p w14:paraId="340F00C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图2-1    中试基地建构筑物施工流程及产排污节点</w:t>
            </w:r>
          </w:p>
          <w:p w14:paraId="18958B5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r>
              <w:rPr>
                <w:color w:val="auto"/>
                <w:sz w:val="21"/>
                <w:highlight w:val="none"/>
              </w:rPr>
              <mc:AlternateContent>
                <mc:Choice Requires="wps">
                  <w:drawing>
                    <wp:anchor distT="0" distB="0" distL="114300" distR="114300" simplePos="0" relativeHeight="251679744" behindDoc="0" locked="0" layoutInCell="1" allowOverlap="1">
                      <wp:simplePos x="0" y="0"/>
                      <wp:positionH relativeFrom="column">
                        <wp:posOffset>3503295</wp:posOffset>
                      </wp:positionH>
                      <wp:positionV relativeFrom="paragraph">
                        <wp:posOffset>247650</wp:posOffset>
                      </wp:positionV>
                      <wp:extent cx="1276350" cy="285750"/>
                      <wp:effectExtent l="0" t="0" r="0" b="0"/>
                      <wp:wrapNone/>
                      <wp:docPr id="28" name="矩形 62"/>
                      <wp:cNvGraphicFramePr/>
                      <a:graphic xmlns:a="http://schemas.openxmlformats.org/drawingml/2006/main">
                        <a:graphicData uri="http://schemas.microsoft.com/office/word/2010/wordprocessingShape">
                          <wps:wsp>
                            <wps:cNvSpPr/>
                            <wps:spPr>
                              <a:xfrm>
                                <a:off x="0" y="0"/>
                                <a:ext cx="1276350" cy="285750"/>
                              </a:xfrm>
                              <a:prstGeom prst="rect">
                                <a:avLst/>
                              </a:prstGeom>
                              <a:noFill/>
                              <a:ln>
                                <a:noFill/>
                              </a:ln>
                            </wps:spPr>
                            <wps:txbx>
                              <w:txbxContent>
                                <w:p w14:paraId="78FA69FC">
                                  <w:pPr>
                                    <w:rPr>
                                      <w:rFonts w:hint="default" w:eastAsia="宋体"/>
                                      <w:sz w:val="18"/>
                                      <w:szCs w:val="18"/>
                                      <w:lang w:val="en-US" w:eastAsia="zh-CN"/>
                                    </w:rPr>
                                  </w:pPr>
                                  <w:r>
                                    <w:rPr>
                                      <w:rFonts w:hint="eastAsia"/>
                                      <w:sz w:val="18"/>
                                      <w:szCs w:val="18"/>
                                      <w:lang w:val="en-US" w:eastAsia="zh-CN"/>
                                    </w:rPr>
                                    <w:t>焊接烟尘、噪声</w:t>
                                  </w:r>
                                </w:p>
                              </w:txbxContent>
                            </wps:txbx>
                            <wps:bodyPr vert="horz" wrap="square" anchor="t" anchorCtr="0" upright="1"/>
                          </wps:wsp>
                        </a:graphicData>
                      </a:graphic>
                    </wp:anchor>
                  </w:drawing>
                </mc:Choice>
                <mc:Fallback>
                  <w:pict>
                    <v:rect id="矩形 62" o:spid="_x0000_s1026" o:spt="1" style="position:absolute;left:0pt;margin-left:275.85pt;margin-top:19.5pt;height:22.5pt;width:100.5pt;z-index:251679744;mso-width-relative:page;mso-height-relative:page;" filled="f" stroked="f" coordsize="21600,21600" o:gfxdata="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C1Jwi2gAAAAkBAAAPAAAAAAAAAAEAIAAAACIAAABkcnMvZG93bnJl&#10;di54bWxQSwECFAAUAAAACACHTuJAlvODqMIBAAB2AwAADgAAAAAAAAABACAAAAApAQAAZHJzL2Uy&#10;b0RvYy54bWxQSwUGAAAAAAYABgBZAQAAXQUAAAAA&#10;">
                      <v:fill on="f" focussize="0,0"/>
                      <v:stroke on="f"/>
                      <v:imagedata o:title=""/>
                      <o:lock v:ext="edit" aspectratio="f"/>
                      <v:textbox>
                        <w:txbxContent>
                          <w:p w14:paraId="78FA69FC">
                            <w:pPr>
                              <w:rPr>
                                <w:rFonts w:hint="default" w:eastAsia="宋体"/>
                                <w:sz w:val="18"/>
                                <w:szCs w:val="18"/>
                                <w:lang w:val="en-US" w:eastAsia="zh-CN"/>
                              </w:rPr>
                            </w:pPr>
                            <w:r>
                              <w:rPr>
                                <w:rFonts w:hint="eastAsia"/>
                                <w:sz w:val="18"/>
                                <w:szCs w:val="18"/>
                                <w:lang w:val="en-US" w:eastAsia="zh-CN"/>
                              </w:rPr>
                              <w:t>焊接烟尘、噪声</w:t>
                            </w:r>
                          </w:p>
                        </w:txbxContent>
                      </v:textbox>
                    </v:rect>
                  </w:pict>
                </mc:Fallback>
              </mc:AlternateContent>
            </w:r>
            <w:r>
              <w:rPr>
                <w:color w:val="auto"/>
                <w:sz w:val="21"/>
                <w:highlight w:val="none"/>
              </w:rPr>
              <mc:AlternateContent>
                <mc:Choice Requires="wps">
                  <w:drawing>
                    <wp:anchor distT="0" distB="0" distL="114300" distR="114300" simplePos="0" relativeHeight="251678720" behindDoc="0" locked="0" layoutInCell="1" allowOverlap="1">
                      <wp:simplePos x="0" y="0"/>
                      <wp:positionH relativeFrom="column">
                        <wp:posOffset>2141220</wp:posOffset>
                      </wp:positionH>
                      <wp:positionV relativeFrom="paragraph">
                        <wp:posOffset>247650</wp:posOffset>
                      </wp:positionV>
                      <wp:extent cx="552450" cy="285750"/>
                      <wp:effectExtent l="0" t="0" r="0" b="0"/>
                      <wp:wrapNone/>
                      <wp:docPr id="27" name="矩形 61"/>
                      <wp:cNvGraphicFramePr/>
                      <a:graphic xmlns:a="http://schemas.openxmlformats.org/drawingml/2006/main">
                        <a:graphicData uri="http://schemas.microsoft.com/office/word/2010/wordprocessingShape">
                          <wps:wsp>
                            <wps:cNvSpPr/>
                            <wps:spPr>
                              <a:xfrm>
                                <a:off x="0" y="0"/>
                                <a:ext cx="552450" cy="285750"/>
                              </a:xfrm>
                              <a:prstGeom prst="rect">
                                <a:avLst/>
                              </a:prstGeom>
                              <a:noFill/>
                              <a:ln>
                                <a:noFill/>
                              </a:ln>
                            </wps:spPr>
                            <wps:txbx>
                              <w:txbxContent>
                                <w:p w14:paraId="70018CF7">
                                  <w:pPr>
                                    <w:jc w:val="center"/>
                                    <w:rPr>
                                      <w:rFonts w:hint="default" w:eastAsia="宋体"/>
                                      <w:sz w:val="18"/>
                                      <w:szCs w:val="18"/>
                                      <w:lang w:val="en-US" w:eastAsia="zh-CN"/>
                                    </w:rPr>
                                  </w:pPr>
                                  <w:r>
                                    <w:rPr>
                                      <w:rFonts w:hint="eastAsia"/>
                                      <w:sz w:val="18"/>
                                      <w:szCs w:val="18"/>
                                      <w:lang w:val="en-US" w:eastAsia="zh-CN"/>
                                    </w:rPr>
                                    <w:t>噪声</w:t>
                                  </w:r>
                                </w:p>
                              </w:txbxContent>
                            </wps:txbx>
                            <wps:bodyPr vert="horz" wrap="square" anchor="t" anchorCtr="0" upright="1"/>
                          </wps:wsp>
                        </a:graphicData>
                      </a:graphic>
                    </wp:anchor>
                  </w:drawing>
                </mc:Choice>
                <mc:Fallback>
                  <w:pict>
                    <v:rect id="矩形 61" o:spid="_x0000_s1026" o:spt="1" style="position:absolute;left:0pt;margin-left:168.6pt;margin-top:19.5pt;height:22.5pt;width:43.5pt;z-index:251678720;mso-width-relative:page;mso-height-relative:page;" filled="f" stroked="f" coordsize="21600,21600" o:gfxdata="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nAlxTaAAAACQEAAA8AAAAAAAAAAQAgAAAAIgAAAGRycy9kb3ducmV2&#10;LnhtbFBLAQIUABQAAAAIAIdO4kDtjQGxwQEAAHUDAAAOAAAAAAAAAAEAIAAAACkBAABkcnMvZTJv&#10;RG9jLnhtbFBLBQYAAAAABgAGAFkBAABcBQAAAAA=&#10;">
                      <v:fill on="f" focussize="0,0"/>
                      <v:stroke on="f"/>
                      <v:imagedata o:title=""/>
                      <o:lock v:ext="edit" aspectratio="f"/>
                      <v:textbox>
                        <w:txbxContent>
                          <w:p w14:paraId="70018CF7">
                            <w:pPr>
                              <w:jc w:val="center"/>
                              <w:rPr>
                                <w:rFonts w:hint="default" w:eastAsia="宋体"/>
                                <w:sz w:val="18"/>
                                <w:szCs w:val="18"/>
                                <w:lang w:val="en-US" w:eastAsia="zh-CN"/>
                              </w:rPr>
                            </w:pPr>
                            <w:r>
                              <w:rPr>
                                <w:rFonts w:hint="eastAsia"/>
                                <w:sz w:val="18"/>
                                <w:szCs w:val="18"/>
                                <w:lang w:val="en-US" w:eastAsia="zh-CN"/>
                              </w:rPr>
                              <w:t>噪声</w:t>
                            </w:r>
                          </w:p>
                        </w:txbxContent>
                      </v:textbox>
                    </v:rect>
                  </w:pict>
                </mc:Fallback>
              </mc:AlternateContent>
            </w:r>
            <w:r>
              <w:rPr>
                <w:color w:val="auto"/>
                <w:sz w:val="21"/>
                <w:highlight w:val="none"/>
              </w:rPr>
              <mc:AlternateContent>
                <mc:Choice Requires="wps">
                  <w:drawing>
                    <wp:anchor distT="0" distB="0" distL="114300" distR="114300" simplePos="0" relativeHeight="251677696" behindDoc="0" locked="0" layoutInCell="1" allowOverlap="1">
                      <wp:simplePos x="0" y="0"/>
                      <wp:positionH relativeFrom="column">
                        <wp:posOffset>464820</wp:posOffset>
                      </wp:positionH>
                      <wp:positionV relativeFrom="paragraph">
                        <wp:posOffset>257175</wp:posOffset>
                      </wp:positionV>
                      <wp:extent cx="1114425" cy="285750"/>
                      <wp:effectExtent l="0" t="0" r="0" b="0"/>
                      <wp:wrapNone/>
                      <wp:docPr id="26" name="矩形 60"/>
                      <wp:cNvGraphicFramePr/>
                      <a:graphic xmlns:a="http://schemas.openxmlformats.org/drawingml/2006/main">
                        <a:graphicData uri="http://schemas.microsoft.com/office/word/2010/wordprocessingShape">
                          <wps:wsp>
                            <wps:cNvSpPr/>
                            <wps:spPr>
                              <a:xfrm>
                                <a:off x="0" y="0"/>
                                <a:ext cx="1114425" cy="285750"/>
                              </a:xfrm>
                              <a:prstGeom prst="rect">
                                <a:avLst/>
                              </a:prstGeom>
                              <a:noFill/>
                              <a:ln>
                                <a:noFill/>
                              </a:ln>
                            </wps:spPr>
                            <wps:txbx>
                              <w:txbxContent>
                                <w:p w14:paraId="23104F08">
                                  <w:pPr>
                                    <w:rPr>
                                      <w:rFonts w:hint="default" w:eastAsia="宋体"/>
                                      <w:sz w:val="18"/>
                                      <w:szCs w:val="18"/>
                                      <w:lang w:val="en-US" w:eastAsia="zh-CN"/>
                                    </w:rPr>
                                  </w:pPr>
                                  <w:r>
                                    <w:rPr>
                                      <w:rFonts w:hint="eastAsia"/>
                                      <w:sz w:val="18"/>
                                      <w:szCs w:val="18"/>
                                      <w:lang w:val="en-US" w:eastAsia="zh-CN"/>
                                    </w:rPr>
                                    <w:t>扬尘、渣土、噪声</w:t>
                                  </w:r>
                                </w:p>
                              </w:txbxContent>
                            </wps:txbx>
                            <wps:bodyPr vert="horz" wrap="square" anchor="t" anchorCtr="0" upright="1"/>
                          </wps:wsp>
                        </a:graphicData>
                      </a:graphic>
                    </wp:anchor>
                  </w:drawing>
                </mc:Choice>
                <mc:Fallback>
                  <w:pict>
                    <v:rect id="矩形 60" o:spid="_x0000_s1026" o:spt="1" style="position:absolute;left:0pt;margin-left:36.6pt;margin-top:20.25pt;height:22.5pt;width:87.75pt;z-index:251677696;mso-width-relative:page;mso-height-relative:page;" filled="f" stroked="f" coordsize="21600,21600" o:gfxdata="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yi+W39oAAAAIAQAADwAAAAAAAAABACAAAAAiAAAAZHJzL2Rvd25y&#10;ZXYueG1sUEsBAhQAFAAAAAgAh07iQCkbs+LDAQAAdgMAAA4AAAAAAAAAAQAgAAAAKQEAAGRycy9l&#10;Mm9Eb2MueG1sUEsFBgAAAAAGAAYAWQEAAF4FAAAAAA==&#10;">
                      <v:fill on="f" focussize="0,0"/>
                      <v:stroke on="f"/>
                      <v:imagedata o:title=""/>
                      <o:lock v:ext="edit" aspectratio="f"/>
                      <v:textbox>
                        <w:txbxContent>
                          <w:p w14:paraId="23104F08">
                            <w:pPr>
                              <w:rPr>
                                <w:rFonts w:hint="default" w:eastAsia="宋体"/>
                                <w:sz w:val="18"/>
                                <w:szCs w:val="18"/>
                                <w:lang w:val="en-US" w:eastAsia="zh-CN"/>
                              </w:rPr>
                            </w:pPr>
                            <w:r>
                              <w:rPr>
                                <w:rFonts w:hint="eastAsia"/>
                                <w:sz w:val="18"/>
                                <w:szCs w:val="18"/>
                                <w:lang w:val="en-US" w:eastAsia="zh-CN"/>
                              </w:rPr>
                              <w:t>扬尘、渣土、噪声</w:t>
                            </w:r>
                          </w:p>
                        </w:txbxContent>
                      </v:textbox>
                    </v:rect>
                  </w:pict>
                </mc:Fallback>
              </mc:AlternateContent>
            </w:r>
          </w:p>
          <w:p w14:paraId="4D63542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p>
          <w:p w14:paraId="7B861EB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r>
              <w:rPr>
                <w:color w:val="auto"/>
                <w:sz w:val="21"/>
                <w:highlight w:val="none"/>
              </w:rPr>
              <mc:AlternateContent>
                <mc:Choice Requires="wps">
                  <w:drawing>
                    <wp:anchor distT="0" distB="0" distL="114300" distR="114300" simplePos="0" relativeHeight="251675648" behindDoc="0" locked="0" layoutInCell="1" allowOverlap="1">
                      <wp:simplePos x="0" y="0"/>
                      <wp:positionH relativeFrom="column">
                        <wp:posOffset>3979545</wp:posOffset>
                      </wp:positionH>
                      <wp:positionV relativeFrom="paragraph">
                        <wp:posOffset>8255</wp:posOffset>
                      </wp:positionV>
                      <wp:extent cx="635" cy="238125"/>
                      <wp:effectExtent l="37465" t="0" r="38100" b="9525"/>
                      <wp:wrapNone/>
                      <wp:docPr id="24" name="直线 58"/>
                      <wp:cNvGraphicFramePr/>
                      <a:graphic xmlns:a="http://schemas.openxmlformats.org/drawingml/2006/main">
                        <a:graphicData uri="http://schemas.microsoft.com/office/word/2010/wordprocessingShape">
                          <wps:wsp>
                            <wps:cNvCnPr/>
                            <wps:spPr>
                              <a:xfrm flipV="1">
                                <a:off x="0" y="0"/>
                                <a:ext cx="635" cy="238125"/>
                              </a:xfrm>
                              <a:prstGeom prst="line">
                                <a:avLst/>
                              </a:prstGeom>
                              <a:ln w="9525" cap="flat" cmpd="sng">
                                <a:solidFill>
                                  <a:srgbClr val="000000"/>
                                </a:solidFill>
                                <a:prstDash val="dash"/>
                                <a:headEnd type="none" w="med" len="med"/>
                                <a:tailEnd type="triangle" w="med" len="med"/>
                              </a:ln>
                            </wps:spPr>
                            <wps:bodyPr upright="1"/>
                          </wps:wsp>
                        </a:graphicData>
                      </a:graphic>
                    </wp:anchor>
                  </w:drawing>
                </mc:Choice>
                <mc:Fallback>
                  <w:pict>
                    <v:line id="直线 58" o:spid="_x0000_s1026" o:spt="20" style="position:absolute;left:0pt;flip:y;margin-left:313.35pt;margin-top:0.65pt;height:18.75pt;width:0.05pt;z-index:251675648;mso-width-relative:page;mso-height-relative:page;" filled="f" stroked="t" coordsize="21600,21600" o:gfxdata="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38q6NQAAAAIAQAADwAAAAAAAAABACAAAAAiAAAAZHJzL2Rvd25yZXYueG1sUEsB&#10;AhQAFAAAAAgAh07iQJEa0fH5AQAA6wMAAA4AAAAAAAAAAQAgAAAAIwEAAGRycy9lMm9Eb2MueG1s&#10;UEsFBgAAAAAGAAYAWQEAAI4FAAAAAA==&#10;">
                      <v:fill on="f" focussize="0,0"/>
                      <v:stroke color="#000000" joinstyle="round" dashstyle="dash" end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73600" behindDoc="0" locked="0" layoutInCell="1" allowOverlap="1">
                      <wp:simplePos x="0" y="0"/>
                      <wp:positionH relativeFrom="column">
                        <wp:posOffset>2446020</wp:posOffset>
                      </wp:positionH>
                      <wp:positionV relativeFrom="paragraph">
                        <wp:posOffset>40005</wp:posOffset>
                      </wp:positionV>
                      <wp:extent cx="635" cy="238125"/>
                      <wp:effectExtent l="37465" t="0" r="38100" b="9525"/>
                      <wp:wrapNone/>
                      <wp:docPr id="22" name="直线 55"/>
                      <wp:cNvGraphicFramePr/>
                      <a:graphic xmlns:a="http://schemas.openxmlformats.org/drawingml/2006/main">
                        <a:graphicData uri="http://schemas.microsoft.com/office/word/2010/wordprocessingShape">
                          <wps:wsp>
                            <wps:cNvCnPr/>
                            <wps:spPr>
                              <a:xfrm flipV="1">
                                <a:off x="0" y="0"/>
                                <a:ext cx="635" cy="238125"/>
                              </a:xfrm>
                              <a:prstGeom prst="line">
                                <a:avLst/>
                              </a:prstGeom>
                              <a:ln w="9525" cap="flat" cmpd="sng">
                                <a:solidFill>
                                  <a:srgbClr val="000000"/>
                                </a:solidFill>
                                <a:prstDash val="dash"/>
                                <a:headEnd type="none" w="med" len="med"/>
                                <a:tailEnd type="triangle" w="med" len="med"/>
                              </a:ln>
                            </wps:spPr>
                            <wps:bodyPr upright="1"/>
                          </wps:wsp>
                        </a:graphicData>
                      </a:graphic>
                    </wp:anchor>
                  </w:drawing>
                </mc:Choice>
                <mc:Fallback>
                  <w:pict>
                    <v:line id="直线 55" o:spid="_x0000_s1026" o:spt="20" style="position:absolute;left:0pt;flip:y;margin-left:192.6pt;margin-top:3.15pt;height:18.75pt;width:0.05pt;z-index:251673600;mso-width-relative:page;mso-height-relative:page;" filled="f" stroked="t" coordsize="21600,21600" o:gfxdata="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HgFdNUAAAAIAQAADwAAAAAAAAABACAAAAAiAAAAZHJzL2Rvd25yZXYueG1s&#10;UEsBAhQAFAAAAAgAh07iQGFl2677AQAA6wMAAA4AAAAAAAAAAQAgAAAAJAEAAGRycy9lMm9Eb2Mu&#10;eG1sUEsFBgAAAAAGAAYAWQEAAJEFAAAAAA==&#10;">
                      <v:fill on="f" focussize="0,0"/>
                      <v:stroke color="#000000" joinstyle="round" dashstyle="dash" end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72576" behindDoc="0" locked="0" layoutInCell="1" allowOverlap="1">
                      <wp:simplePos x="0" y="0"/>
                      <wp:positionH relativeFrom="column">
                        <wp:posOffset>1045845</wp:posOffset>
                      </wp:positionH>
                      <wp:positionV relativeFrom="paragraph">
                        <wp:posOffset>24130</wp:posOffset>
                      </wp:positionV>
                      <wp:extent cx="635" cy="238125"/>
                      <wp:effectExtent l="37465" t="0" r="38100" b="9525"/>
                      <wp:wrapNone/>
                      <wp:docPr id="21" name="直线 54"/>
                      <wp:cNvGraphicFramePr/>
                      <a:graphic xmlns:a="http://schemas.openxmlformats.org/drawingml/2006/main">
                        <a:graphicData uri="http://schemas.microsoft.com/office/word/2010/wordprocessingShape">
                          <wps:wsp>
                            <wps:cNvCnPr/>
                            <wps:spPr>
                              <a:xfrm flipV="1">
                                <a:off x="0" y="0"/>
                                <a:ext cx="635" cy="238125"/>
                              </a:xfrm>
                              <a:prstGeom prst="line">
                                <a:avLst/>
                              </a:prstGeom>
                              <a:ln w="9525" cap="flat" cmpd="sng">
                                <a:solidFill>
                                  <a:srgbClr val="000000"/>
                                </a:solidFill>
                                <a:prstDash val="dash"/>
                                <a:headEnd type="none" w="med" len="med"/>
                                <a:tailEnd type="triangle" w="med" len="med"/>
                              </a:ln>
                            </wps:spPr>
                            <wps:bodyPr upright="1"/>
                          </wps:wsp>
                        </a:graphicData>
                      </a:graphic>
                    </wp:anchor>
                  </w:drawing>
                </mc:Choice>
                <mc:Fallback>
                  <w:pict>
                    <v:line id="直线 54" o:spid="_x0000_s1026" o:spt="20" style="position:absolute;left:0pt;flip:y;margin-left:82.35pt;margin-top:1.9pt;height:18.75pt;width:0.05pt;z-index:251672576;mso-width-relative:page;mso-height-relative:page;" filled="f" stroked="t" coordsize="21600,21600" o:gfxdata="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EPm79QAAAAIAQAADwAAAAAAAAABACAAAAAiAAAAZHJzL2Rvd25yZXYueG1sUEsB&#10;AhQAFAAAAAgAh07iQNwRGSL5AQAA6wMAAA4AAAAAAAAAAQAgAAAAIwEAAGRycy9lMm9Eb2MueG1s&#10;UEsFBgAAAAAGAAYAWQEAAI4FAAAAAA==&#10;">
                      <v:fill on="f" focussize="0,0"/>
                      <v:stroke color="#000000" joinstyle="round" dashstyle="dash" end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63360" behindDoc="0" locked="0" layoutInCell="1" allowOverlap="1">
                      <wp:simplePos x="0" y="0"/>
                      <wp:positionH relativeFrom="column">
                        <wp:posOffset>3474720</wp:posOffset>
                      </wp:positionH>
                      <wp:positionV relativeFrom="paragraph">
                        <wp:posOffset>243205</wp:posOffset>
                      </wp:positionV>
                      <wp:extent cx="1029335" cy="285750"/>
                      <wp:effectExtent l="4445" t="4445" r="13970" b="14605"/>
                      <wp:wrapNone/>
                      <wp:docPr id="12" name="矩形 45"/>
                      <wp:cNvGraphicFramePr/>
                      <a:graphic xmlns:a="http://schemas.openxmlformats.org/drawingml/2006/main">
                        <a:graphicData uri="http://schemas.microsoft.com/office/word/2010/wordprocessingShape">
                          <wps:wsp>
                            <wps:cNvSpPr/>
                            <wps:spPr>
                              <a:xfrm>
                                <a:off x="0" y="0"/>
                                <a:ext cx="1029335" cy="285750"/>
                              </a:xfrm>
                              <a:prstGeom prst="rect">
                                <a:avLst/>
                              </a:prstGeom>
                              <a:noFill/>
                              <a:ln w="9525" cap="flat" cmpd="sng">
                                <a:solidFill>
                                  <a:srgbClr val="000000"/>
                                </a:solidFill>
                                <a:prstDash val="solid"/>
                                <a:miter/>
                                <a:headEnd type="none" w="med" len="med"/>
                                <a:tailEnd type="none" w="med" len="med"/>
                              </a:ln>
                            </wps:spPr>
                            <wps:txbx>
                              <w:txbxContent>
                                <w:p w14:paraId="227D0F35">
                                  <w:pPr>
                                    <w:jc w:val="center"/>
                                    <w:rPr>
                                      <w:rFonts w:hint="default" w:eastAsia="宋体"/>
                                      <w:lang w:val="en-US" w:eastAsia="zh-CN"/>
                                    </w:rPr>
                                  </w:pPr>
                                  <w:r>
                                    <w:rPr>
                                      <w:rFonts w:hint="eastAsia"/>
                                      <w:lang w:val="en-US" w:eastAsia="zh-CN"/>
                                    </w:rPr>
                                    <w:t>支架安装</w:t>
                                  </w:r>
                                </w:p>
                              </w:txbxContent>
                            </wps:txbx>
                            <wps:bodyPr vert="horz" wrap="square" anchor="t" anchorCtr="0" upright="1"/>
                          </wps:wsp>
                        </a:graphicData>
                      </a:graphic>
                    </wp:anchor>
                  </w:drawing>
                </mc:Choice>
                <mc:Fallback>
                  <w:pict>
                    <v:rect id="矩形 45" o:spid="_x0000_s1026" o:spt="1" style="position:absolute;left:0pt;margin-left:273.6pt;margin-top:19.15pt;height:22.5pt;width:81.05pt;z-index:251663360;mso-width-relative:page;mso-height-relative:page;" filled="f" stroked="t" coordsize="21600,21600" o:gfxdata="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AOTb9gAAAAJ&#10;AQAADwAAAAAAAAABACAAAAAiAAAAZHJzL2Rvd25yZXYueG1sUEsBAhQAFAAAAAgAh07iQLsW6Xsc&#10;AgAANQQAAA4AAAAAAAAAAQAgAAAAJwEAAGRycy9lMm9Eb2MueG1sUEsFBgAAAAAGAAYAWQEAALUF&#10;AAAAAA==&#10;">
                      <v:fill on="f" focussize="0,0"/>
                      <v:stroke color="#000000" joinstyle="miter"/>
                      <v:imagedata o:title=""/>
                      <o:lock v:ext="edit" aspectratio="f"/>
                      <v:textbox>
                        <w:txbxContent>
                          <w:p w14:paraId="227D0F35">
                            <w:pPr>
                              <w:jc w:val="center"/>
                              <w:rPr>
                                <w:rFonts w:hint="default" w:eastAsia="宋体"/>
                                <w:lang w:val="en-US" w:eastAsia="zh-CN"/>
                              </w:rPr>
                            </w:pPr>
                            <w:r>
                              <w:rPr>
                                <w:rFonts w:hint="eastAsia"/>
                                <w:lang w:val="en-US" w:eastAsia="zh-CN"/>
                              </w:rPr>
                              <w:t>支架安装</w:t>
                            </w:r>
                          </w:p>
                        </w:txbxContent>
                      </v:textbox>
                    </v:rect>
                  </w:pict>
                </mc:Fallback>
              </mc:AlternateContent>
            </w:r>
          </w:p>
          <w:p w14:paraId="27BD21B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r>
              <w:rPr>
                <w:color w:val="auto"/>
                <w:sz w:val="21"/>
                <w:highlight w:val="none"/>
              </w:rPr>
              <mc:AlternateContent>
                <mc:Choice Requires="wps">
                  <w:drawing>
                    <wp:anchor distT="0" distB="0" distL="114300" distR="114300" simplePos="0" relativeHeight="251668480" behindDoc="0" locked="0" layoutInCell="1" allowOverlap="1">
                      <wp:simplePos x="0" y="0"/>
                      <wp:positionH relativeFrom="column">
                        <wp:posOffset>3007995</wp:posOffset>
                      </wp:positionH>
                      <wp:positionV relativeFrom="paragraph">
                        <wp:posOffset>147320</wp:posOffset>
                      </wp:positionV>
                      <wp:extent cx="466725" cy="635"/>
                      <wp:effectExtent l="0" t="37465" r="9525" b="38100"/>
                      <wp:wrapNone/>
                      <wp:docPr id="17" name="直线 50"/>
                      <wp:cNvGraphicFramePr/>
                      <a:graphic xmlns:a="http://schemas.openxmlformats.org/drawingml/2006/main">
                        <a:graphicData uri="http://schemas.microsoft.com/office/word/2010/wordprocessingShape">
                          <wps:wsp>
                            <wps:cNvCnPr/>
                            <wps:spPr>
                              <a:xfrm>
                                <a:off x="0" y="0"/>
                                <a:ext cx="46672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0" o:spid="_x0000_s1026" o:spt="20" style="position:absolute;left:0pt;margin-left:236.85pt;margin-top:11.6pt;height:0.05pt;width:36.75pt;z-index:251668480;mso-width-relative:page;mso-height-relative:page;" filled="f" stroked="t" coordsize="21600,21600" o:gfxdata="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s2GzA2gAAAAkBAAAPAAAAAAAAAAEAIAAAACIAAABkcnMvZG93bnJldi54bWxQSwECFAAU&#10;AAAACACHTuJAZGwMB+8BAADiAwAADgAAAAAAAAABACAAAAApAQAAZHJzL2Uyb0RvYy54bWxQSwUG&#10;AAAAAAYABgBZAQAAigUAAAAA&#10;">
                      <v:fill on="f" focussize="0,0"/>
                      <v:stroke color="#000000" joinstyle="round" end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67456" behindDoc="0" locked="0" layoutInCell="1" allowOverlap="1">
                      <wp:simplePos x="0" y="0"/>
                      <wp:positionH relativeFrom="column">
                        <wp:posOffset>1569720</wp:posOffset>
                      </wp:positionH>
                      <wp:positionV relativeFrom="paragraph">
                        <wp:posOffset>165735</wp:posOffset>
                      </wp:positionV>
                      <wp:extent cx="409575" cy="635"/>
                      <wp:effectExtent l="0" t="37465" r="9525" b="38100"/>
                      <wp:wrapNone/>
                      <wp:docPr id="16" name="直线 49"/>
                      <wp:cNvGraphicFramePr/>
                      <a:graphic xmlns:a="http://schemas.openxmlformats.org/drawingml/2006/main">
                        <a:graphicData uri="http://schemas.microsoft.com/office/word/2010/wordprocessingShape">
                          <wps:wsp>
                            <wps:cNvCnPr/>
                            <wps:spPr>
                              <a:xfrm>
                                <a:off x="0" y="0"/>
                                <a:ext cx="40957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9" o:spid="_x0000_s1026" o:spt="20" style="position:absolute;left:0pt;margin-left:123.6pt;margin-top:13.05pt;height:0.05pt;width:32.25pt;z-index:251667456;mso-width-relative:page;mso-height-relative:page;" filled="f" stroked="t" coordsize="21600,21600" o:gfxdata="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d5jTNkAAAAJAQAADwAAAAAAAAABACAAAAAiAAAAZHJzL2Rvd25yZXYueG1sUEsBAhQA&#10;FAAAAAgAh07iQLm1M8vxAQAA4gMAAA4AAAAAAAAAAQAgAAAAKAEAAGRycy9lMm9Eb2MueG1sUEsF&#10;BgAAAAAGAAYAWQEAAIsFAAAAAA==&#10;">
                      <v:fill on="f" focussize="0,0"/>
                      <v:stroke color="#000000" joinstyle="round" end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62336" behindDoc="0" locked="0" layoutInCell="1" allowOverlap="1">
                      <wp:simplePos x="0" y="0"/>
                      <wp:positionH relativeFrom="column">
                        <wp:posOffset>474345</wp:posOffset>
                      </wp:positionH>
                      <wp:positionV relativeFrom="paragraph">
                        <wp:posOffset>10160</wp:posOffset>
                      </wp:positionV>
                      <wp:extent cx="1085850" cy="285750"/>
                      <wp:effectExtent l="4445" t="4445" r="14605" b="14605"/>
                      <wp:wrapNone/>
                      <wp:docPr id="11" name="矩形 44"/>
                      <wp:cNvGraphicFramePr/>
                      <a:graphic xmlns:a="http://schemas.openxmlformats.org/drawingml/2006/main">
                        <a:graphicData uri="http://schemas.microsoft.com/office/word/2010/wordprocessingShape">
                          <wps:wsp>
                            <wps:cNvSpPr/>
                            <wps:spPr>
                              <a:xfrm>
                                <a:off x="0" y="0"/>
                                <a:ext cx="1085850" cy="285750"/>
                              </a:xfrm>
                              <a:prstGeom prst="rect">
                                <a:avLst/>
                              </a:prstGeom>
                              <a:noFill/>
                              <a:ln w="9525" cap="flat" cmpd="sng">
                                <a:solidFill>
                                  <a:srgbClr val="000000"/>
                                </a:solidFill>
                                <a:prstDash val="solid"/>
                                <a:miter/>
                                <a:headEnd type="none" w="med" len="med"/>
                                <a:tailEnd type="none" w="med" len="med"/>
                              </a:ln>
                            </wps:spPr>
                            <wps:txbx>
                              <w:txbxContent>
                                <w:p w14:paraId="73D2EB6E">
                                  <w:pPr>
                                    <w:jc w:val="center"/>
                                    <w:rPr>
                                      <w:rFonts w:hint="default" w:eastAsia="宋体"/>
                                      <w:lang w:val="en-US" w:eastAsia="zh-CN"/>
                                    </w:rPr>
                                  </w:pPr>
                                  <w:r>
                                    <w:rPr>
                                      <w:rFonts w:hint="eastAsia"/>
                                      <w:lang w:val="en-US" w:eastAsia="zh-CN"/>
                                    </w:rPr>
                                    <w:t>支架基础开挖</w:t>
                                  </w:r>
                                </w:p>
                              </w:txbxContent>
                            </wps:txbx>
                            <wps:bodyPr vert="horz" wrap="square" anchor="t" anchorCtr="0" upright="1"/>
                          </wps:wsp>
                        </a:graphicData>
                      </a:graphic>
                    </wp:anchor>
                  </w:drawing>
                </mc:Choice>
                <mc:Fallback>
                  <w:pict>
                    <v:rect id="矩形 44" o:spid="_x0000_s1026" o:spt="1" style="position:absolute;left:0pt;margin-left:37.35pt;margin-top:0.8pt;height:22.5pt;width:85.5pt;z-index:251662336;mso-width-relative:page;mso-height-relative:page;" filled="f" stroked="t" coordsize="21600,21600" o:gfxdata="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F4079QAAAAHAQAADwAA&#10;AAAAAAABACAAAAAiAAAAZHJzL2Rvd25yZXYueG1sUEsBAhQAFAAAAAgAh07iQDHsnb8aAgAANQQA&#10;AA4AAAAAAAAAAQAgAAAAIwEAAGRycy9lMm9Eb2MueG1sUEsFBgAAAAAGAAYAWQEAAK8FAAAAAA==&#10;">
                      <v:fill on="f" focussize="0,0"/>
                      <v:stroke color="#000000" joinstyle="miter"/>
                      <v:imagedata o:title=""/>
                      <o:lock v:ext="edit" aspectratio="f"/>
                      <v:textbox>
                        <w:txbxContent>
                          <w:p w14:paraId="73D2EB6E">
                            <w:pPr>
                              <w:jc w:val="center"/>
                              <w:rPr>
                                <w:rFonts w:hint="default" w:eastAsia="宋体"/>
                                <w:lang w:val="en-US" w:eastAsia="zh-CN"/>
                              </w:rPr>
                            </w:pPr>
                            <w:r>
                              <w:rPr>
                                <w:rFonts w:hint="eastAsia"/>
                                <w:lang w:val="en-US" w:eastAsia="zh-CN"/>
                              </w:rPr>
                              <w:t>支架基础开挖</w:t>
                            </w:r>
                          </w:p>
                        </w:txbxContent>
                      </v:textbox>
                    </v:rect>
                  </w:pict>
                </mc:Fallback>
              </mc:AlternateContent>
            </w:r>
            <w:r>
              <w:rPr>
                <w:color w:val="auto"/>
                <w:sz w:val="21"/>
                <w:highlight w:val="none"/>
              </w:rPr>
              <mc:AlternateContent>
                <mc:Choice Requires="wps">
                  <w:drawing>
                    <wp:anchor distT="0" distB="0" distL="114300" distR="114300" simplePos="0" relativeHeight="251661312" behindDoc="0" locked="0" layoutInCell="1" allowOverlap="1">
                      <wp:simplePos x="0" y="0"/>
                      <wp:positionH relativeFrom="column">
                        <wp:posOffset>1988820</wp:posOffset>
                      </wp:positionH>
                      <wp:positionV relativeFrom="paragraph">
                        <wp:posOffset>6985</wp:posOffset>
                      </wp:positionV>
                      <wp:extent cx="1019175" cy="285750"/>
                      <wp:effectExtent l="4445" t="4445" r="5080" b="14605"/>
                      <wp:wrapNone/>
                      <wp:docPr id="10" name="矩形 43"/>
                      <wp:cNvGraphicFramePr/>
                      <a:graphic xmlns:a="http://schemas.openxmlformats.org/drawingml/2006/main">
                        <a:graphicData uri="http://schemas.microsoft.com/office/word/2010/wordprocessingShape">
                          <wps:wsp>
                            <wps:cNvSpPr/>
                            <wps:spPr>
                              <a:xfrm>
                                <a:off x="0" y="0"/>
                                <a:ext cx="1019175" cy="285750"/>
                              </a:xfrm>
                              <a:prstGeom prst="rect">
                                <a:avLst/>
                              </a:prstGeom>
                              <a:noFill/>
                              <a:ln w="9525" cap="flat" cmpd="sng">
                                <a:solidFill>
                                  <a:srgbClr val="000000"/>
                                </a:solidFill>
                                <a:prstDash val="solid"/>
                                <a:miter/>
                                <a:headEnd type="none" w="med" len="med"/>
                                <a:tailEnd type="none" w="med" len="med"/>
                              </a:ln>
                            </wps:spPr>
                            <wps:txbx>
                              <w:txbxContent>
                                <w:p w14:paraId="03F8F944">
                                  <w:pPr>
                                    <w:rPr>
                                      <w:rFonts w:hint="default" w:eastAsia="宋体"/>
                                      <w:lang w:val="en-US" w:eastAsia="zh-CN"/>
                                    </w:rPr>
                                  </w:pPr>
                                  <w:r>
                                    <w:rPr>
                                      <w:rFonts w:hint="eastAsia"/>
                                      <w:lang w:val="en-US" w:eastAsia="zh-CN"/>
                                    </w:rPr>
                                    <w:t>基础浇筑施工</w:t>
                                  </w:r>
                                </w:p>
                              </w:txbxContent>
                            </wps:txbx>
                            <wps:bodyPr vert="horz" wrap="square" anchor="t" anchorCtr="0" upright="1"/>
                          </wps:wsp>
                        </a:graphicData>
                      </a:graphic>
                    </wp:anchor>
                  </w:drawing>
                </mc:Choice>
                <mc:Fallback>
                  <w:pict>
                    <v:rect id="矩形 43" o:spid="_x0000_s1026" o:spt="1" style="position:absolute;left:0pt;margin-left:156.6pt;margin-top:0.55pt;height:22.5pt;width:80.25pt;z-index:251661312;mso-width-relative:page;mso-height-relative:page;" filled="f" stroked="t" coordsize="21600,21600" o:gfxdata="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m3iG7WAAAACAEA&#10;AA8AAAAAAAAAAQAgAAAAIgAAAGRycy9kb3ducmV2LnhtbFBLAQIUABQAAAAIAIdO4kCACPX+HAIA&#10;ADUEAAAOAAAAAAAAAAEAIAAAACUBAABkcnMvZTJvRG9jLnhtbFBLBQYAAAAABgAGAFkBAACzBQAA&#10;AAA=&#10;">
                      <v:fill on="f" focussize="0,0"/>
                      <v:stroke color="#000000" joinstyle="miter"/>
                      <v:imagedata o:title=""/>
                      <o:lock v:ext="edit" aspectratio="f"/>
                      <v:textbox>
                        <w:txbxContent>
                          <w:p w14:paraId="03F8F944">
                            <w:pPr>
                              <w:rPr>
                                <w:rFonts w:hint="default" w:eastAsia="宋体"/>
                                <w:lang w:val="en-US" w:eastAsia="zh-CN"/>
                              </w:rPr>
                            </w:pPr>
                            <w:r>
                              <w:rPr>
                                <w:rFonts w:hint="eastAsia"/>
                                <w:lang w:val="en-US" w:eastAsia="zh-CN"/>
                              </w:rPr>
                              <w:t>基础浇筑施工</w:t>
                            </w:r>
                          </w:p>
                        </w:txbxContent>
                      </v:textbox>
                    </v:rect>
                  </w:pict>
                </mc:Fallback>
              </mc:AlternateContent>
            </w:r>
          </w:p>
          <w:p w14:paraId="3444A95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r>
              <w:rPr>
                <w:color w:val="auto"/>
                <w:sz w:val="21"/>
                <w:highlight w:val="none"/>
              </w:rPr>
              <mc:AlternateContent>
                <mc:Choice Requires="wps">
                  <w:drawing>
                    <wp:anchor distT="0" distB="0" distL="114300" distR="114300" simplePos="0" relativeHeight="251669504" behindDoc="0" locked="0" layoutInCell="1" allowOverlap="1">
                      <wp:simplePos x="0" y="0"/>
                      <wp:positionH relativeFrom="column">
                        <wp:posOffset>3989070</wp:posOffset>
                      </wp:positionH>
                      <wp:positionV relativeFrom="paragraph">
                        <wp:posOffset>29210</wp:posOffset>
                      </wp:positionV>
                      <wp:extent cx="635" cy="361950"/>
                      <wp:effectExtent l="37465" t="0" r="38100" b="0"/>
                      <wp:wrapNone/>
                      <wp:docPr id="18" name="直线 51"/>
                      <wp:cNvGraphicFramePr/>
                      <a:graphic xmlns:a="http://schemas.openxmlformats.org/drawingml/2006/main">
                        <a:graphicData uri="http://schemas.microsoft.com/office/word/2010/wordprocessingShape">
                          <wps:wsp>
                            <wps:cNvCnPr/>
                            <wps:spPr>
                              <a:xfrm>
                                <a:off x="0" y="0"/>
                                <a:ext cx="635" cy="3619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1" o:spid="_x0000_s1026" o:spt="20" style="position:absolute;left:0pt;margin-left:314.1pt;margin-top:2.3pt;height:28.5pt;width:0.05pt;z-index:251669504;mso-width-relative:page;mso-height-relative:page;" filled="f" stroked="t" coordsize="21600,21600" o:gfxdata="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yIbK6dgAAAAIAQAADwAAAAAAAAABACAAAAAiAAAAZHJzL2Rvd25yZXYueG1sUEsBAhQA&#10;FAAAAAgAh07iQNSFdvHyAQAA4gMAAA4AAAAAAAAAAQAgAAAAJwEAAGRycy9lMm9Eb2MueG1sUEsF&#10;BgAAAAAGAAYAWQEAAIsFAAAAAA==&#10;">
                      <v:fill on="f" focussize="0,0"/>
                      <v:stroke color="#000000" joinstyle="round" endarrow="block"/>
                      <v:imagedata o:title=""/>
                      <o:lock v:ext="edit" aspectratio="f"/>
                    </v:line>
                  </w:pict>
                </mc:Fallback>
              </mc:AlternateContent>
            </w:r>
          </w:p>
          <w:p w14:paraId="77B3554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r>
              <w:rPr>
                <w:color w:val="auto"/>
                <w:sz w:val="21"/>
                <w:highlight w:val="none"/>
              </w:rPr>
              <mc:AlternateContent>
                <mc:Choice Requires="wps">
                  <w:drawing>
                    <wp:anchor distT="0" distB="0" distL="114300" distR="114300" simplePos="0" relativeHeight="251666432" behindDoc="0" locked="0" layoutInCell="1" allowOverlap="1">
                      <wp:simplePos x="0" y="0"/>
                      <wp:positionH relativeFrom="column">
                        <wp:posOffset>931545</wp:posOffset>
                      </wp:positionH>
                      <wp:positionV relativeFrom="paragraph">
                        <wp:posOffset>127000</wp:posOffset>
                      </wp:positionV>
                      <wp:extent cx="810260" cy="285750"/>
                      <wp:effectExtent l="4445" t="4445" r="23495" b="14605"/>
                      <wp:wrapNone/>
                      <wp:docPr id="15" name="矩形 48"/>
                      <wp:cNvGraphicFramePr/>
                      <a:graphic xmlns:a="http://schemas.openxmlformats.org/drawingml/2006/main">
                        <a:graphicData uri="http://schemas.microsoft.com/office/word/2010/wordprocessingShape">
                          <wps:wsp>
                            <wps:cNvSpPr/>
                            <wps:spPr>
                              <a:xfrm>
                                <a:off x="0" y="0"/>
                                <a:ext cx="810260" cy="285750"/>
                              </a:xfrm>
                              <a:prstGeom prst="rect">
                                <a:avLst/>
                              </a:prstGeom>
                              <a:noFill/>
                              <a:ln w="9525" cap="flat" cmpd="sng">
                                <a:solidFill>
                                  <a:srgbClr val="000000"/>
                                </a:solidFill>
                                <a:prstDash val="solid"/>
                                <a:miter/>
                                <a:headEnd type="none" w="med" len="med"/>
                                <a:tailEnd type="none" w="med" len="med"/>
                              </a:ln>
                            </wps:spPr>
                            <wps:txbx>
                              <w:txbxContent>
                                <w:p w14:paraId="5CA2F2C2">
                                  <w:pPr>
                                    <w:jc w:val="center"/>
                                    <w:rPr>
                                      <w:rFonts w:hint="default" w:eastAsia="宋体"/>
                                      <w:lang w:val="en-US" w:eastAsia="zh-CN"/>
                                    </w:rPr>
                                  </w:pPr>
                                  <w:r>
                                    <w:rPr>
                                      <w:rFonts w:hint="eastAsia"/>
                                      <w:lang w:val="en-US" w:eastAsia="zh-CN"/>
                                    </w:rPr>
                                    <w:t>调试运行</w:t>
                                  </w:r>
                                </w:p>
                              </w:txbxContent>
                            </wps:txbx>
                            <wps:bodyPr vert="horz" wrap="square" anchor="t" anchorCtr="0" upright="1"/>
                          </wps:wsp>
                        </a:graphicData>
                      </a:graphic>
                    </wp:anchor>
                  </w:drawing>
                </mc:Choice>
                <mc:Fallback>
                  <w:pict>
                    <v:rect id="矩形 48" o:spid="_x0000_s1026" o:spt="1" style="position:absolute;left:0pt;margin-left:73.35pt;margin-top:10pt;height:22.5pt;width:63.8pt;z-index:251666432;mso-width-relative:page;mso-height-relative:page;" filled="f" stroked="t" coordsize="21600,21600" o:gfxdata="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BYiTE1gAAAAkBAAAP&#10;AAAAAAAAAAEAIAAAACIAAABkcnMvZG93bnJldi54bWxQSwECFAAUAAAACACHTuJAOklD4xoCAAA0&#10;BAAADgAAAAAAAAABACAAAAAlAQAAZHJzL2Uyb0RvYy54bWxQSwUGAAAAAAYABgBZAQAAsQUAAAAA&#10;">
                      <v:fill on="f" focussize="0,0"/>
                      <v:stroke color="#000000" joinstyle="miter"/>
                      <v:imagedata o:title=""/>
                      <o:lock v:ext="edit" aspectratio="f"/>
                      <v:textbox>
                        <w:txbxContent>
                          <w:p w14:paraId="5CA2F2C2">
                            <w:pPr>
                              <w:jc w:val="center"/>
                              <w:rPr>
                                <w:rFonts w:hint="default" w:eastAsia="宋体"/>
                                <w:lang w:val="en-US" w:eastAsia="zh-CN"/>
                              </w:rPr>
                            </w:pPr>
                            <w:r>
                              <w:rPr>
                                <w:rFonts w:hint="eastAsia"/>
                                <w:lang w:val="en-US" w:eastAsia="zh-CN"/>
                              </w:rPr>
                              <w:t>调试运行</w:t>
                            </w:r>
                          </w:p>
                        </w:txbxContent>
                      </v:textbox>
                    </v:rect>
                  </w:pict>
                </mc:Fallback>
              </mc:AlternateContent>
            </w:r>
            <w:r>
              <w:rPr>
                <w:color w:val="auto"/>
                <w:sz w:val="21"/>
                <w:highlight w:val="none"/>
              </w:rPr>
              <mc:AlternateContent>
                <mc:Choice Requires="wps">
                  <w:drawing>
                    <wp:anchor distT="0" distB="0" distL="114300" distR="114300" simplePos="0" relativeHeight="251665408" behindDoc="0" locked="0" layoutInCell="1" allowOverlap="1">
                      <wp:simplePos x="0" y="0"/>
                      <wp:positionH relativeFrom="column">
                        <wp:posOffset>2284095</wp:posOffset>
                      </wp:positionH>
                      <wp:positionV relativeFrom="paragraph">
                        <wp:posOffset>123825</wp:posOffset>
                      </wp:positionV>
                      <wp:extent cx="810260" cy="285750"/>
                      <wp:effectExtent l="4445" t="4445" r="23495" b="14605"/>
                      <wp:wrapNone/>
                      <wp:docPr id="14" name="矩形 47"/>
                      <wp:cNvGraphicFramePr/>
                      <a:graphic xmlns:a="http://schemas.openxmlformats.org/drawingml/2006/main">
                        <a:graphicData uri="http://schemas.microsoft.com/office/word/2010/wordprocessingShape">
                          <wps:wsp>
                            <wps:cNvSpPr/>
                            <wps:spPr>
                              <a:xfrm>
                                <a:off x="0" y="0"/>
                                <a:ext cx="810260" cy="285750"/>
                              </a:xfrm>
                              <a:prstGeom prst="rect">
                                <a:avLst/>
                              </a:prstGeom>
                              <a:noFill/>
                              <a:ln w="9525" cap="flat" cmpd="sng">
                                <a:solidFill>
                                  <a:srgbClr val="000000"/>
                                </a:solidFill>
                                <a:prstDash val="solid"/>
                                <a:miter/>
                                <a:headEnd type="none" w="med" len="med"/>
                                <a:tailEnd type="none" w="med" len="med"/>
                              </a:ln>
                            </wps:spPr>
                            <wps:txbx>
                              <w:txbxContent>
                                <w:p w14:paraId="74404C80">
                                  <w:pPr>
                                    <w:jc w:val="center"/>
                                    <w:rPr>
                                      <w:rFonts w:hint="default" w:eastAsia="宋体"/>
                                      <w:lang w:val="en-US" w:eastAsia="zh-CN"/>
                                    </w:rPr>
                                  </w:pPr>
                                  <w:r>
                                    <w:rPr>
                                      <w:rFonts w:hint="eastAsia"/>
                                      <w:lang w:val="en-US" w:eastAsia="zh-CN"/>
                                    </w:rPr>
                                    <w:t>清洗试压</w:t>
                                  </w:r>
                                </w:p>
                              </w:txbxContent>
                            </wps:txbx>
                            <wps:bodyPr vert="horz" wrap="square" anchor="t" anchorCtr="0" upright="1"/>
                          </wps:wsp>
                        </a:graphicData>
                      </a:graphic>
                    </wp:anchor>
                  </w:drawing>
                </mc:Choice>
                <mc:Fallback>
                  <w:pict>
                    <v:rect id="矩形 47" o:spid="_x0000_s1026" o:spt="1" style="position:absolute;left:0pt;margin-left:179.85pt;margin-top:9.75pt;height:22.5pt;width:63.8pt;z-index:251665408;mso-width-relative:page;mso-height-relative:page;" filled="f" stroked="t" coordsize="21600,21600" o:gfxdata="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paqyZ2AAAAAkB&#10;AAAPAAAAAAAAAAEAIAAAACIAAABkcnMvZG93bnJldi54bWxQSwECFAAUAAAACACHTuJAHrjjhRsC&#10;AAA0BAAADgAAAAAAAAABACAAAAAnAQAAZHJzL2Uyb0RvYy54bWxQSwUGAAAAAAYABgBZAQAAtAUA&#10;AAAA&#10;">
                      <v:fill on="f" focussize="0,0"/>
                      <v:stroke color="#000000" joinstyle="miter"/>
                      <v:imagedata o:title=""/>
                      <o:lock v:ext="edit" aspectratio="f"/>
                      <v:textbox>
                        <w:txbxContent>
                          <w:p w14:paraId="74404C80">
                            <w:pPr>
                              <w:jc w:val="center"/>
                              <w:rPr>
                                <w:rFonts w:hint="default" w:eastAsia="宋体"/>
                                <w:lang w:val="en-US" w:eastAsia="zh-CN"/>
                              </w:rPr>
                            </w:pPr>
                            <w:r>
                              <w:rPr>
                                <w:rFonts w:hint="eastAsia"/>
                                <w:lang w:val="en-US" w:eastAsia="zh-CN"/>
                              </w:rPr>
                              <w:t>清洗试压</w:t>
                            </w:r>
                          </w:p>
                        </w:txbxContent>
                      </v:textbox>
                    </v:rect>
                  </w:pict>
                </mc:Fallback>
              </mc:AlternateContent>
            </w:r>
            <w:r>
              <w:rPr>
                <w:color w:val="auto"/>
                <w:sz w:val="21"/>
                <w:highlight w:val="none"/>
              </w:rPr>
              <mc:AlternateContent>
                <mc:Choice Requires="wps">
                  <w:drawing>
                    <wp:anchor distT="0" distB="0" distL="114300" distR="114300" simplePos="0" relativeHeight="251664384" behindDoc="0" locked="0" layoutInCell="1" allowOverlap="1">
                      <wp:simplePos x="0" y="0"/>
                      <wp:positionH relativeFrom="column">
                        <wp:posOffset>3636645</wp:posOffset>
                      </wp:positionH>
                      <wp:positionV relativeFrom="paragraph">
                        <wp:posOffset>123825</wp:posOffset>
                      </wp:positionV>
                      <wp:extent cx="810260" cy="285750"/>
                      <wp:effectExtent l="4445" t="4445" r="23495" b="14605"/>
                      <wp:wrapNone/>
                      <wp:docPr id="13" name="矩形 46"/>
                      <wp:cNvGraphicFramePr/>
                      <a:graphic xmlns:a="http://schemas.openxmlformats.org/drawingml/2006/main">
                        <a:graphicData uri="http://schemas.microsoft.com/office/word/2010/wordprocessingShape">
                          <wps:wsp>
                            <wps:cNvSpPr/>
                            <wps:spPr>
                              <a:xfrm>
                                <a:off x="0" y="0"/>
                                <a:ext cx="810260" cy="285750"/>
                              </a:xfrm>
                              <a:prstGeom prst="rect">
                                <a:avLst/>
                              </a:prstGeom>
                              <a:noFill/>
                              <a:ln w="9525" cap="flat" cmpd="sng">
                                <a:solidFill>
                                  <a:srgbClr val="000000"/>
                                </a:solidFill>
                                <a:prstDash val="solid"/>
                                <a:miter/>
                                <a:headEnd type="none" w="med" len="med"/>
                                <a:tailEnd type="none" w="med" len="med"/>
                              </a:ln>
                            </wps:spPr>
                            <wps:txbx>
                              <w:txbxContent>
                                <w:p w14:paraId="596412DD">
                                  <w:pPr>
                                    <w:jc w:val="center"/>
                                    <w:rPr>
                                      <w:rFonts w:hint="default" w:eastAsia="宋体"/>
                                      <w:lang w:val="en-US" w:eastAsia="zh-CN"/>
                                    </w:rPr>
                                  </w:pPr>
                                  <w:r>
                                    <w:rPr>
                                      <w:rFonts w:hint="eastAsia"/>
                                      <w:lang w:val="en-US" w:eastAsia="zh-CN"/>
                                    </w:rPr>
                                    <w:t>管道铺设</w:t>
                                  </w:r>
                                </w:p>
                              </w:txbxContent>
                            </wps:txbx>
                            <wps:bodyPr vert="horz" wrap="square" anchor="t" anchorCtr="0" upright="1"/>
                          </wps:wsp>
                        </a:graphicData>
                      </a:graphic>
                    </wp:anchor>
                  </w:drawing>
                </mc:Choice>
                <mc:Fallback>
                  <w:pict>
                    <v:rect id="矩形 46" o:spid="_x0000_s1026" o:spt="1" style="position:absolute;left:0pt;margin-left:286.35pt;margin-top:9.75pt;height:22.5pt;width:63.8pt;z-index:251664384;mso-width-relative:page;mso-height-relative:page;" filled="f" stroked="t" coordsize="21600,21600" o:gfxdata="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tcAQfYAAAACQEA&#10;AA8AAAAAAAAAAQAgAAAAIgAAAGRycy9kb3ducmV2LnhtbFBLAQIUABQAAAAIAIdO4kDBJuEsGgIA&#10;ADQEAAAOAAAAAAAAAAEAIAAAACcBAABkcnMvZTJvRG9jLnhtbFBLBQYAAAAABgAGAFkBAACzBQAA&#10;AAA=&#10;">
                      <v:fill on="f" focussize="0,0"/>
                      <v:stroke color="#000000" joinstyle="miter"/>
                      <v:imagedata o:title=""/>
                      <o:lock v:ext="edit" aspectratio="f"/>
                      <v:textbox>
                        <w:txbxContent>
                          <w:p w14:paraId="596412DD">
                            <w:pPr>
                              <w:jc w:val="center"/>
                              <w:rPr>
                                <w:rFonts w:hint="default" w:eastAsia="宋体"/>
                                <w:lang w:val="en-US" w:eastAsia="zh-CN"/>
                              </w:rPr>
                            </w:pPr>
                            <w:r>
                              <w:rPr>
                                <w:rFonts w:hint="eastAsia"/>
                                <w:lang w:val="en-US" w:eastAsia="zh-CN"/>
                              </w:rPr>
                              <w:t>管道铺设</w:t>
                            </w:r>
                          </w:p>
                        </w:txbxContent>
                      </v:textbox>
                    </v:rect>
                  </w:pict>
                </mc:Fallback>
              </mc:AlternateContent>
            </w:r>
          </w:p>
          <w:p w14:paraId="6377CEE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r>
              <w:rPr>
                <w:color w:val="auto"/>
                <w:sz w:val="21"/>
                <w:highlight w:val="none"/>
              </w:rPr>
              <mc:AlternateContent>
                <mc:Choice Requires="wps">
                  <w:drawing>
                    <wp:anchor distT="0" distB="0" distL="114300" distR="114300" simplePos="0" relativeHeight="251676672" behindDoc="0" locked="0" layoutInCell="1" allowOverlap="1">
                      <wp:simplePos x="0" y="0"/>
                      <wp:positionH relativeFrom="column">
                        <wp:posOffset>2674620</wp:posOffset>
                      </wp:positionH>
                      <wp:positionV relativeFrom="paragraph">
                        <wp:posOffset>161290</wp:posOffset>
                      </wp:positionV>
                      <wp:extent cx="635" cy="238125"/>
                      <wp:effectExtent l="38100" t="0" r="37465" b="9525"/>
                      <wp:wrapNone/>
                      <wp:docPr id="25" name="直线 59"/>
                      <wp:cNvGraphicFramePr/>
                      <a:graphic xmlns:a="http://schemas.openxmlformats.org/drawingml/2006/main">
                        <a:graphicData uri="http://schemas.microsoft.com/office/word/2010/wordprocessingShape">
                          <wps:wsp>
                            <wps:cNvCnPr/>
                            <wps:spPr>
                              <a:xfrm flipV="1">
                                <a:off x="0" y="0"/>
                                <a:ext cx="635" cy="238125"/>
                              </a:xfrm>
                              <a:prstGeom prst="line">
                                <a:avLst/>
                              </a:prstGeom>
                              <a:ln w="9525" cap="flat" cmpd="sng">
                                <a:solidFill>
                                  <a:srgbClr val="000000"/>
                                </a:solidFill>
                                <a:prstDash val="dash"/>
                                <a:headEnd type="triangle" w="med" len="med"/>
                                <a:tailEnd type="none" w="med" len="med"/>
                              </a:ln>
                            </wps:spPr>
                            <wps:bodyPr upright="1"/>
                          </wps:wsp>
                        </a:graphicData>
                      </a:graphic>
                    </wp:anchor>
                  </w:drawing>
                </mc:Choice>
                <mc:Fallback>
                  <w:pict>
                    <v:line id="直线 59" o:spid="_x0000_s1026" o:spt="20" style="position:absolute;left:0pt;flip:y;margin-left:210.6pt;margin-top:12.7pt;height:18.75pt;width:0.05pt;z-index:251676672;mso-width-relative:page;mso-height-relative:page;" filled="f" stroked="t" coordsize="21600,21600" o:gfxdata="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crkZHYAAAACQEAAA8AAAAAAAAAAQAgAAAAIgAAAGRycy9kb3ducmV2Lnht&#10;bFBLAQIUABQAAAAIAIdO4kCZkQKE+QEAAOsDAAAOAAAAAAAAAAEAIAAAACcBAABkcnMvZTJvRG9j&#10;LnhtbFBLBQYAAAAABgAGAFkBAACSBQAAAAA=&#10;">
                      <v:fill on="f" focussize="0,0"/>
                      <v:stroke color="#000000" joinstyle="round" dashstyle="dash" start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74624" behindDoc="0" locked="0" layoutInCell="1" allowOverlap="1">
                      <wp:simplePos x="0" y="0"/>
                      <wp:positionH relativeFrom="column">
                        <wp:posOffset>4017645</wp:posOffset>
                      </wp:positionH>
                      <wp:positionV relativeFrom="paragraph">
                        <wp:posOffset>164465</wp:posOffset>
                      </wp:positionV>
                      <wp:extent cx="635" cy="238125"/>
                      <wp:effectExtent l="38100" t="0" r="37465" b="9525"/>
                      <wp:wrapNone/>
                      <wp:docPr id="23" name="直线 57"/>
                      <wp:cNvGraphicFramePr/>
                      <a:graphic xmlns:a="http://schemas.openxmlformats.org/drawingml/2006/main">
                        <a:graphicData uri="http://schemas.microsoft.com/office/word/2010/wordprocessingShape">
                          <wps:wsp>
                            <wps:cNvCnPr/>
                            <wps:spPr>
                              <a:xfrm flipV="1">
                                <a:off x="0" y="0"/>
                                <a:ext cx="635" cy="238125"/>
                              </a:xfrm>
                              <a:prstGeom prst="line">
                                <a:avLst/>
                              </a:prstGeom>
                              <a:ln w="9525" cap="flat" cmpd="sng">
                                <a:solidFill>
                                  <a:srgbClr val="000000"/>
                                </a:solidFill>
                                <a:prstDash val="dash"/>
                                <a:headEnd type="triangle" w="med" len="med"/>
                                <a:tailEnd type="none" w="med" len="med"/>
                              </a:ln>
                            </wps:spPr>
                            <wps:bodyPr upright="1"/>
                          </wps:wsp>
                        </a:graphicData>
                      </a:graphic>
                    </wp:anchor>
                  </w:drawing>
                </mc:Choice>
                <mc:Fallback>
                  <w:pict>
                    <v:line id="直线 57" o:spid="_x0000_s1026" o:spt="20" style="position:absolute;left:0pt;flip:y;margin-left:316.35pt;margin-top:12.95pt;height:18.75pt;width:0.05pt;z-index:251674624;mso-width-relative:page;mso-height-relative:page;" filled="f" stroked="t" coordsize="21600,21600" o:gfxdata="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50K2bYAAAACQEAAA8AAAAAAAAAAQAgAAAAIgAAAGRycy9kb3ducmV2Lnht&#10;bFBLAQIUABQAAAAIAIdO4kD+lG73+QEAAOsDAAAOAAAAAAAAAAEAIAAAACcBAABkcnMvZTJvRG9j&#10;LnhtbFBLBQYAAAAABgAGAFkBAACSBQAAAAA=&#10;">
                      <v:fill on="f" focussize="0,0"/>
                      <v:stroke color="#000000" joinstyle="round" dashstyle="dash" start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71552" behindDoc="0" locked="0" layoutInCell="1" allowOverlap="1">
                      <wp:simplePos x="0" y="0"/>
                      <wp:positionH relativeFrom="column">
                        <wp:posOffset>1741170</wp:posOffset>
                      </wp:positionH>
                      <wp:positionV relativeFrom="paragraph">
                        <wp:posOffset>31115</wp:posOffset>
                      </wp:positionV>
                      <wp:extent cx="542925" cy="635"/>
                      <wp:effectExtent l="0" t="37465" r="9525" b="38100"/>
                      <wp:wrapNone/>
                      <wp:docPr id="20" name="直线 53"/>
                      <wp:cNvGraphicFramePr/>
                      <a:graphic xmlns:a="http://schemas.openxmlformats.org/drawingml/2006/main">
                        <a:graphicData uri="http://schemas.microsoft.com/office/word/2010/wordprocessingShape">
                          <wps:wsp>
                            <wps:cNvCnPr/>
                            <wps:spPr>
                              <a:xfrm flipH="1">
                                <a:off x="0" y="0"/>
                                <a:ext cx="54292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3" o:spid="_x0000_s1026" o:spt="20" style="position:absolute;left:0pt;flip:x;margin-left:137.1pt;margin-top:2.45pt;height:0.05pt;width:42.75pt;z-index:251671552;mso-width-relative:page;mso-height-relative:page;" filled="f" stroked="t" coordsize="21600,21600" o:gfxdata="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Xhe451wAAAAcBAAAPAAAAAAAAAAEAIAAAACIAAABkcnMvZG93bnJldi54bWxQ&#10;SwECFAAUAAAACACHTuJApWlpF/gBAADsAwAADgAAAAAAAAABACAAAAAmAQAAZHJzL2Uyb0RvYy54&#10;bWxQSwUGAAAAAAYABgBZAQAAkAUAAAAA&#10;">
                      <v:fill on="f" focussize="0,0"/>
                      <v:stroke color="#000000" joinstyle="round" endarrow="block"/>
                      <v:imagedata o:title=""/>
                      <o:lock v:ext="edit" aspectratio="f"/>
                    </v:line>
                  </w:pict>
                </mc:Fallback>
              </mc:AlternateContent>
            </w:r>
            <w:r>
              <w:rPr>
                <w:color w:val="auto"/>
                <w:sz w:val="21"/>
                <w:highlight w:val="none"/>
              </w:rPr>
              <mc:AlternateContent>
                <mc:Choice Requires="wps">
                  <w:drawing>
                    <wp:anchor distT="0" distB="0" distL="114300" distR="114300" simplePos="0" relativeHeight="251670528" behindDoc="0" locked="0" layoutInCell="1" allowOverlap="1">
                      <wp:simplePos x="0" y="0"/>
                      <wp:positionH relativeFrom="column">
                        <wp:posOffset>3103245</wp:posOffset>
                      </wp:positionH>
                      <wp:positionV relativeFrom="paragraph">
                        <wp:posOffset>6350</wp:posOffset>
                      </wp:positionV>
                      <wp:extent cx="542925" cy="635"/>
                      <wp:effectExtent l="0" t="37465" r="9525" b="38100"/>
                      <wp:wrapNone/>
                      <wp:docPr id="19" name="直线 52"/>
                      <wp:cNvGraphicFramePr/>
                      <a:graphic xmlns:a="http://schemas.openxmlformats.org/drawingml/2006/main">
                        <a:graphicData uri="http://schemas.microsoft.com/office/word/2010/wordprocessingShape">
                          <wps:wsp>
                            <wps:cNvCnPr/>
                            <wps:spPr>
                              <a:xfrm flipH="1">
                                <a:off x="0" y="0"/>
                                <a:ext cx="542925"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2" o:spid="_x0000_s1026" o:spt="20" style="position:absolute;left:0pt;flip:x;margin-left:244.35pt;margin-top:0.5pt;height:0.05pt;width:42.75pt;z-index:251670528;mso-width-relative:page;mso-height-relative:page;" filled="f" stroked="t" coordsize="21600,21600" o:gfxdata="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sE1mPXAAAABwEAAA8AAAAAAAAAAQAgAAAAIgAAAGRycy9kb3ducmV2LnhtbFBL&#10;AQIUABQAAAAIAIdO4kCj990L9wEAAOwDAAAOAAAAAAAAAAEAIAAAACYBAABkcnMvZTJvRG9jLnht&#10;bFBLBQYAAAAABgAGAFkBAACPBQAAAAA=&#10;">
                      <v:fill on="f" focussize="0,0"/>
                      <v:stroke color="#000000" joinstyle="round" endarrow="block"/>
                      <v:imagedata o:title=""/>
                      <o:lock v:ext="edit" aspectratio="f"/>
                    </v:line>
                  </w:pict>
                </mc:Fallback>
              </mc:AlternateContent>
            </w:r>
          </w:p>
          <w:p w14:paraId="2831699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r>
              <w:rPr>
                <w:color w:val="auto"/>
                <w:sz w:val="21"/>
                <w:highlight w:val="none"/>
              </w:rPr>
              <mc:AlternateContent>
                <mc:Choice Requires="wps">
                  <w:drawing>
                    <wp:anchor distT="0" distB="0" distL="114300" distR="114300" simplePos="0" relativeHeight="251681792" behindDoc="0" locked="0" layoutInCell="1" allowOverlap="1">
                      <wp:simplePos x="0" y="0"/>
                      <wp:positionH relativeFrom="column">
                        <wp:posOffset>2245995</wp:posOffset>
                      </wp:positionH>
                      <wp:positionV relativeFrom="paragraph">
                        <wp:posOffset>147320</wp:posOffset>
                      </wp:positionV>
                      <wp:extent cx="990600" cy="285750"/>
                      <wp:effectExtent l="0" t="0" r="0" b="0"/>
                      <wp:wrapNone/>
                      <wp:docPr id="30" name="矩形 64"/>
                      <wp:cNvGraphicFramePr/>
                      <a:graphic xmlns:a="http://schemas.openxmlformats.org/drawingml/2006/main">
                        <a:graphicData uri="http://schemas.microsoft.com/office/word/2010/wordprocessingShape">
                          <wps:wsp>
                            <wps:cNvSpPr/>
                            <wps:spPr>
                              <a:xfrm>
                                <a:off x="0" y="0"/>
                                <a:ext cx="990600" cy="285750"/>
                              </a:xfrm>
                              <a:prstGeom prst="rect">
                                <a:avLst/>
                              </a:prstGeom>
                              <a:noFill/>
                              <a:ln>
                                <a:noFill/>
                              </a:ln>
                            </wps:spPr>
                            <wps:txbx>
                              <w:txbxContent>
                                <w:p w14:paraId="40C0A299">
                                  <w:pPr>
                                    <w:rPr>
                                      <w:rFonts w:hint="default" w:eastAsia="宋体"/>
                                      <w:sz w:val="18"/>
                                      <w:szCs w:val="18"/>
                                      <w:lang w:val="en-US" w:eastAsia="zh-CN"/>
                                    </w:rPr>
                                  </w:pPr>
                                  <w:r>
                                    <w:rPr>
                                      <w:rFonts w:hint="eastAsia" w:eastAsia="宋体"/>
                                      <w:sz w:val="18"/>
                                      <w:szCs w:val="18"/>
                                      <w:lang w:val="en-US" w:eastAsia="zh-CN"/>
                                    </w:rPr>
                                    <w:t>试压废水、噪声</w:t>
                                  </w:r>
                                </w:p>
                              </w:txbxContent>
                            </wps:txbx>
                            <wps:bodyPr vert="horz" wrap="square" anchor="t" anchorCtr="0" upright="1"/>
                          </wps:wsp>
                        </a:graphicData>
                      </a:graphic>
                    </wp:anchor>
                  </w:drawing>
                </mc:Choice>
                <mc:Fallback>
                  <w:pict>
                    <v:rect id="矩形 64" o:spid="_x0000_s1026" o:spt="1" style="position:absolute;left:0pt;margin-left:176.85pt;margin-top:11.6pt;height:22.5pt;width:78pt;z-index:251681792;mso-width-relative:page;mso-height-relative:page;" filled="f" stroked="f" coordsize="21600,21600" o:gfxdata="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zNHV/bAAAACQEAAA8AAAAAAAAAAQAgAAAAIgAAAGRycy9kb3du&#10;cmV2LnhtbFBLAQIUABQAAAAIAIdO4kB9lLBewwEAAHUDAAAOAAAAAAAAAAEAIAAAACoBAABkcnMv&#10;ZTJvRG9jLnhtbFBLBQYAAAAABgAGAFkBAABfBQAAAAA=&#10;">
                      <v:fill on="f" focussize="0,0"/>
                      <v:stroke on="f"/>
                      <v:imagedata o:title=""/>
                      <o:lock v:ext="edit" aspectratio="f"/>
                      <v:textbox>
                        <w:txbxContent>
                          <w:p w14:paraId="40C0A299">
                            <w:pPr>
                              <w:rPr>
                                <w:rFonts w:hint="default" w:eastAsia="宋体"/>
                                <w:sz w:val="18"/>
                                <w:szCs w:val="18"/>
                                <w:lang w:val="en-US" w:eastAsia="zh-CN"/>
                              </w:rPr>
                            </w:pPr>
                            <w:r>
                              <w:rPr>
                                <w:rFonts w:hint="eastAsia" w:eastAsia="宋体"/>
                                <w:sz w:val="18"/>
                                <w:szCs w:val="18"/>
                                <w:lang w:val="en-US" w:eastAsia="zh-CN"/>
                              </w:rPr>
                              <w:t>试压废水、噪声</w:t>
                            </w:r>
                          </w:p>
                        </w:txbxContent>
                      </v:textbox>
                    </v:rect>
                  </w:pict>
                </mc:Fallback>
              </mc:AlternateContent>
            </w:r>
            <w:r>
              <w:rPr>
                <w:color w:val="auto"/>
                <w:sz w:val="21"/>
                <w:highlight w:val="none"/>
              </w:rPr>
              <mc:AlternateContent>
                <mc:Choice Requires="wps">
                  <w:drawing>
                    <wp:anchor distT="0" distB="0" distL="114300" distR="114300" simplePos="0" relativeHeight="251680768" behindDoc="0" locked="0" layoutInCell="1" allowOverlap="1">
                      <wp:simplePos x="0" y="0"/>
                      <wp:positionH relativeFrom="column">
                        <wp:posOffset>3646170</wp:posOffset>
                      </wp:positionH>
                      <wp:positionV relativeFrom="paragraph">
                        <wp:posOffset>147320</wp:posOffset>
                      </wp:positionV>
                      <wp:extent cx="1056640" cy="285750"/>
                      <wp:effectExtent l="0" t="0" r="0" b="0"/>
                      <wp:wrapNone/>
                      <wp:docPr id="29" name="矩形 63"/>
                      <wp:cNvGraphicFramePr/>
                      <a:graphic xmlns:a="http://schemas.openxmlformats.org/drawingml/2006/main">
                        <a:graphicData uri="http://schemas.microsoft.com/office/word/2010/wordprocessingShape">
                          <wps:wsp>
                            <wps:cNvSpPr/>
                            <wps:spPr>
                              <a:xfrm>
                                <a:off x="0" y="0"/>
                                <a:ext cx="1056640" cy="285750"/>
                              </a:xfrm>
                              <a:prstGeom prst="rect">
                                <a:avLst/>
                              </a:prstGeom>
                              <a:noFill/>
                              <a:ln>
                                <a:noFill/>
                              </a:ln>
                            </wps:spPr>
                            <wps:txbx>
                              <w:txbxContent>
                                <w:p w14:paraId="7A263DEC">
                                  <w:pPr>
                                    <w:rPr>
                                      <w:rFonts w:hint="default" w:eastAsia="宋体"/>
                                      <w:sz w:val="18"/>
                                      <w:szCs w:val="18"/>
                                      <w:lang w:val="en-US" w:eastAsia="zh-CN"/>
                                    </w:rPr>
                                  </w:pPr>
                                  <w:r>
                                    <w:rPr>
                                      <w:rFonts w:hint="eastAsia"/>
                                      <w:sz w:val="18"/>
                                      <w:szCs w:val="18"/>
                                      <w:lang w:val="en-US" w:eastAsia="zh-CN"/>
                                    </w:rPr>
                                    <w:t>焊接烟尘、噪声</w:t>
                                  </w:r>
                                </w:p>
                              </w:txbxContent>
                            </wps:txbx>
                            <wps:bodyPr vert="horz" wrap="square" anchor="t" anchorCtr="0" upright="1"/>
                          </wps:wsp>
                        </a:graphicData>
                      </a:graphic>
                    </wp:anchor>
                  </w:drawing>
                </mc:Choice>
                <mc:Fallback>
                  <w:pict>
                    <v:rect id="矩形 63" o:spid="_x0000_s1026" o:spt="1" style="position:absolute;left:0pt;margin-left:287.1pt;margin-top:11.6pt;height:22.5pt;width:83.2pt;z-index:251680768;mso-width-relative:page;mso-height-relative:page;" filled="f" stroked="f" coordsize="21600,21600" o:gfxdata="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MYVgf2wAAAAkBAAAPAAAAAAAAAAEAIAAAACIAAABkcnMvZG93&#10;bnJldi54bWxQSwECFAAUAAAACACHTuJA56LAxcQBAAB2AwAADgAAAAAAAAABACAAAAAqAQAAZHJz&#10;L2Uyb0RvYy54bWxQSwUGAAAAAAYABgBZAQAAYAUAAAAA&#10;">
                      <v:fill on="f" focussize="0,0"/>
                      <v:stroke on="f"/>
                      <v:imagedata o:title=""/>
                      <o:lock v:ext="edit" aspectratio="f"/>
                      <v:textbox>
                        <w:txbxContent>
                          <w:p w14:paraId="7A263DEC">
                            <w:pPr>
                              <w:rPr>
                                <w:rFonts w:hint="default" w:eastAsia="宋体"/>
                                <w:sz w:val="18"/>
                                <w:szCs w:val="18"/>
                                <w:lang w:val="en-US" w:eastAsia="zh-CN"/>
                              </w:rPr>
                            </w:pPr>
                            <w:r>
                              <w:rPr>
                                <w:rFonts w:hint="eastAsia"/>
                                <w:sz w:val="18"/>
                                <w:szCs w:val="18"/>
                                <w:lang w:val="en-US" w:eastAsia="zh-CN"/>
                              </w:rPr>
                              <w:t>焊接烟尘、噪声</w:t>
                            </w:r>
                          </w:p>
                        </w:txbxContent>
                      </v:textbox>
                    </v:rect>
                  </w:pict>
                </mc:Fallback>
              </mc:AlternateContent>
            </w:r>
          </w:p>
          <w:p w14:paraId="51E115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bidi="ar"/>
              </w:rPr>
            </w:pPr>
          </w:p>
          <w:p w14:paraId="44DE586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图2-2    管廊施工流程及产排污节点</w:t>
            </w:r>
          </w:p>
          <w:p w14:paraId="5583C52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color w:val="auto"/>
                <w:kern w:val="0"/>
                <w:szCs w:val="21"/>
                <w:highlight w:val="none"/>
                <w:lang w:val="en-US" w:eastAsia="zh-CN"/>
              </w:rPr>
            </w:pPr>
          </w:p>
        </w:tc>
      </w:tr>
      <w:tr w14:paraId="63F63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710" w:type="dxa"/>
            <w:noWrap w:val="0"/>
            <w:vAlign w:val="center"/>
          </w:tcPr>
          <w:p w14:paraId="4F92228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510EBE1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113F37A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1419146F">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宋体" w:hAnsi="宋体" w:cs="宋体"/>
                <w:color w:val="auto"/>
                <w:kern w:val="0"/>
                <w:szCs w:val="21"/>
                <w:highlight w:val="none"/>
              </w:rPr>
            </w:pPr>
          </w:p>
          <w:p w14:paraId="5DE1D4E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59A175B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6817C6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2D4C4AE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68DBBCC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0CCF32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其他</w:t>
            </w:r>
          </w:p>
          <w:p w14:paraId="7B9A562C">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16ED2B5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282D107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5951F486">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241DC7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0349E57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kern w:val="0"/>
                <w:szCs w:val="21"/>
                <w:highlight w:val="none"/>
              </w:rPr>
            </w:pPr>
          </w:p>
          <w:p w14:paraId="27114125">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宋体" w:hAnsi="宋体" w:cs="宋体"/>
                <w:color w:val="auto"/>
                <w:kern w:val="0"/>
                <w:szCs w:val="21"/>
                <w:highlight w:val="none"/>
              </w:rPr>
            </w:pPr>
          </w:p>
          <w:p w14:paraId="1B360AB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宋体" w:hAnsi="宋体" w:cs="宋体"/>
                <w:color w:val="auto"/>
                <w:kern w:val="0"/>
                <w:szCs w:val="21"/>
                <w:highlight w:val="none"/>
              </w:rPr>
            </w:pPr>
          </w:p>
        </w:tc>
        <w:tc>
          <w:tcPr>
            <w:tcW w:w="8380" w:type="dxa"/>
            <w:noWrap w:val="0"/>
            <w:vAlign w:val="center"/>
          </w:tcPr>
          <w:p w14:paraId="7DF0000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无</w:t>
            </w:r>
          </w:p>
        </w:tc>
      </w:tr>
    </w:tbl>
    <w:p w14:paraId="46D15801">
      <w:pPr>
        <w:pStyle w:val="20"/>
        <w:jc w:val="center"/>
        <w:outlineLvl w:val="0"/>
        <w:rPr>
          <w:rFonts w:ascii="黑体" w:hAnsi="黑体" w:eastAsia="黑体"/>
          <w:snapToGrid w:val="0"/>
          <w:color w:val="auto"/>
          <w:sz w:val="30"/>
          <w:szCs w:val="30"/>
          <w:highlight w:val="none"/>
        </w:rPr>
      </w:pPr>
      <w:r>
        <w:rPr>
          <w:rFonts w:eastAsia="仿宋_GB2312"/>
          <w:b/>
          <w:bCs/>
          <w:color w:val="auto"/>
          <w:highlight w:val="none"/>
        </w:rPr>
        <w:br w:type="page"/>
      </w:r>
      <w:r>
        <w:rPr>
          <w:rFonts w:hint="eastAsia" w:ascii="黑体" w:hAnsi="黑体" w:eastAsia="黑体"/>
          <w:snapToGrid w:val="0"/>
          <w:color w:val="auto"/>
          <w:sz w:val="30"/>
          <w:szCs w:val="30"/>
          <w:highlight w:val="none"/>
        </w:rPr>
        <w:t>三、生态环境现状、保护目标及评价标准</w:t>
      </w:r>
    </w:p>
    <w:tbl>
      <w:tblPr>
        <w:tblStyle w:val="24"/>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8253"/>
      </w:tblGrid>
      <w:tr w14:paraId="51737B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2" w:hRule="atLeast"/>
          <w:jc w:val="center"/>
        </w:trPr>
        <w:tc>
          <w:tcPr>
            <w:tcW w:w="904" w:type="dxa"/>
            <w:noWrap w:val="0"/>
            <w:vAlign w:val="center"/>
          </w:tcPr>
          <w:p w14:paraId="75AFA75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生态环境现状</w:t>
            </w:r>
          </w:p>
        </w:tc>
        <w:tc>
          <w:tcPr>
            <w:tcW w:w="8253" w:type="dxa"/>
            <w:noWrap w:val="0"/>
            <w:vAlign w:val="top"/>
          </w:tcPr>
          <w:p w14:paraId="713BA536">
            <w:pPr>
              <w:pStyle w:val="2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1、生态环境现状调查</w:t>
            </w:r>
          </w:p>
          <w:p w14:paraId="5E0614BB">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 xml:space="preserve">本项目不涉及《建设项目环境影响报告表编制技术指南（生态影响类）》（试行）表1中生态类环境敏感区，不需要开展生态专项评价，生态环境现状调查参照《环境影响评价技术导则 </w:t>
            </w:r>
            <w:r>
              <w:rPr>
                <w:rFonts w:hint="default" w:ascii="Times New Roman" w:hAnsi="Times New Roman" w:eastAsia="宋体" w:cs="Times New Roman"/>
                <w:color w:val="auto"/>
                <w:sz w:val="21"/>
                <w:szCs w:val="21"/>
                <w:highlight w:val="none"/>
                <w:vertAlign w:val="baseline"/>
              </w:rPr>
              <w:t>生态影响</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vertAlign w:val="baseline"/>
              </w:rPr>
              <w:t>（HJ19-2022）</w:t>
            </w:r>
            <w:r>
              <w:rPr>
                <w:rFonts w:hint="default" w:ascii="Times New Roman" w:hAnsi="Times New Roman" w:eastAsia="宋体" w:cs="Times New Roman"/>
                <w:color w:val="auto"/>
                <w:sz w:val="21"/>
                <w:szCs w:val="21"/>
                <w:highlight w:val="none"/>
                <w:vertAlign w:val="baseline"/>
                <w:lang w:val="en-US" w:eastAsia="zh-CN"/>
              </w:rPr>
              <w:t>开展。经对照导则要求，本项目</w:t>
            </w:r>
            <w:r>
              <w:rPr>
                <w:rFonts w:hint="eastAsia" w:ascii="Times New Roman" w:hAnsi="Times New Roman" w:eastAsia="宋体" w:cs="Times New Roman"/>
                <w:color w:val="auto"/>
                <w:sz w:val="21"/>
                <w:szCs w:val="21"/>
                <w:highlight w:val="none"/>
                <w:vertAlign w:val="baseline"/>
                <w:lang w:val="en-US" w:eastAsia="zh-CN"/>
              </w:rPr>
              <w:t>位于已批准规划环评的产业园区内且符合</w:t>
            </w:r>
            <w:r>
              <w:rPr>
                <w:rFonts w:hint="eastAsia" w:ascii="宋体" w:hAnsi="宋体" w:eastAsia="宋体" w:cs="宋体"/>
                <w:color w:val="auto"/>
                <w:kern w:val="0"/>
                <w:sz w:val="21"/>
                <w:szCs w:val="21"/>
                <w:highlight w:val="none"/>
                <w:lang w:val="en-US" w:eastAsia="zh-CN" w:bidi="ar"/>
              </w:rPr>
              <w:t>规划环评要求、不涉及生态敏感区的污染影响类建设项目</w:t>
            </w:r>
            <w:r>
              <w:rPr>
                <w:rFonts w:hint="eastAsia" w:eastAsia="宋体"/>
                <w:color w:val="auto"/>
                <w:sz w:val="21"/>
                <w:szCs w:val="21"/>
                <w:highlight w:val="none"/>
                <w:lang w:eastAsia="zh-CN"/>
              </w:rPr>
              <w:t>，</w:t>
            </w:r>
            <w:r>
              <w:rPr>
                <w:rFonts w:hint="eastAsia" w:ascii="Times New Roman" w:hAnsi="Times New Roman" w:eastAsia="宋体" w:cs="Times New Roman"/>
                <w:color w:val="auto"/>
                <w:sz w:val="21"/>
                <w:szCs w:val="21"/>
                <w:highlight w:val="none"/>
                <w:vertAlign w:val="baseline"/>
                <w:lang w:val="en-US" w:eastAsia="zh-CN"/>
              </w:rPr>
              <w:t>满足生态影响简单分析要求，因此生态环境现状调查以收集现有资料为主</w:t>
            </w:r>
            <w:r>
              <w:rPr>
                <w:rFonts w:hint="default" w:ascii="Times New Roman" w:hAnsi="Times New Roman" w:eastAsia="宋体" w:cs="Times New Roman"/>
                <w:color w:val="auto"/>
                <w:sz w:val="21"/>
                <w:szCs w:val="21"/>
                <w:highlight w:val="none"/>
                <w:vertAlign w:val="baseline"/>
                <w:lang w:val="en-US" w:eastAsia="zh-CN"/>
              </w:rPr>
              <w:t>。</w:t>
            </w:r>
          </w:p>
          <w:p w14:paraId="0DAC4969">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（1）主体功能区划</w:t>
            </w:r>
          </w:p>
          <w:p w14:paraId="761029E4">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对照《内蒙古自治区主体功能区规划》，本项目位于</w:t>
            </w:r>
            <w:r>
              <w:rPr>
                <w:rFonts w:hint="eastAsia" w:ascii="Times New Roman" w:hAnsi="Times New Roman" w:eastAsia="宋体" w:cs="Times New Roman"/>
                <w:color w:val="auto"/>
                <w:sz w:val="21"/>
                <w:szCs w:val="21"/>
                <w:highlight w:val="none"/>
                <w:lang w:val="en-US" w:eastAsia="zh-CN"/>
              </w:rPr>
              <w:t>乌审旗</w:t>
            </w:r>
            <w:r>
              <w:rPr>
                <w:rFonts w:hint="default" w:ascii="Times New Roman" w:hAnsi="Times New Roman" w:eastAsia="宋体" w:cs="Times New Roman"/>
                <w:color w:val="auto"/>
                <w:sz w:val="21"/>
                <w:szCs w:val="21"/>
                <w:highlight w:val="none"/>
                <w:lang w:val="en-US" w:eastAsia="zh-CN"/>
              </w:rPr>
              <w:t>，属于《内蒙古自治区主体功能区规划》中的国家级重点开发区域。本项目在主体功能区划图中的位置见附图</w:t>
            </w:r>
            <w:r>
              <w:rPr>
                <w:rFonts w:hint="eastAsia"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lang w:val="en-US" w:eastAsia="zh-CN"/>
              </w:rPr>
              <w:t>。</w:t>
            </w:r>
          </w:p>
          <w:p w14:paraId="0400336F">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（2）生态功能区划</w:t>
            </w:r>
          </w:p>
          <w:p w14:paraId="289A5AFC">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根据《鄂尔多斯市生态功能区划》，</w:t>
            </w:r>
            <w:r>
              <w:rPr>
                <w:rFonts w:hint="eastAsia" w:ascii="Times New Roman" w:hAnsi="Times New Roman" w:eastAsia="宋体" w:cs="Times New Roman"/>
                <w:color w:val="auto"/>
                <w:sz w:val="21"/>
                <w:szCs w:val="21"/>
                <w:highlight w:val="none"/>
                <w:lang w:val="en-US" w:eastAsia="zh-CN"/>
              </w:rPr>
              <w:t>项目所在</w:t>
            </w:r>
            <w:r>
              <w:rPr>
                <w:rFonts w:hint="default" w:ascii="Times New Roman" w:hAnsi="Times New Roman" w:eastAsia="宋体" w:cs="Times New Roman"/>
                <w:color w:val="auto"/>
                <w:sz w:val="21"/>
                <w:szCs w:val="21"/>
                <w:highlight w:val="none"/>
                <w:lang w:val="en-US" w:eastAsia="zh-CN"/>
              </w:rPr>
              <w:t>区域属于</w:t>
            </w:r>
            <w:r>
              <w:rPr>
                <w:rFonts w:hint="eastAsia" w:ascii="Times New Roman" w:hAnsi="Times New Roman" w:eastAsia="宋体" w:cs="Times New Roman"/>
                <w:color w:val="auto"/>
                <w:sz w:val="21"/>
                <w:szCs w:val="21"/>
                <w:highlight w:val="none"/>
                <w:lang w:val="en-US" w:eastAsia="zh-CN"/>
              </w:rPr>
              <w:t>毛乌素沙地植被防风固沙</w:t>
            </w:r>
            <w:r>
              <w:rPr>
                <w:rFonts w:hint="default" w:ascii="Times New Roman" w:hAnsi="Times New Roman" w:eastAsia="宋体" w:cs="Times New Roman"/>
                <w:color w:val="auto"/>
                <w:sz w:val="21"/>
                <w:szCs w:val="21"/>
                <w:highlight w:val="none"/>
                <w:lang w:val="en-US" w:eastAsia="zh-CN"/>
              </w:rPr>
              <w:t>生态功能区，具体位置见附图</w:t>
            </w:r>
            <w:r>
              <w:rPr>
                <w:rFonts w:hint="eastAsia" w:ascii="Times New Roman" w:hAnsi="Times New Roman" w:eastAsia="宋体" w:cs="Times New Roman"/>
                <w:color w:val="auto"/>
                <w:sz w:val="21"/>
                <w:szCs w:val="21"/>
                <w:highlight w:val="none"/>
                <w:lang w:val="en-US" w:eastAsia="zh-CN"/>
              </w:rPr>
              <w:t>10</w:t>
            </w:r>
            <w:r>
              <w:rPr>
                <w:rFonts w:hint="default" w:ascii="Times New Roman" w:hAnsi="Times New Roman" w:eastAsia="宋体" w:cs="Times New Roman"/>
                <w:color w:val="auto"/>
                <w:sz w:val="21"/>
                <w:szCs w:val="21"/>
                <w:highlight w:val="none"/>
                <w:lang w:val="en-US" w:eastAsia="zh-CN"/>
              </w:rPr>
              <w:t>。经过现场踏勘，项目选址</w:t>
            </w:r>
            <w:r>
              <w:rPr>
                <w:rFonts w:hint="eastAsia" w:ascii="Times New Roman" w:hAnsi="Times New Roman" w:eastAsia="宋体" w:cs="Times New Roman"/>
                <w:color w:val="auto"/>
                <w:sz w:val="21"/>
                <w:szCs w:val="21"/>
                <w:highlight w:val="none"/>
                <w:lang w:val="en-US" w:eastAsia="zh-CN"/>
              </w:rPr>
              <w:t>位于苏里格经济开发区图克工业项目区内，</w:t>
            </w:r>
            <w:r>
              <w:rPr>
                <w:rFonts w:hint="default" w:ascii="Times New Roman" w:hAnsi="Times New Roman" w:eastAsia="宋体" w:cs="Times New Roman"/>
                <w:color w:val="auto"/>
                <w:sz w:val="21"/>
                <w:szCs w:val="21"/>
                <w:highlight w:val="none"/>
                <w:lang w:val="en-US" w:eastAsia="zh-CN"/>
              </w:rPr>
              <w:t>周边无国家级和地方重点保护野生动植物集中分布区或栖息地、国家级和自治区级自然保护区以及其他类型的保护区域。</w:t>
            </w:r>
          </w:p>
          <w:p w14:paraId="747582A9">
            <w:pPr>
              <w:pStyle w:val="14"/>
              <w:keepNext w:val="0"/>
              <w:keepLines w:val="0"/>
              <w:pageBreakBefore w:val="0"/>
              <w:widowControl w:val="0"/>
              <w:kinsoku/>
              <w:wordWrap/>
              <w:overflowPunct/>
              <w:topLinePunct w:val="0"/>
              <w:autoSpaceDE/>
              <w:autoSpaceDN/>
              <w:bidi w:val="0"/>
              <w:adjustRightInd/>
              <w:snapToGrid w:val="0"/>
              <w:spacing w:line="360" w:lineRule="auto"/>
              <w:ind w:leftChars="0" w:firstLine="420" w:firstLineChars="200"/>
              <w:textAlignment w:val="auto"/>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（3）土地利用类型</w:t>
            </w:r>
          </w:p>
          <w:p w14:paraId="4027E4EA">
            <w:pPr>
              <w:keepNext w:val="0"/>
              <w:keepLines w:val="0"/>
              <w:pageBreakBefore w:val="0"/>
              <w:widowControl/>
              <w:suppressLineNumbers w:val="0"/>
              <w:kinsoku/>
              <w:wordWrap/>
              <w:overflowPunct/>
              <w:topLinePunct w:val="0"/>
              <w:autoSpaceDE/>
              <w:autoSpaceDN/>
              <w:bidi w:val="0"/>
              <w:adjustRightInd/>
              <w:snapToGrid/>
              <w:spacing w:line="360" w:lineRule="auto"/>
              <w:ind w:leftChars="0" w:firstLine="420" w:firstLineChars="200"/>
              <w:jc w:val="left"/>
              <w:textAlignment w:val="auto"/>
              <w:rPr>
                <w:rFonts w:hint="eastAsia"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园区</w:t>
            </w:r>
            <w:r>
              <w:rPr>
                <w:color w:val="auto"/>
                <w:sz w:val="21"/>
                <w:szCs w:val="21"/>
                <w:highlight w:val="none"/>
              </w:rPr>
              <w:t>现状土地利用以天然牧草地为主，其次是耕地，以旱地为主，其它用地较少。</w:t>
            </w:r>
            <w:r>
              <w:rPr>
                <w:rFonts w:hint="default" w:ascii="Times New Roman" w:hAnsi="Times New Roman" w:eastAsia="宋体" w:cs="Times New Roman"/>
                <w:color w:val="auto"/>
                <w:sz w:val="21"/>
                <w:szCs w:val="21"/>
                <w:highlight w:val="none"/>
                <w:vertAlign w:val="baseline"/>
                <w:lang w:val="en-US" w:eastAsia="zh-CN"/>
              </w:rPr>
              <w:t>根据</w:t>
            </w:r>
            <w:r>
              <w:rPr>
                <w:rFonts w:hint="default" w:ascii="Times New Roman" w:hAnsi="Times New Roman" w:eastAsia="宋体" w:cs="Times New Roman"/>
                <w:color w:val="auto"/>
                <w:sz w:val="21"/>
                <w:szCs w:val="21"/>
                <w:highlight w:val="none"/>
              </w:rPr>
              <w:t>乌审旗土地利用总体规划图</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本项目</w:t>
            </w:r>
            <w:r>
              <w:rPr>
                <w:rFonts w:hint="eastAsia" w:ascii="Times New Roman" w:hAnsi="Times New Roman" w:eastAsia="宋体" w:cs="Times New Roman"/>
                <w:color w:val="auto"/>
                <w:sz w:val="21"/>
                <w:szCs w:val="21"/>
                <w:highlight w:val="none"/>
                <w:lang w:val="en-US" w:eastAsia="zh-CN"/>
              </w:rPr>
              <w:t>中试基地用地</w:t>
            </w:r>
            <w:r>
              <w:rPr>
                <w:rFonts w:hint="default" w:ascii="Times New Roman" w:hAnsi="Times New Roman" w:eastAsia="宋体" w:cs="Times New Roman"/>
                <w:color w:val="auto"/>
                <w:sz w:val="21"/>
                <w:szCs w:val="21"/>
                <w:highlight w:val="none"/>
                <w:lang w:val="en-US" w:eastAsia="zh-CN"/>
              </w:rPr>
              <w:t>土地现状为牧草地，规划用途为新增建设用地</w:t>
            </w:r>
            <w:r>
              <w:rPr>
                <w:rFonts w:hint="eastAsia" w:ascii="Times New Roman" w:hAnsi="Times New Roman" w:eastAsia="宋体" w:cs="Times New Roman"/>
                <w:color w:val="auto"/>
                <w:sz w:val="21"/>
                <w:szCs w:val="21"/>
                <w:highlight w:val="none"/>
                <w:lang w:val="en-US" w:eastAsia="zh-CN"/>
              </w:rPr>
              <w:t>；外部管廊跨越防护绿地（道路两侧绿化带）和交通道路用地。</w:t>
            </w:r>
          </w:p>
          <w:p w14:paraId="28D3D62D">
            <w:pPr>
              <w:keepNext w:val="0"/>
              <w:keepLines w:val="0"/>
              <w:pageBreakBefore w:val="0"/>
              <w:widowControl/>
              <w:suppressLineNumbers w:val="0"/>
              <w:kinsoku/>
              <w:wordWrap/>
              <w:overflowPunct/>
              <w:topLinePunct w:val="0"/>
              <w:autoSpaceDE/>
              <w:autoSpaceDN/>
              <w:bidi w:val="0"/>
              <w:adjustRightInd/>
              <w:snapToGrid/>
              <w:spacing w:line="360" w:lineRule="auto"/>
              <w:ind w:leftChars="0" w:firstLine="420" w:firstLineChars="200"/>
              <w:jc w:val="left"/>
              <w:textAlignment w:val="auto"/>
              <w:rPr>
                <w:color w:val="auto"/>
                <w:sz w:val="21"/>
                <w:szCs w:val="21"/>
                <w:highlight w:val="none"/>
              </w:rPr>
            </w:pPr>
            <w:r>
              <w:rPr>
                <w:rFonts w:ascii="宋体" w:hAnsi="宋体" w:eastAsia="宋体" w:cs="宋体"/>
                <w:color w:val="auto"/>
                <w:kern w:val="0"/>
                <w:sz w:val="21"/>
                <w:szCs w:val="21"/>
                <w:highlight w:val="none"/>
                <w:lang w:val="en-US" w:eastAsia="zh-CN" w:bidi="ar"/>
              </w:rPr>
              <w:t>经实地调查可知，本项目评价范围内土地利用以工业用地为主，对应的生态系统类型为工业生态系统；该生态系统具有人为干扰程度强烈的特点，且已形成较为稳定的人工生态系统，同时受人类活动影响明显。</w:t>
            </w:r>
          </w:p>
          <w:p w14:paraId="1AA57721">
            <w:pPr>
              <w:pStyle w:val="14"/>
              <w:keepNext w:val="0"/>
              <w:keepLines w:val="0"/>
              <w:pageBreakBefore w:val="0"/>
              <w:widowControl w:val="0"/>
              <w:kinsoku/>
              <w:wordWrap/>
              <w:overflowPunct/>
              <w:topLinePunct w:val="0"/>
              <w:autoSpaceDE/>
              <w:autoSpaceDN/>
              <w:bidi w:val="0"/>
              <w:adjustRightInd/>
              <w:snapToGrid w:val="0"/>
              <w:spacing w:line="360" w:lineRule="auto"/>
              <w:ind w:leftChars="0" w:firstLine="420" w:firstLineChars="200"/>
              <w:textAlignment w:val="auto"/>
              <w:rPr>
                <w:rFonts w:hint="default"/>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（4）植被类型</w:t>
            </w:r>
          </w:p>
          <w:p w14:paraId="0AA420D7">
            <w:pPr>
              <w:keepNext w:val="0"/>
              <w:keepLines w:val="0"/>
              <w:pageBreakBefore w:val="0"/>
              <w:kinsoku/>
              <w:wordWrap/>
              <w:overflowPunct/>
              <w:topLinePunct w:val="0"/>
              <w:autoSpaceDE/>
              <w:autoSpaceDN/>
              <w:bidi w:val="0"/>
              <w:adjustRightInd/>
              <w:spacing w:line="360" w:lineRule="auto"/>
              <w:ind w:leftChars="0" w:firstLine="482"/>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图克工业项目区属</w:t>
            </w:r>
            <w:r>
              <w:rPr>
                <w:color w:val="auto"/>
                <w:sz w:val="21"/>
                <w:szCs w:val="21"/>
                <w:highlight w:val="none"/>
              </w:rPr>
              <w:t>毛乌素沙地防风固沙生态功能恢复重建区。毛乌素沙地中半固定、固定沙丘面积占近一半，其上普遍生长着油蒿灌丛，丘间低地分布着中生性的柳湾林，由乌柳、沙柳和酸刺组成。</w:t>
            </w:r>
            <w:r>
              <w:rPr>
                <w:rFonts w:hint="eastAsia"/>
                <w:color w:val="auto"/>
                <w:sz w:val="21"/>
                <w:szCs w:val="21"/>
                <w:highlight w:val="none"/>
                <w:lang w:val="en-US" w:eastAsia="zh-CN"/>
              </w:rPr>
              <w:t>本项目占地范围植被类型为</w:t>
            </w:r>
            <w:r>
              <w:rPr>
                <w:color w:val="auto"/>
                <w:kern w:val="0"/>
                <w:sz w:val="21"/>
                <w:szCs w:val="21"/>
                <w:highlight w:val="none"/>
              </w:rPr>
              <w:t>油蒿+柠条群落、油蒿+沙柳群落</w:t>
            </w:r>
            <w:r>
              <w:rPr>
                <w:rFonts w:hint="eastAsia"/>
                <w:color w:val="auto"/>
                <w:kern w:val="0"/>
                <w:sz w:val="21"/>
                <w:szCs w:val="21"/>
                <w:highlight w:val="none"/>
                <w:lang w:eastAsia="zh-CN"/>
              </w:rPr>
              <w:t>。</w:t>
            </w:r>
          </w:p>
          <w:p w14:paraId="32E05286">
            <w:pPr>
              <w:spacing w:line="360" w:lineRule="auto"/>
              <w:ind w:firstLine="422" w:firstLineChars="200"/>
              <w:rPr>
                <w:b/>
                <w:color w:val="auto"/>
                <w:sz w:val="21"/>
                <w:szCs w:val="21"/>
                <w:highlight w:val="none"/>
              </w:rPr>
            </w:pPr>
            <w:r>
              <w:rPr>
                <w:rFonts w:hint="eastAsia"/>
                <w:b/>
                <w:color w:val="auto"/>
                <w:sz w:val="21"/>
                <w:szCs w:val="21"/>
                <w:highlight w:val="none"/>
                <w:lang w:val="en-US" w:eastAsia="zh-CN"/>
              </w:rPr>
              <w:t>2</w:t>
            </w:r>
            <w:r>
              <w:rPr>
                <w:b/>
                <w:color w:val="auto"/>
                <w:sz w:val="21"/>
                <w:szCs w:val="21"/>
                <w:highlight w:val="none"/>
              </w:rPr>
              <w:t>、环境空气质量现状</w:t>
            </w:r>
          </w:p>
          <w:p w14:paraId="0FB2E2FD">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color w:val="auto"/>
                <w:kern w:val="0"/>
                <w:sz w:val="21"/>
                <w:szCs w:val="21"/>
                <w:highlight w:val="none"/>
                <w:lang w:bidi="ar"/>
              </w:rPr>
            </w:pPr>
            <w:r>
              <w:rPr>
                <w:color w:val="auto"/>
                <w:kern w:val="0"/>
                <w:sz w:val="21"/>
                <w:szCs w:val="21"/>
                <w:highlight w:val="none"/>
                <w:lang w:bidi="ar"/>
              </w:rPr>
              <w:t>根据内蒙古自治区生态环境厅于202</w:t>
            </w:r>
            <w:r>
              <w:rPr>
                <w:rFonts w:hint="eastAsia"/>
                <w:color w:val="auto"/>
                <w:kern w:val="0"/>
                <w:sz w:val="21"/>
                <w:szCs w:val="21"/>
                <w:highlight w:val="none"/>
                <w:lang w:val="en-US" w:eastAsia="zh-CN" w:bidi="ar"/>
              </w:rPr>
              <w:t>5</w:t>
            </w:r>
            <w:r>
              <w:rPr>
                <w:color w:val="auto"/>
                <w:kern w:val="0"/>
                <w:sz w:val="21"/>
                <w:szCs w:val="21"/>
                <w:highlight w:val="none"/>
                <w:lang w:bidi="ar"/>
              </w:rPr>
              <w:t>年</w:t>
            </w:r>
            <w:r>
              <w:rPr>
                <w:rFonts w:hint="eastAsia"/>
                <w:color w:val="auto"/>
                <w:kern w:val="0"/>
                <w:sz w:val="21"/>
                <w:szCs w:val="21"/>
                <w:highlight w:val="none"/>
                <w:lang w:val="en-US" w:eastAsia="zh-CN" w:bidi="ar"/>
              </w:rPr>
              <w:t>6</w:t>
            </w:r>
            <w:r>
              <w:rPr>
                <w:color w:val="auto"/>
                <w:kern w:val="0"/>
                <w:sz w:val="21"/>
                <w:szCs w:val="21"/>
                <w:highlight w:val="none"/>
                <w:lang w:bidi="ar"/>
              </w:rPr>
              <w:t>月</w:t>
            </w:r>
            <w:r>
              <w:rPr>
                <w:rFonts w:hint="eastAsia"/>
                <w:color w:val="auto"/>
                <w:kern w:val="0"/>
                <w:sz w:val="21"/>
                <w:szCs w:val="21"/>
                <w:highlight w:val="none"/>
                <w:lang w:val="en-US" w:eastAsia="zh-CN" w:bidi="ar"/>
              </w:rPr>
              <w:t>4</w:t>
            </w:r>
            <w:r>
              <w:rPr>
                <w:color w:val="auto"/>
                <w:kern w:val="0"/>
                <w:sz w:val="21"/>
                <w:szCs w:val="21"/>
                <w:highlight w:val="none"/>
                <w:lang w:bidi="ar"/>
              </w:rPr>
              <w:t>日公布的《202</w:t>
            </w:r>
            <w:r>
              <w:rPr>
                <w:rFonts w:hint="eastAsia"/>
                <w:color w:val="auto"/>
                <w:kern w:val="0"/>
                <w:sz w:val="21"/>
                <w:szCs w:val="21"/>
                <w:highlight w:val="none"/>
                <w:lang w:val="en-US" w:eastAsia="zh-CN" w:bidi="ar"/>
              </w:rPr>
              <w:t>4</w:t>
            </w:r>
            <w:r>
              <w:rPr>
                <w:color w:val="auto"/>
                <w:kern w:val="0"/>
                <w:sz w:val="21"/>
                <w:szCs w:val="21"/>
                <w:highlight w:val="none"/>
                <w:lang w:bidi="ar"/>
              </w:rPr>
              <w:t>年内蒙古自治区生态环境状况公报》，本项目位于鄂尔多斯市</w:t>
            </w:r>
            <w:r>
              <w:rPr>
                <w:rFonts w:hint="eastAsia"/>
                <w:color w:val="auto"/>
                <w:kern w:val="0"/>
                <w:sz w:val="21"/>
                <w:szCs w:val="21"/>
                <w:highlight w:val="none"/>
                <w:lang w:val="en-US" w:eastAsia="zh-CN" w:bidi="ar"/>
              </w:rPr>
              <w:t>乌审旗</w:t>
            </w:r>
            <w:r>
              <w:rPr>
                <w:color w:val="auto"/>
                <w:kern w:val="0"/>
                <w:sz w:val="21"/>
                <w:szCs w:val="21"/>
                <w:highlight w:val="none"/>
                <w:lang w:bidi="ar"/>
              </w:rPr>
              <w:t>，属于环境空气质量达标区。</w:t>
            </w:r>
          </w:p>
          <w:p w14:paraId="70DD4533">
            <w:pPr>
              <w:pStyle w:val="22"/>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本项目为</w:t>
            </w:r>
            <w:r>
              <w:rPr>
                <w:rFonts w:hint="eastAsia" w:ascii="Times New Roman" w:hAnsi="Times New Roman" w:eastAsia="宋体" w:cs="Times New Roman"/>
                <w:color w:val="auto"/>
                <w:kern w:val="0"/>
                <w:sz w:val="21"/>
                <w:szCs w:val="21"/>
                <w:highlight w:val="none"/>
                <w:lang w:val="en-US" w:eastAsia="zh-CN" w:bidi="ar"/>
              </w:rPr>
              <w:t>中试基地</w:t>
            </w:r>
            <w:r>
              <w:rPr>
                <w:rFonts w:hint="default" w:ascii="Times New Roman" w:hAnsi="Times New Roman" w:eastAsia="宋体" w:cs="Times New Roman"/>
                <w:color w:val="auto"/>
                <w:kern w:val="0"/>
                <w:sz w:val="21"/>
                <w:szCs w:val="21"/>
                <w:highlight w:val="none"/>
                <w:lang w:val="en-US" w:eastAsia="zh-CN" w:bidi="ar"/>
              </w:rPr>
              <w:t>基础设施建设</w:t>
            </w:r>
            <w:r>
              <w:rPr>
                <w:rFonts w:hint="eastAsia" w:ascii="Times New Roman" w:hAnsi="Times New Roman" w:eastAsia="宋体" w:cs="Times New Roman"/>
                <w:color w:val="auto"/>
                <w:kern w:val="0"/>
                <w:sz w:val="21"/>
                <w:szCs w:val="21"/>
                <w:highlight w:val="none"/>
                <w:lang w:val="en-US" w:eastAsia="zh-CN" w:bidi="ar"/>
              </w:rPr>
              <w:t>工程</w:t>
            </w:r>
            <w:r>
              <w:rPr>
                <w:rFonts w:hint="default" w:ascii="Times New Roman" w:hAnsi="Times New Roman" w:eastAsia="宋体" w:cs="Times New Roman"/>
                <w:color w:val="auto"/>
                <w:kern w:val="0"/>
                <w:sz w:val="21"/>
                <w:szCs w:val="21"/>
                <w:highlight w:val="none"/>
                <w:lang w:val="en-US" w:eastAsia="zh-CN" w:bidi="ar"/>
              </w:rPr>
              <w:t>，本身不产生废气排放。基地内的危废库主要为后续入驻中试项目提供危险废物贮存的指定场所，现阶段基地内无实际入驻项目，因此贮存的危险废物种类、数量、性质均无法确定，贮存废物是否产生粉尘、VOCs、酸雾、有毒有害及刺激性大气污染物也无法确定，因此本项目不开展环境空气质量现状监测。</w:t>
            </w:r>
          </w:p>
          <w:p w14:paraId="0F057D2A">
            <w:pPr>
              <w:pStyle w:val="22"/>
              <w:keepNext w:val="0"/>
              <w:keepLines w:val="0"/>
              <w:pageBreakBefore w:val="0"/>
              <w:kinsoku/>
              <w:wordWrap/>
              <w:overflowPunct/>
              <w:topLinePunct w:val="0"/>
              <w:autoSpaceDE/>
              <w:autoSpaceDN/>
              <w:bidi w:val="0"/>
              <w:adjustRightInd/>
              <w:snapToGrid/>
              <w:spacing w:after="0" w:line="360" w:lineRule="auto"/>
              <w:ind w:firstLine="420" w:firstLineChars="200"/>
              <w:jc w:val="both"/>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后续入驻中试基地的中试项目均须开展单独的环境影响评价，届时根据实际项目产生的危废性质，开展大气特征因子监测，并纳入具体项目环评。</w:t>
            </w:r>
          </w:p>
          <w:p w14:paraId="751A199C">
            <w:pPr>
              <w:pStyle w:val="51"/>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center"/>
              <w:rPr>
                <w:rFonts w:hint="default" w:ascii="Times New Roman" w:hAnsi="Times New Roman" w:eastAsia="宋体" w:cs="Times New Roman"/>
                <w:b/>
                <w:bCs/>
                <w:color w:val="auto"/>
                <w:sz w:val="21"/>
                <w:szCs w:val="21"/>
                <w:highlight w:val="none"/>
                <w:lang w:val="en-US" w:eastAsia="zh-CN"/>
              </w:rPr>
            </w:pPr>
            <w:r>
              <w:rPr>
                <w:rFonts w:hint="eastAsia" w:ascii="Times New Roman" w:eastAsia="宋体" w:cs="Times New Roman"/>
                <w:b/>
                <w:bCs/>
                <w:color w:val="auto"/>
                <w:sz w:val="21"/>
                <w:szCs w:val="21"/>
                <w:highlight w:val="none"/>
                <w:lang w:val="en-US" w:eastAsia="zh-CN"/>
              </w:rPr>
              <w:t>3</w:t>
            </w:r>
            <w:r>
              <w:rPr>
                <w:rFonts w:hint="eastAsia" w:ascii="Times New Roman" w:hAnsi="Times New Roman" w:eastAsia="宋体" w:cs="Times New Roman"/>
                <w:b/>
                <w:bCs/>
                <w:color w:val="auto"/>
                <w:sz w:val="21"/>
                <w:szCs w:val="21"/>
                <w:highlight w:val="none"/>
                <w:lang w:val="en-US" w:eastAsia="zh-CN"/>
              </w:rPr>
              <w:t>、声环境现状</w:t>
            </w:r>
          </w:p>
          <w:p w14:paraId="1713B818">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本项目厂址外50m范围内无声环境敏感目标，故</w:t>
            </w:r>
            <w:r>
              <w:rPr>
                <w:rFonts w:hint="default" w:ascii="Times New Roman" w:hAnsi="Times New Roman" w:eastAsia="宋体" w:cs="Times New Roman"/>
                <w:color w:val="auto"/>
                <w:kern w:val="0"/>
                <w:sz w:val="21"/>
                <w:szCs w:val="21"/>
                <w:highlight w:val="none"/>
                <w:lang w:val="en-US" w:eastAsia="zh-CN" w:bidi="ar"/>
              </w:rPr>
              <w:t>根据《建设项目环境影响报告表编制指南（污染影响类）》规定未开展声环境现状监测。</w:t>
            </w:r>
          </w:p>
          <w:p w14:paraId="0EAD1F4D">
            <w:pPr>
              <w:spacing w:line="360" w:lineRule="auto"/>
              <w:ind w:firstLine="422" w:firstLineChars="200"/>
              <w:rPr>
                <w:rFonts w:hint="default" w:ascii="Times New Roman" w:hAnsi="Times New Roman" w:eastAsia="宋体" w:cs="Times New Roman"/>
                <w:b/>
                <w:color w:val="auto"/>
                <w:kern w:val="21"/>
                <w:sz w:val="21"/>
                <w:szCs w:val="21"/>
                <w:highlight w:val="none"/>
              </w:rPr>
            </w:pPr>
            <w:r>
              <w:rPr>
                <w:rFonts w:hint="eastAsia" w:ascii="Times New Roman" w:hAnsi="Times New Roman" w:eastAsia="宋体" w:cs="Times New Roman"/>
                <w:b/>
                <w:color w:val="auto"/>
                <w:kern w:val="21"/>
                <w:sz w:val="21"/>
                <w:szCs w:val="21"/>
                <w:highlight w:val="none"/>
                <w:lang w:val="en-US" w:eastAsia="zh-CN"/>
              </w:rPr>
              <w:t>4</w:t>
            </w:r>
            <w:r>
              <w:rPr>
                <w:rFonts w:hint="default" w:ascii="Times New Roman" w:hAnsi="Times New Roman" w:eastAsia="宋体" w:cs="Times New Roman"/>
                <w:b/>
                <w:color w:val="auto"/>
                <w:kern w:val="21"/>
                <w:sz w:val="21"/>
                <w:szCs w:val="21"/>
                <w:highlight w:val="none"/>
              </w:rPr>
              <w:t>、土壤环境现状</w:t>
            </w:r>
          </w:p>
          <w:p w14:paraId="5802E57B">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鉴于本项目为煤化工中试基地基础设施建设工程，基础设施工程运营期本身不产生污染物，且各标准化厂房、库房、危废库及地下水池均采取了硬化与防渗措施，正常工况下不存在污染途径，因此不存在污染土壤的途径，故不开展土壤现状监测。</w:t>
            </w:r>
          </w:p>
          <w:p w14:paraId="10CA5A8B">
            <w:pPr>
              <w:pStyle w:val="51"/>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center"/>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基地后续入驻的中试项目单独开展环评并根据项目类型开展土壤现状监测。</w:t>
            </w:r>
          </w:p>
          <w:p w14:paraId="1D5E3495">
            <w:pPr>
              <w:pStyle w:val="51"/>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center"/>
              <w:rPr>
                <w:rFonts w:hint="default" w:ascii="Times New Roman" w:hAnsi="Times New Roman" w:eastAsia="宋体" w:cs="Times New Roman"/>
                <w:b/>
                <w:bCs/>
                <w:color w:val="auto"/>
                <w:sz w:val="21"/>
                <w:szCs w:val="21"/>
                <w:highlight w:val="none"/>
                <w:lang w:val="en-US" w:eastAsia="zh-CN"/>
              </w:rPr>
            </w:pPr>
            <w:r>
              <w:rPr>
                <w:rFonts w:hint="eastAsia" w:ascii="Times New Roman" w:eastAsia="宋体"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lang w:val="en-US" w:eastAsia="zh-CN"/>
              </w:rPr>
              <w:t>、地下水环境现状</w:t>
            </w:r>
          </w:p>
          <w:p w14:paraId="25562274">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r>
              <w:rPr>
                <w:rFonts w:hint="eastAsia" w:ascii="Times New Roman" w:hAnsi="Times New Roman" w:cs="Times New Roman"/>
                <w:snapToGrid w:val="0"/>
                <w:color w:val="auto"/>
                <w:kern w:val="0"/>
                <w:sz w:val="21"/>
                <w:szCs w:val="21"/>
                <w:highlight w:val="none"/>
                <w:lang w:val="en-US" w:eastAsia="zh-CN"/>
              </w:rPr>
              <w:t>本</w:t>
            </w:r>
            <w:r>
              <w:rPr>
                <w:rFonts w:hint="default" w:ascii="Times New Roman" w:hAnsi="Times New Roman" w:cs="Times New Roman"/>
                <w:snapToGrid w:val="0"/>
                <w:color w:val="auto"/>
                <w:kern w:val="0"/>
                <w:sz w:val="21"/>
                <w:szCs w:val="21"/>
                <w:highlight w:val="none"/>
              </w:rPr>
              <w:t>项目</w:t>
            </w:r>
            <w:r>
              <w:rPr>
                <w:rFonts w:hint="eastAsia" w:ascii="Times New Roman" w:hAnsi="Times New Roman" w:cs="Times New Roman"/>
                <w:snapToGrid w:val="0"/>
                <w:color w:val="auto"/>
                <w:kern w:val="0"/>
                <w:sz w:val="21"/>
                <w:szCs w:val="21"/>
                <w:highlight w:val="none"/>
                <w:lang w:val="en-US" w:eastAsia="zh-CN"/>
              </w:rPr>
              <w:t>标准化车间、仓库、危废库及事故水池等均采取了硬化和防渗措施，且本项目自身不涉及具体工艺物料的存储，生产废水架空管道输送至</w:t>
            </w:r>
            <w:r>
              <w:rPr>
                <w:rFonts w:hint="eastAsia" w:ascii="Times New Roman" w:hAnsi="Times New Roman" w:cs="Times New Roman"/>
                <w:color w:val="auto"/>
                <w:szCs w:val="21"/>
                <w:highlight w:val="none"/>
                <w:u w:val="none"/>
                <w:lang w:val="en-US" w:eastAsia="zh-CN"/>
              </w:rPr>
              <w:t>中煤鄂尔多斯能源化工有限公司</w:t>
            </w:r>
            <w:r>
              <w:rPr>
                <w:rFonts w:hint="eastAsia" w:ascii="Times New Roman" w:hAnsi="Times New Roman" w:cs="Times New Roman"/>
                <w:snapToGrid w:val="0"/>
                <w:color w:val="auto"/>
                <w:kern w:val="0"/>
                <w:sz w:val="21"/>
                <w:szCs w:val="21"/>
                <w:highlight w:val="none"/>
                <w:lang w:val="en-US" w:eastAsia="zh-CN"/>
              </w:rPr>
              <w:t>处理，厂区内不设置废水处理设施，正常工况下</w:t>
            </w:r>
            <w:r>
              <w:rPr>
                <w:rFonts w:hint="default" w:ascii="Times New Roman" w:hAnsi="Times New Roman" w:cs="Times New Roman"/>
                <w:snapToGrid w:val="0"/>
                <w:color w:val="auto"/>
                <w:kern w:val="0"/>
                <w:sz w:val="21"/>
                <w:szCs w:val="21"/>
                <w:highlight w:val="none"/>
              </w:rPr>
              <w:t>不存在地下水环境污染途径，因此不开展</w:t>
            </w:r>
            <w:r>
              <w:rPr>
                <w:rFonts w:hint="eastAsia" w:ascii="Times New Roman" w:hAnsi="Times New Roman" w:cs="Times New Roman"/>
                <w:snapToGrid w:val="0"/>
                <w:color w:val="auto"/>
                <w:kern w:val="0"/>
                <w:sz w:val="21"/>
                <w:szCs w:val="21"/>
                <w:highlight w:val="none"/>
                <w:lang w:val="en-US" w:eastAsia="zh-CN"/>
              </w:rPr>
              <w:t>地下水</w:t>
            </w:r>
            <w:r>
              <w:rPr>
                <w:rFonts w:hint="default" w:ascii="Times New Roman" w:hAnsi="Times New Roman" w:cs="Times New Roman"/>
                <w:snapToGrid w:val="0"/>
                <w:color w:val="auto"/>
                <w:kern w:val="0"/>
                <w:sz w:val="21"/>
                <w:szCs w:val="21"/>
                <w:highlight w:val="none"/>
              </w:rPr>
              <w:t>环境质量现状</w:t>
            </w:r>
            <w:r>
              <w:rPr>
                <w:rFonts w:hint="eastAsia" w:ascii="Times New Roman" w:hAnsi="Times New Roman" w:cs="Times New Roman"/>
                <w:snapToGrid w:val="0"/>
                <w:color w:val="auto"/>
                <w:kern w:val="0"/>
                <w:sz w:val="21"/>
                <w:szCs w:val="21"/>
                <w:highlight w:val="none"/>
                <w:lang w:val="en-US" w:eastAsia="zh-CN"/>
              </w:rPr>
              <w:t>监测</w:t>
            </w:r>
            <w:r>
              <w:rPr>
                <w:rFonts w:hint="default" w:ascii="Times New Roman" w:hAnsi="Times New Roman" w:cs="Times New Roman"/>
                <w:snapToGrid w:val="0"/>
                <w:color w:val="auto"/>
                <w:kern w:val="0"/>
                <w:sz w:val="21"/>
                <w:szCs w:val="21"/>
                <w:highlight w:val="none"/>
              </w:rPr>
              <w:t>。</w:t>
            </w:r>
          </w:p>
          <w:p w14:paraId="13BFAAA2">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68380B1C">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0831582F">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46F4B642">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537B42AA">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228BE482">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44E82533">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2E9FB58F">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0497B4B9">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1DA39E58">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57C64934">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229602DD">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p w14:paraId="3C5D13F7">
            <w:pPr>
              <w:keepNext w:val="0"/>
              <w:keepLines w:val="0"/>
              <w:pageBreakBefore w:val="0"/>
              <w:widowControl w:val="0"/>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snapToGrid w:val="0"/>
                <w:color w:val="auto"/>
                <w:kern w:val="0"/>
                <w:sz w:val="21"/>
                <w:szCs w:val="21"/>
                <w:highlight w:val="none"/>
              </w:rPr>
            </w:pPr>
          </w:p>
        </w:tc>
      </w:tr>
      <w:tr w14:paraId="762C2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4" w:type="dxa"/>
            <w:noWrap w:val="0"/>
            <w:vAlign w:val="center"/>
          </w:tcPr>
          <w:p w14:paraId="4A868288">
            <w:pPr>
              <w:adjustRightInd w:val="0"/>
              <w:snapToGrid w:val="0"/>
              <w:jc w:val="center"/>
              <w:rPr>
                <w:rFonts w:ascii="宋体" w:hAnsi="宋体" w:cs="宋体"/>
                <w:color w:val="auto"/>
                <w:kern w:val="0"/>
                <w:szCs w:val="21"/>
                <w:highlight w:val="none"/>
              </w:rPr>
            </w:pPr>
            <w:r>
              <w:rPr>
                <w:rFonts w:hint="eastAsia" w:ascii="宋体" w:hAnsi="宋体"/>
                <w:bCs/>
                <w:color w:val="auto"/>
                <w:szCs w:val="21"/>
                <w:highlight w:val="none"/>
              </w:rPr>
              <w:t>与项目有关的原有环境污染和生态破坏问题</w:t>
            </w:r>
          </w:p>
        </w:tc>
        <w:tc>
          <w:tcPr>
            <w:tcW w:w="8253" w:type="dxa"/>
            <w:noWrap w:val="0"/>
            <w:vAlign w:val="center"/>
          </w:tcPr>
          <w:p w14:paraId="1D5D38FD">
            <w:pPr>
              <w:adjustRightInd w:val="0"/>
              <w:snapToGrid w:val="0"/>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无</w:t>
            </w:r>
          </w:p>
        </w:tc>
      </w:tr>
      <w:tr w14:paraId="5FF03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91" w:hRule="atLeast"/>
          <w:jc w:val="center"/>
        </w:trPr>
        <w:tc>
          <w:tcPr>
            <w:tcW w:w="904" w:type="dxa"/>
            <w:noWrap w:val="0"/>
            <w:vAlign w:val="center"/>
          </w:tcPr>
          <w:p w14:paraId="330AEF33">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生态环境保护目标</w:t>
            </w:r>
          </w:p>
        </w:tc>
        <w:tc>
          <w:tcPr>
            <w:tcW w:w="8253" w:type="dxa"/>
            <w:noWrap w:val="0"/>
            <w:vAlign w:val="top"/>
          </w:tcPr>
          <w:p w14:paraId="3860B89A">
            <w:pPr>
              <w:pStyle w:val="52"/>
              <w:keepNext w:val="0"/>
              <w:keepLines w:val="0"/>
              <w:pageBreakBefore w:val="0"/>
              <w:widowControl w:val="0"/>
              <w:kinsoku/>
              <w:wordWrap/>
              <w:overflowPunct/>
              <w:topLinePunct w:val="0"/>
              <w:autoSpaceDE/>
              <w:autoSpaceDN/>
              <w:bidi w:val="0"/>
              <w:adjustRightInd/>
              <w:snapToGrid/>
              <w:spacing w:before="157" w:beforeLines="50"/>
              <w:ind w:firstLine="420" w:firstLineChars="200"/>
              <w:jc w:val="both"/>
              <w:textAlignment w:val="auto"/>
              <w:rPr>
                <w:b w:val="0"/>
                <w:bCs/>
                <w:color w:val="auto"/>
                <w:kern w:val="2"/>
                <w:sz w:val="21"/>
                <w:szCs w:val="21"/>
                <w:highlight w:val="none"/>
              </w:rPr>
            </w:pPr>
            <w:r>
              <w:rPr>
                <w:rFonts w:hint="eastAsia"/>
                <w:b w:val="0"/>
                <w:bCs/>
                <w:color w:val="auto"/>
                <w:sz w:val="21"/>
                <w:szCs w:val="21"/>
                <w:highlight w:val="none"/>
              </w:rPr>
              <w:t>本项目</w:t>
            </w:r>
            <w:r>
              <w:rPr>
                <w:b w:val="0"/>
                <w:bCs/>
                <w:color w:val="auto"/>
                <w:sz w:val="21"/>
                <w:szCs w:val="21"/>
                <w:highlight w:val="none"/>
              </w:rPr>
              <w:t>环境保护目标</w:t>
            </w:r>
            <w:r>
              <w:rPr>
                <w:rFonts w:hint="eastAsia"/>
                <w:b w:val="0"/>
                <w:bCs/>
                <w:color w:val="auto"/>
                <w:sz w:val="21"/>
                <w:szCs w:val="21"/>
                <w:highlight w:val="none"/>
              </w:rPr>
              <w:t>分布情况详</w:t>
            </w:r>
            <w:r>
              <w:rPr>
                <w:b w:val="0"/>
                <w:bCs/>
                <w:color w:val="auto"/>
                <w:sz w:val="21"/>
                <w:szCs w:val="21"/>
                <w:highlight w:val="none"/>
              </w:rPr>
              <w:t>见</w:t>
            </w:r>
            <w:r>
              <w:rPr>
                <w:rFonts w:hint="eastAsia"/>
                <w:b w:val="0"/>
                <w:bCs/>
                <w:color w:val="auto"/>
                <w:sz w:val="21"/>
                <w:szCs w:val="21"/>
                <w:highlight w:val="none"/>
                <w:lang w:val="en-US" w:eastAsia="zh-CN"/>
              </w:rPr>
              <w:t>下表</w:t>
            </w:r>
            <w:r>
              <w:rPr>
                <w:rFonts w:hint="eastAsia"/>
                <w:b w:val="0"/>
                <w:bCs/>
                <w:color w:val="auto"/>
                <w:sz w:val="21"/>
                <w:szCs w:val="21"/>
                <w:highlight w:val="none"/>
              </w:rPr>
              <w:t>，评价范围及保护目标分布见附图</w:t>
            </w:r>
            <w:r>
              <w:rPr>
                <w:rFonts w:hint="eastAsia"/>
                <w:b w:val="0"/>
                <w:bCs/>
                <w:color w:val="auto"/>
                <w:sz w:val="21"/>
                <w:szCs w:val="21"/>
                <w:highlight w:val="none"/>
                <w:lang w:val="en-US" w:eastAsia="zh-CN"/>
              </w:rPr>
              <w:t>7</w:t>
            </w:r>
            <w:r>
              <w:rPr>
                <w:rFonts w:hint="eastAsia"/>
                <w:b w:val="0"/>
                <w:bCs/>
                <w:color w:val="auto"/>
                <w:sz w:val="21"/>
                <w:szCs w:val="21"/>
                <w:highlight w:val="none"/>
              </w:rPr>
              <w:t>。</w:t>
            </w:r>
          </w:p>
          <w:p w14:paraId="4906EC30">
            <w:pPr>
              <w:pStyle w:val="52"/>
              <w:keepNext w:val="0"/>
              <w:keepLines w:val="0"/>
              <w:pageBreakBefore w:val="0"/>
              <w:widowControl w:val="0"/>
              <w:kinsoku/>
              <w:wordWrap/>
              <w:overflowPunct/>
              <w:topLinePunct w:val="0"/>
              <w:autoSpaceDE/>
              <w:autoSpaceDN/>
              <w:bidi w:val="0"/>
              <w:adjustRightInd/>
              <w:snapToGrid/>
              <w:textAlignment w:val="auto"/>
              <w:rPr>
                <w:color w:val="auto"/>
                <w:kern w:val="2"/>
                <w:sz w:val="21"/>
                <w:szCs w:val="21"/>
                <w:highlight w:val="none"/>
              </w:rPr>
            </w:pPr>
            <w:r>
              <w:rPr>
                <w:color w:val="auto"/>
                <w:kern w:val="2"/>
                <w:sz w:val="21"/>
                <w:szCs w:val="21"/>
                <w:highlight w:val="none"/>
              </w:rPr>
              <w:t>表3-</w:t>
            </w:r>
            <w:r>
              <w:rPr>
                <w:rFonts w:hint="eastAsia"/>
                <w:color w:val="auto"/>
                <w:kern w:val="2"/>
                <w:sz w:val="21"/>
                <w:szCs w:val="21"/>
                <w:highlight w:val="none"/>
                <w:lang w:val="en-US" w:eastAsia="zh-CN"/>
              </w:rPr>
              <w:t>1</w:t>
            </w:r>
            <w:r>
              <w:rPr>
                <w:color w:val="auto"/>
                <w:kern w:val="2"/>
                <w:sz w:val="21"/>
                <w:szCs w:val="21"/>
                <w:highlight w:val="none"/>
              </w:rPr>
              <w:t xml:space="preserve">    主要环境保护目标一览表</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448"/>
              <w:gridCol w:w="653"/>
              <w:gridCol w:w="1115"/>
              <w:gridCol w:w="992"/>
              <w:gridCol w:w="1339"/>
              <w:gridCol w:w="2915"/>
            </w:tblGrid>
            <w:tr w14:paraId="0462DF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41" w:hRule="atLeast"/>
                <w:tblHeader/>
                <w:jc w:val="center"/>
              </w:trPr>
              <w:tc>
                <w:tcPr>
                  <w:tcW w:w="356" w:type="pct"/>
                  <w:tcBorders>
                    <w:tl2br w:val="nil"/>
                    <w:tr2bl w:val="nil"/>
                  </w:tcBorders>
                  <w:noWrap w:val="0"/>
                  <w:vAlign w:val="center"/>
                </w:tcPr>
                <w:p w14:paraId="13FFB817">
                  <w:pPr>
                    <w:ind w:left="-105" w:leftChars="-50" w:right="-105" w:rightChars="-50"/>
                    <w:jc w:val="center"/>
                    <w:rPr>
                      <w:color w:val="auto"/>
                      <w:sz w:val="18"/>
                      <w:szCs w:val="18"/>
                      <w:highlight w:val="none"/>
                    </w:rPr>
                  </w:pPr>
                  <w:r>
                    <w:rPr>
                      <w:color w:val="auto"/>
                      <w:sz w:val="18"/>
                      <w:szCs w:val="18"/>
                      <w:highlight w:val="none"/>
                    </w:rPr>
                    <w:t>环境要素</w:t>
                  </w:r>
                </w:p>
              </w:tc>
              <w:tc>
                <w:tcPr>
                  <w:tcW w:w="685" w:type="pct"/>
                  <w:gridSpan w:val="2"/>
                  <w:tcBorders>
                    <w:tl2br w:val="nil"/>
                    <w:tr2bl w:val="nil"/>
                  </w:tcBorders>
                  <w:noWrap w:val="0"/>
                  <w:vAlign w:val="center"/>
                </w:tcPr>
                <w:p w14:paraId="77564F59">
                  <w:pPr>
                    <w:ind w:left="-105" w:leftChars="-50" w:right="-105" w:rightChars="-50"/>
                    <w:jc w:val="center"/>
                    <w:rPr>
                      <w:color w:val="auto"/>
                      <w:sz w:val="18"/>
                      <w:szCs w:val="18"/>
                      <w:highlight w:val="none"/>
                    </w:rPr>
                  </w:pPr>
                  <w:r>
                    <w:rPr>
                      <w:color w:val="auto"/>
                      <w:sz w:val="18"/>
                      <w:szCs w:val="18"/>
                      <w:highlight w:val="none"/>
                    </w:rPr>
                    <w:t>名称</w:t>
                  </w:r>
                </w:p>
              </w:tc>
              <w:tc>
                <w:tcPr>
                  <w:tcW w:w="694" w:type="pct"/>
                  <w:tcBorders>
                    <w:tl2br w:val="nil"/>
                    <w:tr2bl w:val="nil"/>
                  </w:tcBorders>
                  <w:noWrap w:val="0"/>
                  <w:vAlign w:val="center"/>
                </w:tcPr>
                <w:p w14:paraId="46CD266B">
                  <w:pPr>
                    <w:ind w:left="-105" w:leftChars="-50" w:right="-105" w:rightChars="-50"/>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人数</w:t>
                  </w:r>
                </w:p>
              </w:tc>
              <w:tc>
                <w:tcPr>
                  <w:tcW w:w="617" w:type="pct"/>
                  <w:tcBorders>
                    <w:tl2br w:val="nil"/>
                    <w:tr2bl w:val="nil"/>
                  </w:tcBorders>
                  <w:noWrap w:val="0"/>
                  <w:vAlign w:val="center"/>
                </w:tcPr>
                <w:p w14:paraId="2C35E949">
                  <w:pPr>
                    <w:ind w:left="-105" w:leftChars="-50" w:right="-105" w:rightChars="-50"/>
                    <w:jc w:val="center"/>
                    <w:rPr>
                      <w:color w:val="auto"/>
                      <w:sz w:val="18"/>
                      <w:szCs w:val="18"/>
                      <w:highlight w:val="none"/>
                    </w:rPr>
                  </w:pPr>
                  <w:r>
                    <w:rPr>
                      <w:rFonts w:hint="eastAsia"/>
                      <w:color w:val="auto"/>
                      <w:sz w:val="18"/>
                      <w:szCs w:val="18"/>
                      <w:highlight w:val="none"/>
                    </w:rPr>
                    <w:t>相对方位</w:t>
                  </w:r>
                </w:p>
              </w:tc>
              <w:tc>
                <w:tcPr>
                  <w:tcW w:w="832" w:type="pct"/>
                  <w:tcBorders>
                    <w:tl2br w:val="nil"/>
                    <w:tr2bl w:val="nil"/>
                  </w:tcBorders>
                  <w:noWrap w:val="0"/>
                  <w:vAlign w:val="center"/>
                </w:tcPr>
                <w:p w14:paraId="60C20B30">
                  <w:pPr>
                    <w:ind w:left="-105" w:leftChars="-50" w:right="-105" w:rightChars="-50"/>
                    <w:jc w:val="center"/>
                    <w:rPr>
                      <w:color w:val="auto"/>
                      <w:sz w:val="18"/>
                      <w:szCs w:val="18"/>
                      <w:highlight w:val="none"/>
                    </w:rPr>
                  </w:pPr>
                  <w:r>
                    <w:rPr>
                      <w:color w:val="auto"/>
                      <w:sz w:val="18"/>
                      <w:szCs w:val="18"/>
                      <w:highlight w:val="none"/>
                    </w:rPr>
                    <w:t>相对厂界最近距离/m</w:t>
                  </w:r>
                </w:p>
              </w:tc>
              <w:tc>
                <w:tcPr>
                  <w:tcW w:w="1814" w:type="pct"/>
                  <w:tcBorders>
                    <w:tl2br w:val="nil"/>
                    <w:tr2bl w:val="nil"/>
                  </w:tcBorders>
                  <w:noWrap w:val="0"/>
                  <w:vAlign w:val="center"/>
                </w:tcPr>
                <w:p w14:paraId="503AAA92">
                  <w:pPr>
                    <w:ind w:left="-105" w:leftChars="-50" w:right="-105" w:rightChars="-50"/>
                    <w:jc w:val="center"/>
                    <w:rPr>
                      <w:color w:val="auto"/>
                      <w:sz w:val="18"/>
                      <w:szCs w:val="18"/>
                      <w:highlight w:val="none"/>
                    </w:rPr>
                  </w:pPr>
                  <w:r>
                    <w:rPr>
                      <w:color w:val="auto"/>
                      <w:sz w:val="18"/>
                      <w:szCs w:val="18"/>
                      <w:highlight w:val="none"/>
                    </w:rPr>
                    <w:t>环境功能区</w:t>
                  </w:r>
                </w:p>
              </w:tc>
            </w:tr>
            <w:tr w14:paraId="317C3B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356" w:type="pct"/>
                  <w:vMerge w:val="restart"/>
                  <w:tcBorders>
                    <w:tl2br w:val="nil"/>
                    <w:tr2bl w:val="nil"/>
                  </w:tcBorders>
                  <w:noWrap w:val="0"/>
                  <w:vAlign w:val="center"/>
                </w:tcPr>
                <w:p w14:paraId="30175F4A">
                  <w:pPr>
                    <w:ind w:left="-105" w:leftChars="-50" w:right="-105" w:rightChars="-50"/>
                    <w:jc w:val="center"/>
                    <w:rPr>
                      <w:rFonts w:hint="eastAsia"/>
                      <w:color w:val="auto"/>
                      <w:sz w:val="18"/>
                      <w:szCs w:val="18"/>
                      <w:highlight w:val="none"/>
                    </w:rPr>
                  </w:pPr>
                  <w:r>
                    <w:rPr>
                      <w:rFonts w:hint="eastAsia"/>
                      <w:color w:val="auto"/>
                      <w:sz w:val="18"/>
                      <w:szCs w:val="18"/>
                      <w:highlight w:val="none"/>
                    </w:rPr>
                    <w:t>大气</w:t>
                  </w:r>
                </w:p>
                <w:p w14:paraId="4F2278F0">
                  <w:pPr>
                    <w:ind w:left="-105" w:leftChars="-50" w:right="-105" w:rightChars="-50"/>
                    <w:jc w:val="center"/>
                    <w:rPr>
                      <w:color w:val="auto"/>
                      <w:sz w:val="18"/>
                      <w:szCs w:val="18"/>
                      <w:highlight w:val="none"/>
                    </w:rPr>
                  </w:pPr>
                  <w:r>
                    <w:rPr>
                      <w:color w:val="auto"/>
                      <w:sz w:val="18"/>
                      <w:szCs w:val="18"/>
                      <w:highlight w:val="none"/>
                    </w:rPr>
                    <w:t>环境</w:t>
                  </w:r>
                </w:p>
              </w:tc>
              <w:tc>
                <w:tcPr>
                  <w:tcW w:w="279" w:type="pct"/>
                  <w:vMerge w:val="restart"/>
                  <w:tcBorders>
                    <w:tl2br w:val="nil"/>
                    <w:tr2bl w:val="nil"/>
                  </w:tcBorders>
                  <w:noWrap w:val="0"/>
                  <w:vAlign w:val="center"/>
                </w:tcPr>
                <w:p w14:paraId="17072C16">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查干淖尔村</w:t>
                  </w:r>
                </w:p>
              </w:tc>
              <w:tc>
                <w:tcPr>
                  <w:tcW w:w="406" w:type="pct"/>
                  <w:tcBorders>
                    <w:tl2br w:val="nil"/>
                    <w:tr2bl w:val="nil"/>
                  </w:tcBorders>
                  <w:noWrap w:val="0"/>
                  <w:vAlign w:val="center"/>
                </w:tcPr>
                <w:p w14:paraId="2B5A13AA">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散户1</w:t>
                  </w:r>
                </w:p>
              </w:tc>
              <w:tc>
                <w:tcPr>
                  <w:tcW w:w="694" w:type="pct"/>
                  <w:tcBorders>
                    <w:tl2br w:val="nil"/>
                    <w:tr2bl w:val="nil"/>
                  </w:tcBorders>
                  <w:noWrap w:val="0"/>
                  <w:vAlign w:val="center"/>
                </w:tcPr>
                <w:p w14:paraId="2A3B4A2B">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3</w:t>
                  </w:r>
                </w:p>
              </w:tc>
              <w:tc>
                <w:tcPr>
                  <w:tcW w:w="617" w:type="pct"/>
                  <w:tcBorders>
                    <w:tl2br w:val="nil"/>
                    <w:tr2bl w:val="nil"/>
                  </w:tcBorders>
                  <w:noWrap w:val="0"/>
                  <w:vAlign w:val="center"/>
                </w:tcPr>
                <w:p w14:paraId="1AF55966">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E</w:t>
                  </w:r>
                </w:p>
              </w:tc>
              <w:tc>
                <w:tcPr>
                  <w:tcW w:w="832" w:type="pct"/>
                  <w:tcBorders>
                    <w:tl2br w:val="nil"/>
                    <w:tr2bl w:val="nil"/>
                  </w:tcBorders>
                  <w:noWrap w:val="0"/>
                  <w:vAlign w:val="center"/>
                </w:tcPr>
                <w:p w14:paraId="49BEED70">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138</w:t>
                  </w:r>
                </w:p>
              </w:tc>
              <w:tc>
                <w:tcPr>
                  <w:tcW w:w="1814" w:type="pct"/>
                  <w:vMerge w:val="restart"/>
                  <w:tcBorders>
                    <w:tl2br w:val="nil"/>
                    <w:tr2bl w:val="nil"/>
                  </w:tcBorders>
                  <w:noWrap w:val="0"/>
                  <w:vAlign w:val="center"/>
                </w:tcPr>
                <w:p w14:paraId="496699EB">
                  <w:pPr>
                    <w:ind w:left="-105" w:leftChars="-50" w:right="-105" w:rightChars="-50"/>
                    <w:jc w:val="center"/>
                    <w:rPr>
                      <w:color w:val="auto"/>
                      <w:sz w:val="18"/>
                      <w:szCs w:val="18"/>
                      <w:highlight w:val="none"/>
                    </w:rPr>
                  </w:pPr>
                  <w:r>
                    <w:rPr>
                      <w:rFonts w:hint="eastAsia"/>
                      <w:color w:val="auto"/>
                      <w:sz w:val="18"/>
                      <w:szCs w:val="18"/>
                      <w:highlight w:val="none"/>
                    </w:rPr>
                    <w:t>环境空气二类功能区</w:t>
                  </w:r>
                </w:p>
              </w:tc>
            </w:tr>
            <w:tr w14:paraId="716CAE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23" w:hRule="atLeast"/>
                <w:jc w:val="center"/>
              </w:trPr>
              <w:tc>
                <w:tcPr>
                  <w:tcW w:w="356" w:type="pct"/>
                  <w:vMerge w:val="continue"/>
                  <w:tcBorders>
                    <w:tl2br w:val="nil"/>
                    <w:tr2bl w:val="nil"/>
                  </w:tcBorders>
                  <w:noWrap w:val="0"/>
                  <w:vAlign w:val="center"/>
                </w:tcPr>
                <w:p w14:paraId="064C09F2">
                  <w:pPr>
                    <w:ind w:left="-105" w:leftChars="-50" w:right="-105" w:rightChars="-50"/>
                    <w:jc w:val="center"/>
                    <w:rPr>
                      <w:rFonts w:hint="eastAsia"/>
                      <w:color w:val="auto"/>
                      <w:sz w:val="18"/>
                      <w:szCs w:val="18"/>
                      <w:highlight w:val="none"/>
                    </w:rPr>
                  </w:pPr>
                </w:p>
              </w:tc>
              <w:tc>
                <w:tcPr>
                  <w:tcW w:w="279" w:type="pct"/>
                  <w:vMerge w:val="continue"/>
                  <w:tcBorders>
                    <w:tl2br w:val="nil"/>
                    <w:tr2bl w:val="nil"/>
                  </w:tcBorders>
                  <w:noWrap w:val="0"/>
                  <w:vAlign w:val="center"/>
                </w:tcPr>
                <w:p w14:paraId="1D15F002">
                  <w:pPr>
                    <w:ind w:left="-105" w:leftChars="-50" w:right="-105" w:rightChars="-50"/>
                    <w:jc w:val="center"/>
                    <w:rPr>
                      <w:rFonts w:hint="eastAsia" w:eastAsia="宋体"/>
                      <w:color w:val="auto"/>
                      <w:sz w:val="18"/>
                      <w:szCs w:val="18"/>
                      <w:highlight w:val="none"/>
                      <w:lang w:val="en-US" w:eastAsia="zh-CN"/>
                    </w:rPr>
                  </w:pPr>
                </w:p>
              </w:tc>
              <w:tc>
                <w:tcPr>
                  <w:tcW w:w="406" w:type="pct"/>
                  <w:tcBorders>
                    <w:tl2br w:val="nil"/>
                    <w:tr2bl w:val="nil"/>
                  </w:tcBorders>
                  <w:noWrap w:val="0"/>
                  <w:vAlign w:val="center"/>
                </w:tcPr>
                <w:p w14:paraId="5720DEF5">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散户2</w:t>
                  </w:r>
                </w:p>
              </w:tc>
              <w:tc>
                <w:tcPr>
                  <w:tcW w:w="694" w:type="pct"/>
                  <w:tcBorders>
                    <w:tl2br w:val="nil"/>
                    <w:tr2bl w:val="nil"/>
                  </w:tcBorders>
                  <w:noWrap w:val="0"/>
                  <w:vAlign w:val="center"/>
                </w:tcPr>
                <w:p w14:paraId="25CDE0CF">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2</w:t>
                  </w:r>
                </w:p>
              </w:tc>
              <w:tc>
                <w:tcPr>
                  <w:tcW w:w="617" w:type="pct"/>
                  <w:tcBorders>
                    <w:tl2br w:val="nil"/>
                    <w:tr2bl w:val="nil"/>
                  </w:tcBorders>
                  <w:noWrap w:val="0"/>
                  <w:vAlign w:val="center"/>
                </w:tcPr>
                <w:p w14:paraId="51EED58E">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E</w:t>
                  </w:r>
                </w:p>
              </w:tc>
              <w:tc>
                <w:tcPr>
                  <w:tcW w:w="832" w:type="pct"/>
                  <w:tcBorders>
                    <w:tl2br w:val="nil"/>
                    <w:tr2bl w:val="nil"/>
                  </w:tcBorders>
                  <w:noWrap w:val="0"/>
                  <w:vAlign w:val="center"/>
                </w:tcPr>
                <w:p w14:paraId="107015FF">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240</w:t>
                  </w:r>
                </w:p>
              </w:tc>
              <w:tc>
                <w:tcPr>
                  <w:tcW w:w="1814" w:type="pct"/>
                  <w:vMerge w:val="continue"/>
                  <w:tcBorders>
                    <w:tl2br w:val="nil"/>
                    <w:tr2bl w:val="nil"/>
                  </w:tcBorders>
                  <w:noWrap w:val="0"/>
                  <w:vAlign w:val="center"/>
                </w:tcPr>
                <w:p w14:paraId="5098D8A9">
                  <w:pPr>
                    <w:ind w:left="-105" w:leftChars="-50" w:right="-105" w:rightChars="-50"/>
                    <w:jc w:val="center"/>
                    <w:rPr>
                      <w:rFonts w:hint="eastAsia"/>
                      <w:color w:val="auto"/>
                      <w:sz w:val="18"/>
                      <w:szCs w:val="18"/>
                      <w:highlight w:val="none"/>
                    </w:rPr>
                  </w:pPr>
                </w:p>
              </w:tc>
            </w:tr>
            <w:tr w14:paraId="7FBDA5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356" w:type="pct"/>
                  <w:vMerge w:val="continue"/>
                  <w:tcBorders>
                    <w:tl2br w:val="nil"/>
                    <w:tr2bl w:val="nil"/>
                  </w:tcBorders>
                  <w:noWrap w:val="0"/>
                  <w:vAlign w:val="center"/>
                </w:tcPr>
                <w:p w14:paraId="27244FF8">
                  <w:pPr>
                    <w:ind w:left="-105" w:leftChars="-50" w:right="-105" w:rightChars="-50"/>
                    <w:jc w:val="center"/>
                    <w:rPr>
                      <w:rFonts w:hint="eastAsia"/>
                      <w:color w:val="auto"/>
                      <w:sz w:val="18"/>
                      <w:szCs w:val="18"/>
                      <w:highlight w:val="none"/>
                    </w:rPr>
                  </w:pPr>
                </w:p>
              </w:tc>
              <w:tc>
                <w:tcPr>
                  <w:tcW w:w="279" w:type="pct"/>
                  <w:vMerge w:val="continue"/>
                  <w:tcBorders>
                    <w:tl2br w:val="nil"/>
                    <w:tr2bl w:val="nil"/>
                  </w:tcBorders>
                  <w:noWrap w:val="0"/>
                  <w:vAlign w:val="center"/>
                </w:tcPr>
                <w:p w14:paraId="2BEEBD51">
                  <w:pPr>
                    <w:ind w:left="-105" w:leftChars="-50" w:right="-105" w:rightChars="-50"/>
                    <w:jc w:val="center"/>
                    <w:rPr>
                      <w:rFonts w:hint="eastAsia" w:eastAsia="宋体"/>
                      <w:color w:val="auto"/>
                      <w:sz w:val="18"/>
                      <w:szCs w:val="18"/>
                      <w:highlight w:val="none"/>
                      <w:lang w:val="en-US" w:eastAsia="zh-CN"/>
                    </w:rPr>
                  </w:pPr>
                </w:p>
              </w:tc>
              <w:tc>
                <w:tcPr>
                  <w:tcW w:w="406" w:type="pct"/>
                  <w:tcBorders>
                    <w:tl2br w:val="nil"/>
                    <w:tr2bl w:val="nil"/>
                  </w:tcBorders>
                  <w:noWrap w:val="0"/>
                  <w:vAlign w:val="center"/>
                </w:tcPr>
                <w:p w14:paraId="41471CC2">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散户3</w:t>
                  </w:r>
                </w:p>
              </w:tc>
              <w:tc>
                <w:tcPr>
                  <w:tcW w:w="694" w:type="pct"/>
                  <w:tcBorders>
                    <w:tl2br w:val="nil"/>
                    <w:tr2bl w:val="nil"/>
                  </w:tcBorders>
                  <w:noWrap w:val="0"/>
                  <w:vAlign w:val="center"/>
                </w:tcPr>
                <w:p w14:paraId="5E6181D9">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3</w:t>
                  </w:r>
                </w:p>
              </w:tc>
              <w:tc>
                <w:tcPr>
                  <w:tcW w:w="617" w:type="pct"/>
                  <w:tcBorders>
                    <w:tl2br w:val="nil"/>
                    <w:tr2bl w:val="nil"/>
                  </w:tcBorders>
                  <w:noWrap w:val="0"/>
                  <w:vAlign w:val="center"/>
                </w:tcPr>
                <w:p w14:paraId="571ABD98">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S</w:t>
                  </w:r>
                </w:p>
              </w:tc>
              <w:tc>
                <w:tcPr>
                  <w:tcW w:w="832" w:type="pct"/>
                  <w:tcBorders>
                    <w:tl2br w:val="nil"/>
                    <w:tr2bl w:val="nil"/>
                  </w:tcBorders>
                  <w:noWrap w:val="0"/>
                  <w:vAlign w:val="center"/>
                </w:tcPr>
                <w:p w14:paraId="6B217B07">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188</w:t>
                  </w:r>
                </w:p>
              </w:tc>
              <w:tc>
                <w:tcPr>
                  <w:tcW w:w="1814" w:type="pct"/>
                  <w:vMerge w:val="continue"/>
                  <w:tcBorders>
                    <w:tl2br w:val="nil"/>
                    <w:tr2bl w:val="nil"/>
                  </w:tcBorders>
                  <w:noWrap w:val="0"/>
                  <w:vAlign w:val="center"/>
                </w:tcPr>
                <w:p w14:paraId="72BB4607">
                  <w:pPr>
                    <w:ind w:left="-105" w:leftChars="-50" w:right="-105" w:rightChars="-50"/>
                    <w:jc w:val="center"/>
                    <w:rPr>
                      <w:rFonts w:hint="eastAsia"/>
                      <w:color w:val="auto"/>
                      <w:sz w:val="18"/>
                      <w:szCs w:val="18"/>
                      <w:highlight w:val="none"/>
                    </w:rPr>
                  </w:pPr>
                </w:p>
              </w:tc>
            </w:tr>
            <w:tr w14:paraId="1D5D1C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356" w:type="pct"/>
                  <w:vMerge w:val="continue"/>
                  <w:tcBorders>
                    <w:tl2br w:val="nil"/>
                    <w:tr2bl w:val="nil"/>
                  </w:tcBorders>
                  <w:noWrap w:val="0"/>
                  <w:vAlign w:val="center"/>
                </w:tcPr>
                <w:p w14:paraId="30EE5A4C">
                  <w:pPr>
                    <w:ind w:left="-105" w:leftChars="-50" w:right="-105" w:rightChars="-50"/>
                    <w:jc w:val="center"/>
                    <w:rPr>
                      <w:rFonts w:hint="eastAsia"/>
                      <w:color w:val="auto"/>
                      <w:sz w:val="18"/>
                      <w:szCs w:val="18"/>
                      <w:highlight w:val="none"/>
                    </w:rPr>
                  </w:pPr>
                </w:p>
              </w:tc>
              <w:tc>
                <w:tcPr>
                  <w:tcW w:w="279" w:type="pct"/>
                  <w:vMerge w:val="continue"/>
                  <w:tcBorders>
                    <w:tl2br w:val="nil"/>
                    <w:tr2bl w:val="nil"/>
                  </w:tcBorders>
                  <w:noWrap w:val="0"/>
                  <w:vAlign w:val="center"/>
                </w:tcPr>
                <w:p w14:paraId="17B08EDD">
                  <w:pPr>
                    <w:ind w:left="-105" w:leftChars="-50" w:right="-105" w:rightChars="-50"/>
                    <w:jc w:val="center"/>
                    <w:rPr>
                      <w:rFonts w:hint="eastAsia" w:eastAsia="宋体"/>
                      <w:color w:val="auto"/>
                      <w:sz w:val="18"/>
                      <w:szCs w:val="18"/>
                      <w:highlight w:val="none"/>
                      <w:lang w:val="en-US" w:eastAsia="zh-CN"/>
                    </w:rPr>
                  </w:pPr>
                </w:p>
              </w:tc>
              <w:tc>
                <w:tcPr>
                  <w:tcW w:w="406" w:type="pct"/>
                  <w:tcBorders>
                    <w:tl2br w:val="nil"/>
                    <w:tr2bl w:val="nil"/>
                  </w:tcBorders>
                  <w:noWrap w:val="0"/>
                  <w:vAlign w:val="center"/>
                </w:tcPr>
                <w:p w14:paraId="737D8339">
                  <w:pPr>
                    <w:ind w:left="-105" w:leftChars="-50" w:right="-105" w:rightChars="-50"/>
                    <w:jc w:val="center"/>
                    <w:rPr>
                      <w:rFonts w:hint="eastAsia" w:eastAsia="宋体"/>
                      <w:color w:val="auto"/>
                      <w:sz w:val="18"/>
                      <w:szCs w:val="18"/>
                      <w:highlight w:val="none"/>
                      <w:lang w:val="en-US" w:eastAsia="zh-CN"/>
                    </w:rPr>
                  </w:pPr>
                  <w:r>
                    <w:rPr>
                      <w:rFonts w:hint="eastAsia" w:eastAsia="宋体"/>
                      <w:color w:val="auto"/>
                      <w:sz w:val="18"/>
                      <w:szCs w:val="18"/>
                      <w:highlight w:val="none"/>
                      <w:lang w:val="en-US" w:eastAsia="zh-CN"/>
                    </w:rPr>
                    <w:t>散户4</w:t>
                  </w:r>
                </w:p>
              </w:tc>
              <w:tc>
                <w:tcPr>
                  <w:tcW w:w="694" w:type="pct"/>
                  <w:tcBorders>
                    <w:tl2br w:val="nil"/>
                    <w:tr2bl w:val="nil"/>
                  </w:tcBorders>
                  <w:noWrap w:val="0"/>
                  <w:vAlign w:val="center"/>
                </w:tcPr>
                <w:p w14:paraId="3E8375CF">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3</w:t>
                  </w:r>
                </w:p>
              </w:tc>
              <w:tc>
                <w:tcPr>
                  <w:tcW w:w="617" w:type="pct"/>
                  <w:tcBorders>
                    <w:tl2br w:val="nil"/>
                    <w:tr2bl w:val="nil"/>
                  </w:tcBorders>
                  <w:noWrap w:val="0"/>
                  <w:vAlign w:val="center"/>
                </w:tcPr>
                <w:p w14:paraId="1B0216FC">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SE</w:t>
                  </w:r>
                </w:p>
              </w:tc>
              <w:tc>
                <w:tcPr>
                  <w:tcW w:w="832" w:type="pct"/>
                  <w:tcBorders>
                    <w:tl2br w:val="nil"/>
                    <w:tr2bl w:val="nil"/>
                  </w:tcBorders>
                  <w:noWrap w:val="0"/>
                  <w:vAlign w:val="center"/>
                </w:tcPr>
                <w:p w14:paraId="16BF51BE">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500</w:t>
                  </w:r>
                </w:p>
              </w:tc>
              <w:tc>
                <w:tcPr>
                  <w:tcW w:w="1814" w:type="pct"/>
                  <w:vMerge w:val="continue"/>
                  <w:tcBorders>
                    <w:tl2br w:val="nil"/>
                    <w:tr2bl w:val="nil"/>
                  </w:tcBorders>
                  <w:noWrap w:val="0"/>
                  <w:vAlign w:val="center"/>
                </w:tcPr>
                <w:p w14:paraId="354FC77F">
                  <w:pPr>
                    <w:ind w:left="-105" w:leftChars="-50" w:right="-105" w:rightChars="-50"/>
                    <w:jc w:val="center"/>
                    <w:rPr>
                      <w:rFonts w:hint="eastAsia"/>
                      <w:color w:val="auto"/>
                      <w:sz w:val="18"/>
                      <w:szCs w:val="18"/>
                      <w:highlight w:val="none"/>
                    </w:rPr>
                  </w:pPr>
                </w:p>
              </w:tc>
            </w:tr>
            <w:tr w14:paraId="0F39F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356" w:type="pct"/>
                  <w:vMerge w:val="continue"/>
                  <w:tcBorders>
                    <w:tl2br w:val="nil"/>
                    <w:tr2bl w:val="nil"/>
                  </w:tcBorders>
                  <w:noWrap w:val="0"/>
                  <w:vAlign w:val="center"/>
                </w:tcPr>
                <w:p w14:paraId="4C5CCC58">
                  <w:pPr>
                    <w:ind w:left="-105" w:leftChars="-50" w:right="-105" w:rightChars="-50"/>
                    <w:jc w:val="center"/>
                    <w:rPr>
                      <w:rFonts w:hint="eastAsia"/>
                      <w:color w:val="auto"/>
                      <w:sz w:val="18"/>
                      <w:szCs w:val="18"/>
                      <w:highlight w:val="none"/>
                    </w:rPr>
                  </w:pPr>
                </w:p>
              </w:tc>
              <w:tc>
                <w:tcPr>
                  <w:tcW w:w="279" w:type="pct"/>
                  <w:vMerge w:val="continue"/>
                  <w:tcBorders>
                    <w:tl2br w:val="nil"/>
                    <w:tr2bl w:val="nil"/>
                  </w:tcBorders>
                  <w:noWrap w:val="0"/>
                  <w:vAlign w:val="center"/>
                </w:tcPr>
                <w:p w14:paraId="79DD128B">
                  <w:pPr>
                    <w:ind w:left="-105" w:leftChars="-50" w:right="-105" w:rightChars="-50"/>
                    <w:jc w:val="center"/>
                    <w:rPr>
                      <w:rFonts w:hint="eastAsia" w:eastAsia="宋体"/>
                      <w:color w:val="auto"/>
                      <w:sz w:val="18"/>
                      <w:szCs w:val="18"/>
                      <w:highlight w:val="none"/>
                      <w:lang w:val="en-US" w:eastAsia="zh-CN"/>
                    </w:rPr>
                  </w:pPr>
                </w:p>
              </w:tc>
              <w:tc>
                <w:tcPr>
                  <w:tcW w:w="406" w:type="pct"/>
                  <w:tcBorders>
                    <w:tl2br w:val="nil"/>
                    <w:tr2bl w:val="nil"/>
                  </w:tcBorders>
                  <w:noWrap w:val="0"/>
                  <w:vAlign w:val="center"/>
                </w:tcPr>
                <w:p w14:paraId="7E8889C8">
                  <w:pPr>
                    <w:ind w:left="-105" w:leftChars="-50" w:right="-105" w:rightChars="-50"/>
                    <w:jc w:val="center"/>
                    <w:rPr>
                      <w:rFonts w:hint="eastAsia" w:eastAsia="宋体"/>
                      <w:color w:val="auto"/>
                      <w:sz w:val="18"/>
                      <w:szCs w:val="18"/>
                      <w:highlight w:val="none"/>
                      <w:lang w:val="en-US" w:eastAsia="zh-CN"/>
                    </w:rPr>
                  </w:pPr>
                  <w:r>
                    <w:rPr>
                      <w:rFonts w:hint="eastAsia" w:eastAsia="宋体"/>
                      <w:color w:val="auto"/>
                      <w:sz w:val="18"/>
                      <w:szCs w:val="18"/>
                      <w:highlight w:val="none"/>
                      <w:lang w:val="en-US" w:eastAsia="zh-CN"/>
                    </w:rPr>
                    <w:t>散户5</w:t>
                  </w:r>
                </w:p>
              </w:tc>
              <w:tc>
                <w:tcPr>
                  <w:tcW w:w="694" w:type="pct"/>
                  <w:tcBorders>
                    <w:tl2br w:val="nil"/>
                    <w:tr2bl w:val="nil"/>
                  </w:tcBorders>
                  <w:noWrap w:val="0"/>
                  <w:vAlign w:val="center"/>
                </w:tcPr>
                <w:p w14:paraId="14683090">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4</w:t>
                  </w:r>
                </w:p>
              </w:tc>
              <w:tc>
                <w:tcPr>
                  <w:tcW w:w="617" w:type="pct"/>
                  <w:tcBorders>
                    <w:tl2br w:val="nil"/>
                    <w:tr2bl w:val="nil"/>
                  </w:tcBorders>
                  <w:noWrap w:val="0"/>
                  <w:vAlign w:val="center"/>
                </w:tcPr>
                <w:p w14:paraId="656F2785">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S</w:t>
                  </w:r>
                </w:p>
              </w:tc>
              <w:tc>
                <w:tcPr>
                  <w:tcW w:w="832" w:type="pct"/>
                  <w:tcBorders>
                    <w:tl2br w:val="nil"/>
                    <w:tr2bl w:val="nil"/>
                  </w:tcBorders>
                  <w:noWrap w:val="0"/>
                  <w:vAlign w:val="center"/>
                </w:tcPr>
                <w:p w14:paraId="52BB3AD8">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445</w:t>
                  </w:r>
                </w:p>
              </w:tc>
              <w:tc>
                <w:tcPr>
                  <w:tcW w:w="1814" w:type="pct"/>
                  <w:vMerge w:val="continue"/>
                  <w:tcBorders>
                    <w:tl2br w:val="nil"/>
                    <w:tr2bl w:val="nil"/>
                  </w:tcBorders>
                  <w:noWrap w:val="0"/>
                  <w:vAlign w:val="center"/>
                </w:tcPr>
                <w:p w14:paraId="2113FBC5">
                  <w:pPr>
                    <w:ind w:left="-105" w:leftChars="-50" w:right="-105" w:rightChars="-50"/>
                    <w:jc w:val="center"/>
                    <w:rPr>
                      <w:rFonts w:hint="eastAsia"/>
                      <w:color w:val="auto"/>
                      <w:sz w:val="18"/>
                      <w:szCs w:val="18"/>
                      <w:highlight w:val="none"/>
                    </w:rPr>
                  </w:pPr>
                </w:p>
              </w:tc>
            </w:tr>
            <w:tr w14:paraId="4E9428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356" w:type="pct"/>
                  <w:vMerge w:val="continue"/>
                  <w:tcBorders>
                    <w:tl2br w:val="nil"/>
                    <w:tr2bl w:val="nil"/>
                  </w:tcBorders>
                  <w:noWrap w:val="0"/>
                  <w:vAlign w:val="center"/>
                </w:tcPr>
                <w:p w14:paraId="05CD193D">
                  <w:pPr>
                    <w:ind w:left="-105" w:leftChars="-50" w:right="-105" w:rightChars="-50"/>
                    <w:jc w:val="center"/>
                    <w:rPr>
                      <w:rFonts w:hint="eastAsia"/>
                      <w:color w:val="auto"/>
                      <w:sz w:val="18"/>
                      <w:szCs w:val="18"/>
                      <w:highlight w:val="none"/>
                    </w:rPr>
                  </w:pPr>
                </w:p>
              </w:tc>
              <w:tc>
                <w:tcPr>
                  <w:tcW w:w="279" w:type="pct"/>
                  <w:vMerge w:val="continue"/>
                  <w:tcBorders>
                    <w:tl2br w:val="nil"/>
                    <w:tr2bl w:val="nil"/>
                  </w:tcBorders>
                  <w:noWrap w:val="0"/>
                  <w:vAlign w:val="center"/>
                </w:tcPr>
                <w:p w14:paraId="6A0F5E31">
                  <w:pPr>
                    <w:ind w:left="-105" w:leftChars="-50" w:right="-105" w:rightChars="-50"/>
                    <w:jc w:val="center"/>
                    <w:rPr>
                      <w:rFonts w:hint="eastAsia" w:eastAsia="宋体"/>
                      <w:color w:val="auto"/>
                      <w:sz w:val="18"/>
                      <w:szCs w:val="18"/>
                      <w:highlight w:val="none"/>
                      <w:lang w:val="en-US" w:eastAsia="zh-CN"/>
                    </w:rPr>
                  </w:pPr>
                </w:p>
              </w:tc>
              <w:tc>
                <w:tcPr>
                  <w:tcW w:w="406" w:type="pct"/>
                  <w:tcBorders>
                    <w:tl2br w:val="nil"/>
                    <w:tr2bl w:val="nil"/>
                  </w:tcBorders>
                  <w:noWrap w:val="0"/>
                  <w:vAlign w:val="center"/>
                </w:tcPr>
                <w:p w14:paraId="4CF8FEE2">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散户6</w:t>
                  </w:r>
                </w:p>
              </w:tc>
              <w:tc>
                <w:tcPr>
                  <w:tcW w:w="694" w:type="pct"/>
                  <w:tcBorders>
                    <w:tl2br w:val="nil"/>
                    <w:tr2bl w:val="nil"/>
                  </w:tcBorders>
                  <w:noWrap w:val="0"/>
                  <w:vAlign w:val="center"/>
                </w:tcPr>
                <w:p w14:paraId="100B7662">
                  <w:pPr>
                    <w:ind w:left="-105" w:leftChars="-50" w:right="-105" w:rightChars="-50"/>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3</w:t>
                  </w:r>
                </w:p>
              </w:tc>
              <w:tc>
                <w:tcPr>
                  <w:tcW w:w="617" w:type="pct"/>
                  <w:tcBorders>
                    <w:tl2br w:val="nil"/>
                    <w:tr2bl w:val="nil"/>
                  </w:tcBorders>
                  <w:noWrap w:val="0"/>
                  <w:vAlign w:val="center"/>
                </w:tcPr>
                <w:p w14:paraId="411841AE">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S</w:t>
                  </w:r>
                </w:p>
              </w:tc>
              <w:tc>
                <w:tcPr>
                  <w:tcW w:w="832" w:type="pct"/>
                  <w:tcBorders>
                    <w:tl2br w:val="nil"/>
                    <w:tr2bl w:val="nil"/>
                  </w:tcBorders>
                  <w:noWrap w:val="0"/>
                  <w:vAlign w:val="center"/>
                </w:tcPr>
                <w:p w14:paraId="74BD6201">
                  <w:pPr>
                    <w:ind w:left="-105" w:leftChars="-50" w:right="-105" w:rightChars="-50"/>
                    <w:jc w:val="center"/>
                    <w:rPr>
                      <w:rFonts w:hint="default"/>
                      <w:color w:val="auto"/>
                      <w:sz w:val="18"/>
                      <w:szCs w:val="18"/>
                      <w:highlight w:val="none"/>
                      <w:lang w:val="en-US" w:eastAsia="zh-CN"/>
                    </w:rPr>
                  </w:pPr>
                  <w:r>
                    <w:rPr>
                      <w:rFonts w:hint="eastAsia"/>
                      <w:color w:val="auto"/>
                      <w:sz w:val="18"/>
                      <w:szCs w:val="18"/>
                      <w:highlight w:val="none"/>
                      <w:lang w:val="en-US" w:eastAsia="zh-CN"/>
                    </w:rPr>
                    <w:t>445</w:t>
                  </w:r>
                </w:p>
              </w:tc>
              <w:tc>
                <w:tcPr>
                  <w:tcW w:w="1814" w:type="pct"/>
                  <w:vMerge w:val="continue"/>
                  <w:tcBorders>
                    <w:tl2br w:val="nil"/>
                    <w:tr2bl w:val="nil"/>
                  </w:tcBorders>
                  <w:noWrap w:val="0"/>
                  <w:vAlign w:val="center"/>
                </w:tcPr>
                <w:p w14:paraId="78B4BBE3">
                  <w:pPr>
                    <w:ind w:left="-105" w:leftChars="-50" w:right="-105" w:rightChars="-50"/>
                    <w:jc w:val="center"/>
                    <w:rPr>
                      <w:rFonts w:hint="eastAsia"/>
                      <w:color w:val="auto"/>
                      <w:sz w:val="18"/>
                      <w:szCs w:val="18"/>
                      <w:highlight w:val="none"/>
                    </w:rPr>
                  </w:pPr>
                </w:p>
              </w:tc>
            </w:tr>
            <w:tr w14:paraId="7839E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356" w:type="pct"/>
                  <w:tcBorders>
                    <w:tl2br w:val="nil"/>
                    <w:tr2bl w:val="nil"/>
                  </w:tcBorders>
                  <w:noWrap w:val="0"/>
                  <w:vAlign w:val="center"/>
                </w:tcPr>
                <w:p w14:paraId="3670FE71">
                  <w:pPr>
                    <w:ind w:left="-105" w:leftChars="-50" w:right="-105" w:rightChars="-50"/>
                    <w:jc w:val="center"/>
                    <w:rPr>
                      <w:color w:val="auto"/>
                      <w:sz w:val="18"/>
                      <w:szCs w:val="18"/>
                      <w:highlight w:val="none"/>
                    </w:rPr>
                  </w:pPr>
                  <w:r>
                    <w:rPr>
                      <w:color w:val="auto"/>
                      <w:sz w:val="18"/>
                      <w:szCs w:val="18"/>
                      <w:highlight w:val="none"/>
                    </w:rPr>
                    <w:t>声环境</w:t>
                  </w:r>
                </w:p>
              </w:tc>
              <w:tc>
                <w:tcPr>
                  <w:tcW w:w="2829" w:type="pct"/>
                  <w:gridSpan w:val="5"/>
                  <w:tcBorders>
                    <w:tl2br w:val="nil"/>
                    <w:tr2bl w:val="nil"/>
                  </w:tcBorders>
                  <w:noWrap w:val="0"/>
                  <w:vAlign w:val="center"/>
                </w:tcPr>
                <w:p w14:paraId="0B047CEE">
                  <w:pPr>
                    <w:ind w:left="-105" w:leftChars="-50" w:right="-105" w:rightChars="-50"/>
                    <w:jc w:val="center"/>
                    <w:rPr>
                      <w:color w:val="auto"/>
                      <w:sz w:val="18"/>
                      <w:szCs w:val="18"/>
                      <w:highlight w:val="none"/>
                    </w:rPr>
                  </w:pPr>
                  <w:r>
                    <w:rPr>
                      <w:rStyle w:val="29"/>
                      <w:color w:val="auto"/>
                      <w:sz w:val="18"/>
                      <w:szCs w:val="18"/>
                      <w:highlight w:val="none"/>
                    </w:rPr>
                    <w:t>厂界外50m范围内无</w:t>
                  </w:r>
                  <w:r>
                    <w:rPr>
                      <w:rStyle w:val="29"/>
                      <w:rFonts w:hint="eastAsia"/>
                      <w:color w:val="auto"/>
                      <w:sz w:val="18"/>
                      <w:szCs w:val="18"/>
                      <w:highlight w:val="none"/>
                    </w:rPr>
                    <w:t>声环境保护</w:t>
                  </w:r>
                  <w:r>
                    <w:rPr>
                      <w:rStyle w:val="29"/>
                      <w:color w:val="auto"/>
                      <w:sz w:val="18"/>
                      <w:szCs w:val="18"/>
                      <w:highlight w:val="none"/>
                    </w:rPr>
                    <w:t>目标</w:t>
                  </w:r>
                </w:p>
              </w:tc>
              <w:tc>
                <w:tcPr>
                  <w:tcW w:w="1814" w:type="pct"/>
                  <w:tcBorders>
                    <w:tl2br w:val="nil"/>
                    <w:tr2bl w:val="nil"/>
                  </w:tcBorders>
                  <w:noWrap w:val="0"/>
                  <w:vAlign w:val="center"/>
                </w:tcPr>
                <w:p w14:paraId="632F7C77">
                  <w:pPr>
                    <w:ind w:left="-105" w:leftChars="-50" w:right="-105" w:rightChars="-50"/>
                    <w:jc w:val="center"/>
                    <w:rPr>
                      <w:color w:val="auto"/>
                      <w:sz w:val="18"/>
                      <w:szCs w:val="18"/>
                      <w:highlight w:val="none"/>
                    </w:rPr>
                  </w:pPr>
                  <w:r>
                    <w:rPr>
                      <w:rFonts w:hint="eastAsia"/>
                      <w:color w:val="auto"/>
                      <w:sz w:val="18"/>
                      <w:szCs w:val="18"/>
                      <w:highlight w:val="none"/>
                    </w:rPr>
                    <w:t>声环境</w:t>
                  </w:r>
                  <w:r>
                    <w:rPr>
                      <w:rFonts w:hint="eastAsia"/>
                      <w:color w:val="auto"/>
                      <w:sz w:val="18"/>
                      <w:szCs w:val="18"/>
                      <w:highlight w:val="none"/>
                      <w:lang w:val="en-US" w:eastAsia="zh-CN"/>
                    </w:rPr>
                    <w:t>3</w:t>
                  </w:r>
                  <w:r>
                    <w:rPr>
                      <w:rFonts w:hint="eastAsia"/>
                      <w:color w:val="auto"/>
                      <w:sz w:val="18"/>
                      <w:szCs w:val="18"/>
                      <w:highlight w:val="none"/>
                    </w:rPr>
                    <w:t>类功能区</w:t>
                  </w:r>
                </w:p>
              </w:tc>
            </w:tr>
            <w:tr w14:paraId="66890F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356" w:type="pct"/>
                  <w:tcBorders>
                    <w:tl2br w:val="nil"/>
                    <w:tr2bl w:val="nil"/>
                  </w:tcBorders>
                  <w:noWrap w:val="0"/>
                  <w:vAlign w:val="center"/>
                </w:tcPr>
                <w:p w14:paraId="2F2E599B">
                  <w:pPr>
                    <w:ind w:left="-105" w:leftChars="-50" w:right="-105" w:rightChars="-5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土壤</w:t>
                  </w:r>
                </w:p>
              </w:tc>
              <w:tc>
                <w:tcPr>
                  <w:tcW w:w="2829" w:type="pct"/>
                  <w:gridSpan w:val="5"/>
                  <w:tcBorders>
                    <w:tl2br w:val="nil"/>
                    <w:tr2bl w:val="nil"/>
                  </w:tcBorders>
                  <w:noWrap w:val="0"/>
                  <w:vAlign w:val="center"/>
                </w:tcPr>
                <w:p w14:paraId="0ED0BFC0">
                  <w:pPr>
                    <w:ind w:left="-105" w:leftChars="-50" w:right="-105" w:rightChars="-50"/>
                    <w:jc w:val="center"/>
                    <w:rPr>
                      <w:rStyle w:val="29"/>
                      <w:rFonts w:hint="default"/>
                      <w:color w:val="auto"/>
                      <w:sz w:val="18"/>
                      <w:szCs w:val="18"/>
                      <w:highlight w:val="none"/>
                      <w:lang w:val="en-US" w:eastAsia="zh-CN"/>
                    </w:rPr>
                  </w:pPr>
                  <w:r>
                    <w:rPr>
                      <w:rStyle w:val="29"/>
                      <w:rFonts w:hint="eastAsia"/>
                      <w:color w:val="auto"/>
                      <w:sz w:val="18"/>
                      <w:szCs w:val="18"/>
                      <w:highlight w:val="none"/>
                      <w:lang w:val="en-US" w:eastAsia="zh-CN"/>
                    </w:rPr>
                    <w:t>厂界外天然牧草地</w:t>
                  </w:r>
                </w:p>
              </w:tc>
              <w:tc>
                <w:tcPr>
                  <w:tcW w:w="1814" w:type="pct"/>
                  <w:tcBorders>
                    <w:tl2br w:val="nil"/>
                    <w:tr2bl w:val="nil"/>
                  </w:tcBorders>
                  <w:noWrap w:val="0"/>
                  <w:vAlign w:val="center"/>
                </w:tcPr>
                <w:p w14:paraId="112D3259">
                  <w:pPr>
                    <w:ind w:left="-105" w:leftChars="-50" w:right="-105" w:rightChars="-50"/>
                    <w:jc w:val="center"/>
                    <w:rPr>
                      <w:rFonts w:hint="eastAsia"/>
                      <w:color w:val="auto"/>
                      <w:sz w:val="18"/>
                      <w:szCs w:val="18"/>
                      <w:highlight w:val="none"/>
                    </w:rPr>
                  </w:pPr>
                  <w:r>
                    <w:rPr>
                      <w:rFonts w:hint="eastAsia" w:ascii="Times New Roman" w:hAnsi="Times New Roman" w:eastAsia="宋体" w:cs="Times New Roman"/>
                      <w:color w:val="auto"/>
                      <w:sz w:val="18"/>
                      <w:szCs w:val="18"/>
                      <w:highlight w:val="none"/>
                      <w:lang w:val="zh-CN"/>
                    </w:rPr>
                    <w:t>《土壤环境质量 农用地土壤污染风险管控标准》（试行）GB15618-2018）中</w:t>
                  </w:r>
                  <w:r>
                    <w:rPr>
                      <w:rFonts w:hint="eastAsia" w:ascii="Times New Roman" w:hAnsi="Times New Roman" w:eastAsia="宋体" w:cs="Times New Roman"/>
                      <w:color w:val="auto"/>
                      <w:sz w:val="18"/>
                      <w:szCs w:val="18"/>
                      <w:highlight w:val="none"/>
                    </w:rPr>
                    <w:t>环境风险筛选值</w:t>
                  </w:r>
                </w:p>
              </w:tc>
            </w:tr>
            <w:tr w14:paraId="208493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356" w:type="pct"/>
                  <w:tcBorders>
                    <w:tl2br w:val="nil"/>
                    <w:tr2bl w:val="nil"/>
                  </w:tcBorders>
                  <w:noWrap w:val="0"/>
                  <w:vAlign w:val="center"/>
                </w:tcPr>
                <w:p w14:paraId="25C05348">
                  <w:pPr>
                    <w:ind w:left="-105" w:leftChars="-50" w:right="-105" w:rightChars="-50"/>
                    <w:jc w:val="center"/>
                    <w:rPr>
                      <w:rFonts w:hint="eastAsia"/>
                      <w:color w:val="auto"/>
                      <w:sz w:val="18"/>
                      <w:szCs w:val="18"/>
                      <w:highlight w:val="none"/>
                    </w:rPr>
                  </w:pPr>
                  <w:r>
                    <w:rPr>
                      <w:color w:val="auto"/>
                      <w:sz w:val="18"/>
                      <w:szCs w:val="18"/>
                      <w:highlight w:val="none"/>
                    </w:rPr>
                    <w:t>地下水</w:t>
                  </w:r>
                  <w:r>
                    <w:rPr>
                      <w:rFonts w:hint="eastAsia"/>
                      <w:color w:val="auto"/>
                      <w:sz w:val="18"/>
                      <w:szCs w:val="18"/>
                      <w:highlight w:val="none"/>
                    </w:rPr>
                    <w:t>环境</w:t>
                  </w:r>
                </w:p>
              </w:tc>
              <w:tc>
                <w:tcPr>
                  <w:tcW w:w="2829" w:type="pct"/>
                  <w:gridSpan w:val="5"/>
                  <w:tcBorders>
                    <w:tl2br w:val="nil"/>
                    <w:tr2bl w:val="nil"/>
                  </w:tcBorders>
                  <w:noWrap w:val="0"/>
                  <w:vAlign w:val="center"/>
                </w:tcPr>
                <w:p w14:paraId="4835E41B">
                  <w:pPr>
                    <w:ind w:left="-105" w:leftChars="-50" w:right="-105" w:rightChars="-50"/>
                    <w:jc w:val="center"/>
                    <w:rPr>
                      <w:color w:val="auto"/>
                      <w:sz w:val="18"/>
                      <w:szCs w:val="18"/>
                      <w:highlight w:val="none"/>
                    </w:rPr>
                  </w:pPr>
                  <w:r>
                    <w:rPr>
                      <w:color w:val="auto"/>
                      <w:sz w:val="18"/>
                      <w:szCs w:val="18"/>
                      <w:highlight w:val="none"/>
                    </w:rPr>
                    <w:t>厂界外500m范围内无地下水集中式饮用水水源和热水、矿泉水、温泉等特殊地下水资源</w:t>
                  </w:r>
                </w:p>
              </w:tc>
              <w:tc>
                <w:tcPr>
                  <w:tcW w:w="1814" w:type="pct"/>
                  <w:tcBorders>
                    <w:tl2br w:val="nil"/>
                    <w:tr2bl w:val="nil"/>
                  </w:tcBorders>
                  <w:noWrap w:val="0"/>
                  <w:vAlign w:val="center"/>
                </w:tcPr>
                <w:p w14:paraId="34533F06">
                  <w:pPr>
                    <w:ind w:left="-105" w:leftChars="-50" w:right="-105" w:rightChars="-50"/>
                    <w:jc w:val="center"/>
                    <w:rPr>
                      <w:color w:val="auto"/>
                      <w:sz w:val="18"/>
                      <w:szCs w:val="18"/>
                      <w:highlight w:val="none"/>
                    </w:rPr>
                  </w:pPr>
                  <w:r>
                    <w:rPr>
                      <w:color w:val="auto"/>
                      <w:sz w:val="18"/>
                      <w:szCs w:val="18"/>
                      <w:highlight w:val="none"/>
                    </w:rPr>
                    <w:t>《地下水</w:t>
                  </w:r>
                  <w:r>
                    <w:rPr>
                      <w:rFonts w:hint="eastAsia"/>
                      <w:color w:val="auto"/>
                      <w:sz w:val="18"/>
                      <w:szCs w:val="18"/>
                      <w:highlight w:val="none"/>
                    </w:rPr>
                    <w:t>环境</w:t>
                  </w:r>
                  <w:r>
                    <w:rPr>
                      <w:color w:val="auto"/>
                      <w:sz w:val="18"/>
                      <w:szCs w:val="18"/>
                      <w:highlight w:val="none"/>
                    </w:rPr>
                    <w:t>质量标准》（GB/T14848-2017）中Ⅲ类标准</w:t>
                  </w:r>
                </w:p>
              </w:tc>
            </w:tr>
            <w:tr w14:paraId="485E9A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356" w:type="pct"/>
                  <w:tcBorders>
                    <w:tl2br w:val="nil"/>
                    <w:tr2bl w:val="nil"/>
                  </w:tcBorders>
                  <w:noWrap w:val="0"/>
                  <w:vAlign w:val="center"/>
                </w:tcPr>
                <w:p w14:paraId="3050EB4D">
                  <w:pPr>
                    <w:ind w:left="-105" w:leftChars="-50" w:right="-105" w:rightChars="-50"/>
                    <w:jc w:val="center"/>
                    <w:rPr>
                      <w:color w:val="auto"/>
                      <w:sz w:val="18"/>
                      <w:szCs w:val="18"/>
                      <w:highlight w:val="none"/>
                    </w:rPr>
                  </w:pPr>
                  <w:r>
                    <w:rPr>
                      <w:color w:val="auto"/>
                      <w:sz w:val="18"/>
                      <w:szCs w:val="18"/>
                      <w:highlight w:val="none"/>
                    </w:rPr>
                    <w:t>生态</w:t>
                  </w:r>
                </w:p>
                <w:p w14:paraId="3082E11F">
                  <w:pPr>
                    <w:ind w:left="-105" w:leftChars="-50" w:right="-105" w:rightChars="-50"/>
                    <w:jc w:val="center"/>
                    <w:rPr>
                      <w:color w:val="auto"/>
                      <w:sz w:val="18"/>
                      <w:szCs w:val="18"/>
                      <w:highlight w:val="none"/>
                    </w:rPr>
                  </w:pPr>
                  <w:r>
                    <w:rPr>
                      <w:color w:val="auto"/>
                      <w:sz w:val="18"/>
                      <w:szCs w:val="18"/>
                      <w:highlight w:val="none"/>
                    </w:rPr>
                    <w:t>环境</w:t>
                  </w:r>
                </w:p>
              </w:tc>
              <w:tc>
                <w:tcPr>
                  <w:tcW w:w="4643" w:type="pct"/>
                  <w:gridSpan w:val="6"/>
                  <w:tcBorders>
                    <w:tl2br w:val="nil"/>
                    <w:tr2bl w:val="nil"/>
                  </w:tcBorders>
                  <w:noWrap w:val="0"/>
                  <w:vAlign w:val="center"/>
                </w:tcPr>
                <w:p w14:paraId="5622211B">
                  <w:pPr>
                    <w:ind w:left="-105" w:leftChars="-50" w:right="-105" w:rightChars="-50"/>
                    <w:jc w:val="center"/>
                    <w:rPr>
                      <w:rFonts w:hint="eastAsia"/>
                      <w:color w:val="auto"/>
                      <w:sz w:val="18"/>
                      <w:szCs w:val="18"/>
                      <w:highlight w:val="none"/>
                    </w:rPr>
                  </w:pPr>
                  <w:r>
                    <w:rPr>
                      <w:rFonts w:hint="eastAsia"/>
                      <w:color w:val="auto"/>
                      <w:sz w:val="18"/>
                      <w:szCs w:val="18"/>
                      <w:highlight w:val="none"/>
                    </w:rPr>
                    <w:t>本项目占地范围内无生态环境保护目标</w:t>
                  </w:r>
                </w:p>
              </w:tc>
            </w:tr>
          </w:tbl>
          <w:p w14:paraId="7061D860">
            <w:pPr>
              <w:adjustRightInd w:val="0"/>
              <w:snapToGrid w:val="0"/>
              <w:jc w:val="both"/>
              <w:rPr>
                <w:rFonts w:ascii="宋体" w:hAnsi="宋体" w:cs="宋体"/>
                <w:color w:val="auto"/>
                <w:kern w:val="0"/>
                <w:szCs w:val="21"/>
                <w:highlight w:val="none"/>
              </w:rPr>
            </w:pPr>
          </w:p>
        </w:tc>
      </w:tr>
      <w:tr w14:paraId="72043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904" w:type="dxa"/>
            <w:noWrap w:val="0"/>
            <w:vAlign w:val="center"/>
          </w:tcPr>
          <w:p w14:paraId="2E4B8B21">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评价</w:t>
            </w:r>
          </w:p>
          <w:p w14:paraId="5C8BD166">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标准</w:t>
            </w:r>
          </w:p>
        </w:tc>
        <w:tc>
          <w:tcPr>
            <w:tcW w:w="8253" w:type="dxa"/>
            <w:noWrap w:val="0"/>
            <w:vAlign w:val="top"/>
          </w:tcPr>
          <w:p w14:paraId="696C91BD">
            <w:pPr>
              <w:spacing w:line="360" w:lineRule="auto"/>
              <w:ind w:firstLine="422" w:firstLineChars="200"/>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1、环境质量标准</w:t>
            </w:r>
          </w:p>
          <w:p w14:paraId="56B63CC2">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color w:val="auto"/>
                <w:sz w:val="21"/>
                <w:szCs w:val="21"/>
                <w:highlight w:val="none"/>
              </w:rPr>
            </w:pPr>
            <w:r>
              <w:rPr>
                <w:color w:val="auto"/>
                <w:sz w:val="21"/>
                <w:szCs w:val="21"/>
                <w:highlight w:val="none"/>
              </w:rPr>
              <w:t>（1）环境空气</w:t>
            </w:r>
          </w:p>
          <w:p w14:paraId="160B164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Times New Roman" w:hAnsi="Times New Roman"/>
                <w:color w:val="auto"/>
                <w:sz w:val="21"/>
                <w:szCs w:val="21"/>
                <w:highlight w:val="none"/>
              </w:rPr>
            </w:pPr>
            <w:r>
              <w:rPr>
                <w:rFonts w:hint="eastAsia"/>
                <w:color w:val="auto"/>
                <w:sz w:val="21"/>
                <w:szCs w:val="21"/>
                <w:highlight w:val="none"/>
                <w:lang w:val="en-US" w:eastAsia="zh-CN"/>
              </w:rPr>
              <w:t>本项目所在区域环境空气质量</w:t>
            </w:r>
            <w:r>
              <w:rPr>
                <w:color w:val="auto"/>
                <w:sz w:val="21"/>
                <w:szCs w:val="21"/>
                <w:highlight w:val="none"/>
              </w:rPr>
              <w:t>执行《环境空气质量标准》（GB3095-2012）及修改单中</w:t>
            </w:r>
            <w:r>
              <w:rPr>
                <w:rFonts w:hint="eastAsia"/>
                <w:color w:val="auto"/>
                <w:sz w:val="21"/>
                <w:szCs w:val="21"/>
                <w:highlight w:val="none"/>
                <w:lang w:val="en-US" w:eastAsia="zh-CN"/>
              </w:rPr>
              <w:t>二</w:t>
            </w:r>
            <w:r>
              <w:rPr>
                <w:color w:val="auto"/>
                <w:sz w:val="21"/>
                <w:szCs w:val="21"/>
                <w:highlight w:val="none"/>
              </w:rPr>
              <w:t>级标准</w:t>
            </w:r>
            <w:r>
              <w:rPr>
                <w:rFonts w:hint="eastAsia"/>
                <w:color w:val="auto"/>
                <w:sz w:val="21"/>
                <w:szCs w:val="21"/>
                <w:highlight w:val="none"/>
              </w:rPr>
              <w:t>。</w:t>
            </w:r>
            <w:r>
              <w:rPr>
                <w:rFonts w:hint="eastAsia"/>
                <w:color w:val="auto"/>
                <w:sz w:val="21"/>
                <w:szCs w:val="21"/>
                <w:highlight w:val="none"/>
                <w:lang w:val="en-US" w:eastAsia="zh-CN"/>
              </w:rPr>
              <w:t>具体</w:t>
            </w:r>
            <w:r>
              <w:rPr>
                <w:rFonts w:ascii="Times New Roman" w:hAnsi="Times New Roman"/>
                <w:color w:val="auto"/>
                <w:sz w:val="21"/>
                <w:szCs w:val="21"/>
                <w:highlight w:val="none"/>
              </w:rPr>
              <w:t>标准</w:t>
            </w:r>
            <w:r>
              <w:rPr>
                <w:rFonts w:hint="eastAsia" w:ascii="Times New Roman" w:hAnsi="Times New Roman"/>
                <w:color w:val="auto"/>
                <w:sz w:val="21"/>
                <w:szCs w:val="21"/>
                <w:highlight w:val="none"/>
                <w:lang w:val="en-US" w:eastAsia="zh-CN"/>
              </w:rPr>
              <w:t>限值</w:t>
            </w:r>
            <w:r>
              <w:rPr>
                <w:rFonts w:ascii="Times New Roman" w:hAnsi="Times New Roman"/>
                <w:color w:val="auto"/>
                <w:sz w:val="21"/>
                <w:szCs w:val="21"/>
                <w:highlight w:val="none"/>
              </w:rPr>
              <w:t>见表</w:t>
            </w:r>
            <w:r>
              <w:rPr>
                <w:rFonts w:hint="eastAsia" w:ascii="Times New Roman" w:hAnsi="Times New Roman"/>
                <w:color w:val="auto"/>
                <w:sz w:val="21"/>
                <w:szCs w:val="21"/>
                <w:highlight w:val="none"/>
                <w:lang w:val="en-US" w:eastAsia="zh-CN"/>
              </w:rPr>
              <w:t>3-2</w:t>
            </w:r>
            <w:r>
              <w:rPr>
                <w:rFonts w:ascii="Times New Roman" w:hAnsi="Times New Roman"/>
                <w:color w:val="auto"/>
                <w:sz w:val="21"/>
                <w:szCs w:val="21"/>
                <w:highlight w:val="none"/>
              </w:rPr>
              <w:t>。</w:t>
            </w:r>
          </w:p>
          <w:p w14:paraId="5DDE02F5">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Times New Roman" w:hAnsi="Times New Roman"/>
                <w:b/>
                <w:color w:val="auto"/>
                <w:sz w:val="21"/>
                <w:szCs w:val="21"/>
                <w:highlight w:val="none"/>
              </w:rPr>
            </w:pPr>
            <w:r>
              <w:rPr>
                <w:rFonts w:ascii="Times New Roman" w:hAnsi="Times New Roman"/>
                <w:b/>
                <w:color w:val="auto"/>
                <w:sz w:val="21"/>
                <w:szCs w:val="21"/>
                <w:highlight w:val="none"/>
              </w:rPr>
              <w:t>表</w:t>
            </w:r>
            <w:r>
              <w:rPr>
                <w:rFonts w:hint="eastAsia" w:ascii="Times New Roman" w:hAnsi="Times New Roman"/>
                <w:b/>
                <w:color w:val="auto"/>
                <w:sz w:val="21"/>
                <w:szCs w:val="21"/>
                <w:highlight w:val="none"/>
                <w:lang w:val="en-US" w:eastAsia="zh-CN"/>
              </w:rPr>
              <w:t>3-2</w:t>
            </w:r>
            <w:r>
              <w:rPr>
                <w:rFonts w:hint="eastAsia" w:ascii="Times New Roman" w:hAnsi="Times New Roman"/>
                <w:b/>
                <w:color w:val="auto"/>
                <w:sz w:val="21"/>
                <w:szCs w:val="21"/>
                <w:highlight w:val="none"/>
              </w:rPr>
              <w:t xml:space="preserve">    </w:t>
            </w:r>
            <w:r>
              <w:rPr>
                <w:rFonts w:ascii="Times New Roman" w:hAnsi="Times New Roman"/>
                <w:b/>
                <w:color w:val="auto"/>
                <w:sz w:val="21"/>
                <w:szCs w:val="21"/>
                <w:highlight w:val="none"/>
              </w:rPr>
              <w:t>环境空气质量标准</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7"/>
              <w:gridCol w:w="2037"/>
              <w:gridCol w:w="2612"/>
              <w:gridCol w:w="1758"/>
            </w:tblGrid>
            <w:tr w14:paraId="676248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47" w:hRule="atLeast"/>
                <w:tblHeader/>
                <w:jc w:val="center"/>
              </w:trPr>
              <w:tc>
                <w:tcPr>
                  <w:tcW w:w="1012" w:type="pct"/>
                  <w:tcBorders>
                    <w:tl2br w:val="nil"/>
                    <w:tr2bl w:val="nil"/>
                  </w:tcBorders>
                  <w:noWrap w:val="0"/>
                  <w:vAlign w:val="center"/>
                </w:tcPr>
                <w:p w14:paraId="408AF41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污染物名称</w:t>
                  </w:r>
                </w:p>
              </w:tc>
              <w:tc>
                <w:tcPr>
                  <w:tcW w:w="1267" w:type="pct"/>
                  <w:tcBorders>
                    <w:tl2br w:val="nil"/>
                    <w:tr2bl w:val="nil"/>
                  </w:tcBorders>
                  <w:noWrap w:val="0"/>
                  <w:vAlign w:val="center"/>
                </w:tcPr>
                <w:p w14:paraId="7E49083D">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取值时间</w:t>
                  </w:r>
                </w:p>
              </w:tc>
              <w:tc>
                <w:tcPr>
                  <w:tcW w:w="1625" w:type="pct"/>
                  <w:tcBorders>
                    <w:tl2br w:val="nil"/>
                    <w:tr2bl w:val="nil"/>
                  </w:tcBorders>
                  <w:noWrap w:val="0"/>
                  <w:vAlign w:val="center"/>
                </w:tcPr>
                <w:p w14:paraId="7518AC94">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二级标准浓度限值</w:t>
                  </w:r>
                </w:p>
              </w:tc>
              <w:tc>
                <w:tcPr>
                  <w:tcW w:w="1094" w:type="pct"/>
                  <w:tcBorders>
                    <w:tl2br w:val="nil"/>
                    <w:tr2bl w:val="nil"/>
                  </w:tcBorders>
                  <w:noWrap w:val="0"/>
                  <w:vAlign w:val="center"/>
                </w:tcPr>
                <w:p w14:paraId="76784504">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浓度单位</w:t>
                  </w:r>
                </w:p>
              </w:tc>
            </w:tr>
            <w:tr w14:paraId="436C9D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012" w:type="pct"/>
                  <w:vMerge w:val="restart"/>
                  <w:tcBorders>
                    <w:tl2br w:val="nil"/>
                    <w:tr2bl w:val="nil"/>
                  </w:tcBorders>
                  <w:noWrap w:val="0"/>
                  <w:vAlign w:val="center"/>
                </w:tcPr>
                <w:p w14:paraId="5FEC512D">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SO</w:t>
                  </w:r>
                  <w:r>
                    <w:rPr>
                      <w:rFonts w:hint="default" w:ascii="Times New Roman" w:hAnsi="Times New Roman" w:cs="Times New Roman"/>
                      <w:color w:val="auto"/>
                      <w:sz w:val="18"/>
                      <w:szCs w:val="18"/>
                      <w:highlight w:val="none"/>
                      <w:vertAlign w:val="subscript"/>
                      <w:lang w:val="en-US" w:eastAsia="zh-CN"/>
                    </w:rPr>
                    <w:t>2</w:t>
                  </w:r>
                </w:p>
              </w:tc>
              <w:tc>
                <w:tcPr>
                  <w:tcW w:w="1267" w:type="pct"/>
                  <w:tcBorders>
                    <w:tl2br w:val="nil"/>
                    <w:tr2bl w:val="nil"/>
                  </w:tcBorders>
                  <w:noWrap w:val="0"/>
                  <w:vAlign w:val="center"/>
                </w:tcPr>
                <w:p w14:paraId="087E60AA">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年平均</w:t>
                  </w:r>
                </w:p>
              </w:tc>
              <w:tc>
                <w:tcPr>
                  <w:tcW w:w="1625" w:type="pct"/>
                  <w:tcBorders>
                    <w:tl2br w:val="nil"/>
                    <w:tr2bl w:val="nil"/>
                  </w:tcBorders>
                  <w:noWrap w:val="0"/>
                  <w:vAlign w:val="center"/>
                </w:tcPr>
                <w:p w14:paraId="30E9D649">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60</w:t>
                  </w:r>
                </w:p>
              </w:tc>
              <w:tc>
                <w:tcPr>
                  <w:tcW w:w="1094" w:type="pct"/>
                  <w:vMerge w:val="restart"/>
                  <w:tcBorders>
                    <w:tl2br w:val="nil"/>
                    <w:tr2bl w:val="nil"/>
                  </w:tcBorders>
                  <w:noWrap w:val="0"/>
                  <w:vAlign w:val="center"/>
                </w:tcPr>
                <w:p w14:paraId="09790F2C">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μg/m</w:t>
                  </w:r>
                  <w:r>
                    <w:rPr>
                      <w:rFonts w:hint="default" w:ascii="Times New Roman" w:hAnsi="Times New Roman" w:cs="Times New Roman"/>
                      <w:color w:val="auto"/>
                      <w:sz w:val="18"/>
                      <w:szCs w:val="18"/>
                      <w:highlight w:val="none"/>
                      <w:vertAlign w:val="superscript"/>
                    </w:rPr>
                    <w:t>3</w:t>
                  </w:r>
                </w:p>
              </w:tc>
            </w:tr>
            <w:tr w14:paraId="59F169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012" w:type="pct"/>
                  <w:vMerge w:val="continue"/>
                  <w:tcBorders>
                    <w:tl2br w:val="nil"/>
                    <w:tr2bl w:val="nil"/>
                  </w:tcBorders>
                  <w:noWrap w:val="0"/>
                  <w:vAlign w:val="center"/>
                </w:tcPr>
                <w:p w14:paraId="09FF136B">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p>
              </w:tc>
              <w:tc>
                <w:tcPr>
                  <w:tcW w:w="1267" w:type="pct"/>
                  <w:tcBorders>
                    <w:tl2br w:val="nil"/>
                    <w:tr2bl w:val="nil"/>
                  </w:tcBorders>
                  <w:noWrap w:val="0"/>
                  <w:vAlign w:val="center"/>
                </w:tcPr>
                <w:p w14:paraId="12FCA480">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24小时平均</w:t>
                  </w:r>
                </w:p>
              </w:tc>
              <w:tc>
                <w:tcPr>
                  <w:tcW w:w="1625" w:type="pct"/>
                  <w:tcBorders>
                    <w:tl2br w:val="nil"/>
                    <w:tr2bl w:val="nil"/>
                  </w:tcBorders>
                  <w:noWrap w:val="0"/>
                  <w:vAlign w:val="center"/>
                </w:tcPr>
                <w:p w14:paraId="37108E42">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150</w:t>
                  </w:r>
                </w:p>
              </w:tc>
              <w:tc>
                <w:tcPr>
                  <w:tcW w:w="1094" w:type="pct"/>
                  <w:vMerge w:val="continue"/>
                  <w:tcBorders>
                    <w:tl2br w:val="nil"/>
                    <w:tr2bl w:val="nil"/>
                  </w:tcBorders>
                  <w:noWrap w:val="0"/>
                  <w:vAlign w:val="center"/>
                </w:tcPr>
                <w:p w14:paraId="102BE116">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p>
              </w:tc>
            </w:tr>
            <w:tr w14:paraId="123989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2" w:type="pct"/>
                  <w:vMerge w:val="continue"/>
                  <w:tcBorders>
                    <w:tl2br w:val="nil"/>
                    <w:tr2bl w:val="nil"/>
                  </w:tcBorders>
                  <w:noWrap w:val="0"/>
                  <w:vAlign w:val="center"/>
                </w:tcPr>
                <w:p w14:paraId="6E91CCDC">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c>
                <w:tcPr>
                  <w:tcW w:w="1267" w:type="pct"/>
                  <w:tcBorders>
                    <w:tl2br w:val="nil"/>
                    <w:tr2bl w:val="nil"/>
                  </w:tcBorders>
                  <w:noWrap w:val="0"/>
                  <w:vAlign w:val="center"/>
                </w:tcPr>
                <w:p w14:paraId="3BB0C871">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1小时平均</w:t>
                  </w:r>
                </w:p>
              </w:tc>
              <w:tc>
                <w:tcPr>
                  <w:tcW w:w="1625" w:type="pct"/>
                  <w:tcBorders>
                    <w:tl2br w:val="nil"/>
                    <w:tr2bl w:val="nil"/>
                  </w:tcBorders>
                  <w:noWrap w:val="0"/>
                  <w:vAlign w:val="center"/>
                </w:tcPr>
                <w:p w14:paraId="77F5D366">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500</w:t>
                  </w:r>
                </w:p>
              </w:tc>
              <w:tc>
                <w:tcPr>
                  <w:tcW w:w="1094" w:type="pct"/>
                  <w:vMerge w:val="continue"/>
                  <w:tcBorders>
                    <w:tl2br w:val="nil"/>
                    <w:tr2bl w:val="nil"/>
                  </w:tcBorders>
                  <w:noWrap w:val="0"/>
                  <w:vAlign w:val="center"/>
                </w:tcPr>
                <w:p w14:paraId="659F96CC">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2E7DC5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2" w:type="pct"/>
                  <w:vMerge w:val="restart"/>
                  <w:tcBorders>
                    <w:tl2br w:val="nil"/>
                    <w:tr2bl w:val="nil"/>
                  </w:tcBorders>
                  <w:noWrap w:val="0"/>
                  <w:vAlign w:val="center"/>
                </w:tcPr>
                <w:p w14:paraId="67107F50">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TSP</w:t>
                  </w:r>
                </w:p>
              </w:tc>
              <w:tc>
                <w:tcPr>
                  <w:tcW w:w="1267" w:type="pct"/>
                  <w:tcBorders>
                    <w:tl2br w:val="nil"/>
                    <w:tr2bl w:val="nil"/>
                  </w:tcBorders>
                  <w:noWrap w:val="0"/>
                  <w:vAlign w:val="center"/>
                </w:tcPr>
                <w:p w14:paraId="7E576B3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年平均</w:t>
                  </w:r>
                </w:p>
              </w:tc>
              <w:tc>
                <w:tcPr>
                  <w:tcW w:w="1625" w:type="pct"/>
                  <w:tcBorders>
                    <w:tl2br w:val="nil"/>
                    <w:tr2bl w:val="nil"/>
                  </w:tcBorders>
                  <w:noWrap w:val="0"/>
                  <w:vAlign w:val="center"/>
                </w:tcPr>
                <w:p w14:paraId="7A8BCB76">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200</w:t>
                  </w:r>
                </w:p>
              </w:tc>
              <w:tc>
                <w:tcPr>
                  <w:tcW w:w="1094" w:type="pct"/>
                  <w:vMerge w:val="continue"/>
                  <w:tcBorders>
                    <w:tl2br w:val="nil"/>
                    <w:tr2bl w:val="nil"/>
                  </w:tcBorders>
                  <w:noWrap w:val="0"/>
                  <w:vAlign w:val="center"/>
                </w:tcPr>
                <w:p w14:paraId="59EEA59E">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72CE92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2" w:type="pct"/>
                  <w:vMerge w:val="continue"/>
                  <w:tcBorders>
                    <w:tl2br w:val="nil"/>
                    <w:tr2bl w:val="nil"/>
                  </w:tcBorders>
                  <w:noWrap w:val="0"/>
                  <w:vAlign w:val="center"/>
                </w:tcPr>
                <w:p w14:paraId="7B08527F">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c>
                <w:tcPr>
                  <w:tcW w:w="1267" w:type="pct"/>
                  <w:tcBorders>
                    <w:tl2br w:val="nil"/>
                    <w:tr2bl w:val="nil"/>
                  </w:tcBorders>
                  <w:noWrap w:val="0"/>
                  <w:vAlign w:val="center"/>
                </w:tcPr>
                <w:p w14:paraId="6C7FC088">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24小时平均</w:t>
                  </w:r>
                </w:p>
              </w:tc>
              <w:tc>
                <w:tcPr>
                  <w:tcW w:w="1625" w:type="pct"/>
                  <w:tcBorders>
                    <w:tl2br w:val="nil"/>
                    <w:tr2bl w:val="nil"/>
                  </w:tcBorders>
                  <w:noWrap w:val="0"/>
                  <w:vAlign w:val="center"/>
                </w:tcPr>
                <w:p w14:paraId="1EA77295">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300</w:t>
                  </w:r>
                </w:p>
              </w:tc>
              <w:tc>
                <w:tcPr>
                  <w:tcW w:w="1094" w:type="pct"/>
                  <w:vMerge w:val="continue"/>
                  <w:tcBorders>
                    <w:tl2br w:val="nil"/>
                    <w:tr2bl w:val="nil"/>
                  </w:tcBorders>
                  <w:noWrap w:val="0"/>
                  <w:vAlign w:val="center"/>
                </w:tcPr>
                <w:p w14:paraId="7B4C07BF">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447F31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2" w:type="pct"/>
                  <w:vMerge w:val="restart"/>
                  <w:tcBorders>
                    <w:tl2br w:val="nil"/>
                    <w:tr2bl w:val="nil"/>
                  </w:tcBorders>
                  <w:noWrap w:val="0"/>
                  <w:vAlign w:val="center"/>
                </w:tcPr>
                <w:p w14:paraId="5376F76F">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NO</w:t>
                  </w:r>
                  <w:r>
                    <w:rPr>
                      <w:rFonts w:hint="default" w:ascii="Times New Roman" w:hAnsi="Times New Roman" w:cs="Times New Roman"/>
                      <w:color w:val="auto"/>
                      <w:sz w:val="18"/>
                      <w:szCs w:val="18"/>
                      <w:highlight w:val="none"/>
                      <w:vertAlign w:val="subscript"/>
                      <w:lang w:val="en-US" w:eastAsia="zh-CN"/>
                    </w:rPr>
                    <w:t>2</w:t>
                  </w:r>
                </w:p>
              </w:tc>
              <w:tc>
                <w:tcPr>
                  <w:tcW w:w="1267" w:type="pct"/>
                  <w:tcBorders>
                    <w:tl2br w:val="nil"/>
                    <w:tr2bl w:val="nil"/>
                  </w:tcBorders>
                  <w:noWrap w:val="0"/>
                  <w:vAlign w:val="center"/>
                </w:tcPr>
                <w:p w14:paraId="7AFC5145">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年平均</w:t>
                  </w:r>
                </w:p>
              </w:tc>
              <w:tc>
                <w:tcPr>
                  <w:tcW w:w="1625" w:type="pct"/>
                  <w:tcBorders>
                    <w:tl2br w:val="nil"/>
                    <w:tr2bl w:val="nil"/>
                  </w:tcBorders>
                  <w:noWrap w:val="0"/>
                  <w:vAlign w:val="center"/>
                </w:tcPr>
                <w:p w14:paraId="2157FE90">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40</w:t>
                  </w:r>
                </w:p>
              </w:tc>
              <w:tc>
                <w:tcPr>
                  <w:tcW w:w="1094" w:type="pct"/>
                  <w:vMerge w:val="continue"/>
                  <w:tcBorders>
                    <w:tl2br w:val="nil"/>
                    <w:tr2bl w:val="nil"/>
                  </w:tcBorders>
                  <w:noWrap w:val="0"/>
                  <w:vAlign w:val="center"/>
                </w:tcPr>
                <w:p w14:paraId="6DA2A384">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12B50F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12" w:type="pct"/>
                  <w:vMerge w:val="continue"/>
                  <w:tcBorders>
                    <w:tl2br w:val="nil"/>
                    <w:tr2bl w:val="nil"/>
                  </w:tcBorders>
                  <w:noWrap w:val="0"/>
                  <w:vAlign w:val="center"/>
                </w:tcPr>
                <w:p w14:paraId="2726CC11">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p>
              </w:tc>
              <w:tc>
                <w:tcPr>
                  <w:tcW w:w="1267" w:type="pct"/>
                  <w:tcBorders>
                    <w:tl2br w:val="nil"/>
                    <w:tr2bl w:val="nil"/>
                  </w:tcBorders>
                  <w:noWrap w:val="0"/>
                  <w:vAlign w:val="center"/>
                </w:tcPr>
                <w:p w14:paraId="403E6AED">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24小时平均</w:t>
                  </w:r>
                </w:p>
              </w:tc>
              <w:tc>
                <w:tcPr>
                  <w:tcW w:w="1625" w:type="pct"/>
                  <w:tcBorders>
                    <w:tl2br w:val="nil"/>
                    <w:tr2bl w:val="nil"/>
                  </w:tcBorders>
                  <w:noWrap w:val="0"/>
                  <w:vAlign w:val="center"/>
                </w:tcPr>
                <w:p w14:paraId="1547716F">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80</w:t>
                  </w:r>
                </w:p>
              </w:tc>
              <w:tc>
                <w:tcPr>
                  <w:tcW w:w="1094" w:type="pct"/>
                  <w:vMerge w:val="continue"/>
                  <w:tcBorders>
                    <w:tl2br w:val="nil"/>
                    <w:tr2bl w:val="nil"/>
                  </w:tcBorders>
                  <w:noWrap w:val="0"/>
                  <w:vAlign w:val="center"/>
                </w:tcPr>
                <w:p w14:paraId="64233AC2">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3D5A04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012" w:type="pct"/>
                  <w:vMerge w:val="continue"/>
                  <w:tcBorders>
                    <w:tl2br w:val="nil"/>
                    <w:tr2bl w:val="nil"/>
                  </w:tcBorders>
                  <w:noWrap w:val="0"/>
                  <w:vAlign w:val="center"/>
                </w:tcPr>
                <w:p w14:paraId="175CC9B4">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p>
              </w:tc>
              <w:tc>
                <w:tcPr>
                  <w:tcW w:w="1267" w:type="pct"/>
                  <w:tcBorders>
                    <w:tl2br w:val="nil"/>
                    <w:tr2bl w:val="nil"/>
                  </w:tcBorders>
                  <w:noWrap w:val="0"/>
                  <w:vAlign w:val="center"/>
                </w:tcPr>
                <w:p w14:paraId="6B8DD5B2">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1小时平均</w:t>
                  </w:r>
                </w:p>
              </w:tc>
              <w:tc>
                <w:tcPr>
                  <w:tcW w:w="1625" w:type="pct"/>
                  <w:tcBorders>
                    <w:tl2br w:val="nil"/>
                    <w:tr2bl w:val="nil"/>
                  </w:tcBorders>
                  <w:noWrap w:val="0"/>
                  <w:vAlign w:val="center"/>
                </w:tcPr>
                <w:p w14:paraId="41067A74">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200</w:t>
                  </w:r>
                </w:p>
              </w:tc>
              <w:tc>
                <w:tcPr>
                  <w:tcW w:w="1094" w:type="pct"/>
                  <w:vMerge w:val="continue"/>
                  <w:tcBorders>
                    <w:tl2br w:val="nil"/>
                    <w:tr2bl w:val="nil"/>
                  </w:tcBorders>
                  <w:noWrap w:val="0"/>
                  <w:vAlign w:val="center"/>
                </w:tcPr>
                <w:p w14:paraId="28A977E8">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512D54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012" w:type="pct"/>
                  <w:vMerge w:val="restart"/>
                  <w:tcBorders>
                    <w:tl2br w:val="nil"/>
                    <w:tr2bl w:val="nil"/>
                  </w:tcBorders>
                  <w:noWrap w:val="0"/>
                  <w:vAlign w:val="center"/>
                </w:tcPr>
                <w:p w14:paraId="3CF0238D">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PM</w:t>
                  </w:r>
                  <w:r>
                    <w:rPr>
                      <w:rFonts w:hint="default" w:ascii="Times New Roman" w:hAnsi="Times New Roman" w:cs="Times New Roman"/>
                      <w:color w:val="auto"/>
                      <w:sz w:val="18"/>
                      <w:szCs w:val="18"/>
                      <w:highlight w:val="none"/>
                      <w:vertAlign w:val="subscript"/>
                      <w:lang w:val="en-US" w:eastAsia="zh-CN"/>
                    </w:rPr>
                    <w:t>10</w:t>
                  </w:r>
                </w:p>
              </w:tc>
              <w:tc>
                <w:tcPr>
                  <w:tcW w:w="1267" w:type="pct"/>
                  <w:tcBorders>
                    <w:tl2br w:val="nil"/>
                    <w:tr2bl w:val="nil"/>
                  </w:tcBorders>
                  <w:noWrap w:val="0"/>
                  <w:vAlign w:val="center"/>
                </w:tcPr>
                <w:p w14:paraId="73EF530C">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年平均</w:t>
                  </w:r>
                </w:p>
              </w:tc>
              <w:tc>
                <w:tcPr>
                  <w:tcW w:w="1625" w:type="pct"/>
                  <w:tcBorders>
                    <w:tl2br w:val="nil"/>
                    <w:tr2bl w:val="nil"/>
                  </w:tcBorders>
                  <w:noWrap w:val="0"/>
                  <w:vAlign w:val="center"/>
                </w:tcPr>
                <w:p w14:paraId="48A2D713">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70</w:t>
                  </w:r>
                </w:p>
              </w:tc>
              <w:tc>
                <w:tcPr>
                  <w:tcW w:w="1094" w:type="pct"/>
                  <w:vMerge w:val="continue"/>
                  <w:tcBorders>
                    <w:tl2br w:val="nil"/>
                    <w:tr2bl w:val="nil"/>
                  </w:tcBorders>
                  <w:noWrap w:val="0"/>
                  <w:vAlign w:val="center"/>
                </w:tcPr>
                <w:p w14:paraId="38AFA82D">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056713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173" w:hRule="atLeast"/>
                <w:jc w:val="center"/>
              </w:trPr>
              <w:tc>
                <w:tcPr>
                  <w:tcW w:w="1012" w:type="pct"/>
                  <w:vMerge w:val="continue"/>
                  <w:tcBorders>
                    <w:tl2br w:val="nil"/>
                    <w:tr2bl w:val="nil"/>
                  </w:tcBorders>
                  <w:noWrap w:val="0"/>
                  <w:vAlign w:val="center"/>
                </w:tcPr>
                <w:p w14:paraId="5174737E">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c>
                <w:tcPr>
                  <w:tcW w:w="1267" w:type="pct"/>
                  <w:tcBorders>
                    <w:tl2br w:val="nil"/>
                    <w:tr2bl w:val="nil"/>
                  </w:tcBorders>
                  <w:noWrap w:val="0"/>
                  <w:vAlign w:val="center"/>
                </w:tcPr>
                <w:p w14:paraId="45D686E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24小时平均</w:t>
                  </w:r>
                </w:p>
              </w:tc>
              <w:tc>
                <w:tcPr>
                  <w:tcW w:w="1625" w:type="pct"/>
                  <w:tcBorders>
                    <w:tl2br w:val="nil"/>
                    <w:tr2bl w:val="nil"/>
                  </w:tcBorders>
                  <w:noWrap w:val="0"/>
                  <w:vAlign w:val="center"/>
                </w:tcPr>
                <w:p w14:paraId="51568679">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150</w:t>
                  </w:r>
                </w:p>
              </w:tc>
              <w:tc>
                <w:tcPr>
                  <w:tcW w:w="1094" w:type="pct"/>
                  <w:vMerge w:val="continue"/>
                  <w:tcBorders>
                    <w:tl2br w:val="nil"/>
                    <w:tr2bl w:val="nil"/>
                  </w:tcBorders>
                  <w:noWrap w:val="0"/>
                  <w:vAlign w:val="center"/>
                </w:tcPr>
                <w:p w14:paraId="62BF1BA7">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30FFE3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3" w:hRule="atLeast"/>
                <w:jc w:val="center"/>
              </w:trPr>
              <w:tc>
                <w:tcPr>
                  <w:tcW w:w="1012" w:type="pct"/>
                  <w:vMerge w:val="restart"/>
                  <w:tcBorders>
                    <w:tl2br w:val="nil"/>
                    <w:tr2bl w:val="nil"/>
                  </w:tcBorders>
                  <w:noWrap w:val="0"/>
                  <w:vAlign w:val="center"/>
                </w:tcPr>
                <w:p w14:paraId="0D56AA6B">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PM</w:t>
                  </w:r>
                  <w:r>
                    <w:rPr>
                      <w:rFonts w:hint="default" w:ascii="Times New Roman" w:hAnsi="Times New Roman" w:cs="Times New Roman"/>
                      <w:color w:val="auto"/>
                      <w:sz w:val="18"/>
                      <w:szCs w:val="18"/>
                      <w:highlight w:val="none"/>
                      <w:vertAlign w:val="subscript"/>
                      <w:lang w:val="en-US" w:eastAsia="zh-CN"/>
                    </w:rPr>
                    <w:t>2.5</w:t>
                  </w:r>
                </w:p>
              </w:tc>
              <w:tc>
                <w:tcPr>
                  <w:tcW w:w="1267" w:type="pct"/>
                  <w:tcBorders>
                    <w:tl2br w:val="nil"/>
                    <w:tr2bl w:val="nil"/>
                  </w:tcBorders>
                  <w:noWrap w:val="0"/>
                  <w:vAlign w:val="center"/>
                </w:tcPr>
                <w:p w14:paraId="0028F51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年平均</w:t>
                  </w:r>
                </w:p>
              </w:tc>
              <w:tc>
                <w:tcPr>
                  <w:tcW w:w="1625" w:type="pct"/>
                  <w:tcBorders>
                    <w:tl2br w:val="nil"/>
                    <w:tr2bl w:val="nil"/>
                  </w:tcBorders>
                  <w:noWrap w:val="0"/>
                  <w:vAlign w:val="center"/>
                </w:tcPr>
                <w:p w14:paraId="2FEEE065">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35</w:t>
                  </w:r>
                </w:p>
              </w:tc>
              <w:tc>
                <w:tcPr>
                  <w:tcW w:w="1094" w:type="pct"/>
                  <w:vMerge w:val="continue"/>
                  <w:tcBorders>
                    <w:tl2br w:val="nil"/>
                    <w:tr2bl w:val="nil"/>
                  </w:tcBorders>
                  <w:noWrap w:val="0"/>
                  <w:vAlign w:val="center"/>
                </w:tcPr>
                <w:p w14:paraId="139F9661">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362506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2" w:hRule="atLeast"/>
                <w:jc w:val="center"/>
              </w:trPr>
              <w:tc>
                <w:tcPr>
                  <w:tcW w:w="1012" w:type="pct"/>
                  <w:vMerge w:val="continue"/>
                  <w:tcBorders>
                    <w:tl2br w:val="nil"/>
                    <w:tr2bl w:val="nil"/>
                  </w:tcBorders>
                  <w:noWrap w:val="0"/>
                  <w:vAlign w:val="center"/>
                </w:tcPr>
                <w:p w14:paraId="7FAD88A8">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c>
                <w:tcPr>
                  <w:tcW w:w="1267" w:type="pct"/>
                  <w:tcBorders>
                    <w:tl2br w:val="nil"/>
                    <w:tr2bl w:val="nil"/>
                  </w:tcBorders>
                  <w:noWrap w:val="0"/>
                  <w:vAlign w:val="center"/>
                </w:tcPr>
                <w:p w14:paraId="5AB51E0C">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24小时平均</w:t>
                  </w:r>
                </w:p>
              </w:tc>
              <w:tc>
                <w:tcPr>
                  <w:tcW w:w="1625" w:type="pct"/>
                  <w:tcBorders>
                    <w:tl2br w:val="nil"/>
                    <w:tr2bl w:val="nil"/>
                  </w:tcBorders>
                  <w:noWrap w:val="0"/>
                  <w:vAlign w:val="center"/>
                </w:tcPr>
                <w:p w14:paraId="2CCF160A">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75</w:t>
                  </w:r>
                </w:p>
              </w:tc>
              <w:tc>
                <w:tcPr>
                  <w:tcW w:w="1094" w:type="pct"/>
                  <w:vMerge w:val="continue"/>
                  <w:tcBorders>
                    <w:tl2br w:val="nil"/>
                    <w:tr2bl w:val="nil"/>
                  </w:tcBorders>
                  <w:noWrap w:val="0"/>
                  <w:vAlign w:val="center"/>
                </w:tcPr>
                <w:p w14:paraId="3CEBBED7">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02C0A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2" w:hRule="atLeast"/>
                <w:jc w:val="center"/>
              </w:trPr>
              <w:tc>
                <w:tcPr>
                  <w:tcW w:w="1012" w:type="pct"/>
                  <w:vMerge w:val="restart"/>
                  <w:tcBorders>
                    <w:tl2br w:val="nil"/>
                    <w:tr2bl w:val="nil"/>
                  </w:tcBorders>
                  <w:noWrap w:val="0"/>
                  <w:vAlign w:val="center"/>
                </w:tcPr>
                <w:p w14:paraId="7F7E294E">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CO</w:t>
                  </w:r>
                </w:p>
              </w:tc>
              <w:tc>
                <w:tcPr>
                  <w:tcW w:w="1267" w:type="pct"/>
                  <w:tcBorders>
                    <w:tl2br w:val="nil"/>
                    <w:tr2bl w:val="nil"/>
                  </w:tcBorders>
                  <w:noWrap w:val="0"/>
                  <w:vAlign w:val="center"/>
                </w:tcPr>
                <w:p w14:paraId="6803C151">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24小时平均</w:t>
                  </w:r>
                </w:p>
              </w:tc>
              <w:tc>
                <w:tcPr>
                  <w:tcW w:w="1625" w:type="pct"/>
                  <w:tcBorders>
                    <w:tl2br w:val="nil"/>
                    <w:tr2bl w:val="nil"/>
                  </w:tcBorders>
                  <w:noWrap w:val="0"/>
                  <w:vAlign w:val="center"/>
                </w:tcPr>
                <w:p w14:paraId="0A4FA1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4</w:t>
                  </w:r>
                </w:p>
              </w:tc>
              <w:tc>
                <w:tcPr>
                  <w:tcW w:w="1094" w:type="pct"/>
                  <w:vMerge w:val="restart"/>
                  <w:tcBorders>
                    <w:tl2br w:val="nil"/>
                    <w:tr2bl w:val="nil"/>
                  </w:tcBorders>
                  <w:noWrap w:val="0"/>
                  <w:vAlign w:val="center"/>
                </w:tcPr>
                <w:p w14:paraId="33941944">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mg/m</w:t>
                  </w:r>
                  <w:r>
                    <w:rPr>
                      <w:rFonts w:hint="default" w:ascii="Times New Roman" w:hAnsi="Times New Roman" w:cs="Times New Roman"/>
                      <w:color w:val="auto"/>
                      <w:sz w:val="18"/>
                      <w:szCs w:val="18"/>
                      <w:highlight w:val="none"/>
                      <w:vertAlign w:val="superscript"/>
                    </w:rPr>
                    <w:t>3</w:t>
                  </w:r>
                </w:p>
              </w:tc>
            </w:tr>
            <w:tr w14:paraId="0BABD9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2" w:hRule="atLeast"/>
                <w:jc w:val="center"/>
              </w:trPr>
              <w:tc>
                <w:tcPr>
                  <w:tcW w:w="1012" w:type="pct"/>
                  <w:vMerge w:val="continue"/>
                  <w:tcBorders>
                    <w:tl2br w:val="nil"/>
                    <w:tr2bl w:val="nil"/>
                  </w:tcBorders>
                  <w:noWrap w:val="0"/>
                  <w:vAlign w:val="center"/>
                </w:tcPr>
                <w:p w14:paraId="52B56668">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p>
              </w:tc>
              <w:tc>
                <w:tcPr>
                  <w:tcW w:w="1267" w:type="pct"/>
                  <w:tcBorders>
                    <w:tl2br w:val="nil"/>
                    <w:tr2bl w:val="nil"/>
                  </w:tcBorders>
                  <w:noWrap w:val="0"/>
                  <w:vAlign w:val="center"/>
                </w:tcPr>
                <w:p w14:paraId="35A8313F">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1小时平均</w:t>
                  </w:r>
                </w:p>
              </w:tc>
              <w:tc>
                <w:tcPr>
                  <w:tcW w:w="1625" w:type="pct"/>
                  <w:tcBorders>
                    <w:tl2br w:val="nil"/>
                    <w:tr2bl w:val="nil"/>
                  </w:tcBorders>
                  <w:noWrap w:val="0"/>
                  <w:vAlign w:val="center"/>
                </w:tcPr>
                <w:p w14:paraId="04E5DF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w:t>
                  </w:r>
                </w:p>
              </w:tc>
              <w:tc>
                <w:tcPr>
                  <w:tcW w:w="1094" w:type="pct"/>
                  <w:vMerge w:val="continue"/>
                  <w:tcBorders>
                    <w:tl2br w:val="nil"/>
                    <w:tr2bl w:val="nil"/>
                  </w:tcBorders>
                  <w:noWrap w:val="0"/>
                  <w:vAlign w:val="center"/>
                </w:tcPr>
                <w:p w14:paraId="339075BD">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r w14:paraId="2BD9D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2" w:hRule="atLeast"/>
                <w:jc w:val="center"/>
              </w:trPr>
              <w:tc>
                <w:tcPr>
                  <w:tcW w:w="1012" w:type="pct"/>
                  <w:vMerge w:val="restart"/>
                  <w:tcBorders>
                    <w:tl2br w:val="nil"/>
                    <w:tr2bl w:val="nil"/>
                  </w:tcBorders>
                  <w:noWrap w:val="0"/>
                  <w:vAlign w:val="center"/>
                </w:tcPr>
                <w:p w14:paraId="3C12EEBC">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O</w:t>
                  </w:r>
                  <w:r>
                    <w:rPr>
                      <w:rFonts w:hint="default" w:ascii="Times New Roman" w:hAnsi="Times New Roman" w:cs="Times New Roman"/>
                      <w:color w:val="auto"/>
                      <w:sz w:val="18"/>
                      <w:szCs w:val="18"/>
                      <w:highlight w:val="none"/>
                      <w:vertAlign w:val="subscript"/>
                      <w:lang w:val="en-US" w:eastAsia="zh-CN"/>
                    </w:rPr>
                    <w:t>3</w:t>
                  </w:r>
                </w:p>
              </w:tc>
              <w:tc>
                <w:tcPr>
                  <w:tcW w:w="1267" w:type="pct"/>
                  <w:tcBorders>
                    <w:tl2br w:val="nil"/>
                    <w:tr2bl w:val="nil"/>
                  </w:tcBorders>
                  <w:noWrap w:val="0"/>
                  <w:vAlign w:val="center"/>
                </w:tcPr>
                <w:p w14:paraId="45850629">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8小时平均</w:t>
                  </w:r>
                </w:p>
              </w:tc>
              <w:tc>
                <w:tcPr>
                  <w:tcW w:w="1625" w:type="pct"/>
                  <w:tcBorders>
                    <w:tl2br w:val="nil"/>
                    <w:tr2bl w:val="nil"/>
                  </w:tcBorders>
                  <w:noWrap w:val="0"/>
                  <w:vAlign w:val="center"/>
                </w:tcPr>
                <w:p w14:paraId="7EDF0923">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160</w:t>
                  </w:r>
                </w:p>
              </w:tc>
              <w:tc>
                <w:tcPr>
                  <w:tcW w:w="1094" w:type="pct"/>
                  <w:vMerge w:val="restart"/>
                  <w:tcBorders>
                    <w:tl2br w:val="nil"/>
                    <w:tr2bl w:val="nil"/>
                  </w:tcBorders>
                  <w:noWrap w:val="0"/>
                  <w:vAlign w:val="center"/>
                </w:tcPr>
                <w:p w14:paraId="5919507E">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μg/m</w:t>
                  </w:r>
                  <w:r>
                    <w:rPr>
                      <w:rFonts w:hint="default" w:ascii="Times New Roman" w:hAnsi="Times New Roman" w:cs="Times New Roman"/>
                      <w:color w:val="auto"/>
                      <w:sz w:val="18"/>
                      <w:szCs w:val="18"/>
                      <w:highlight w:val="none"/>
                      <w:vertAlign w:val="superscript"/>
                    </w:rPr>
                    <w:t>3</w:t>
                  </w:r>
                </w:p>
              </w:tc>
            </w:tr>
            <w:tr w14:paraId="7654C0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2" w:hRule="atLeast"/>
                <w:jc w:val="center"/>
              </w:trPr>
              <w:tc>
                <w:tcPr>
                  <w:tcW w:w="1012" w:type="pct"/>
                  <w:vMerge w:val="continue"/>
                  <w:tcBorders>
                    <w:tl2br w:val="nil"/>
                    <w:tr2bl w:val="nil"/>
                  </w:tcBorders>
                  <w:noWrap w:val="0"/>
                  <w:vAlign w:val="center"/>
                </w:tcPr>
                <w:p w14:paraId="48B8C66F">
                  <w:pPr>
                    <w:pStyle w:val="5"/>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lang w:val="en-US" w:eastAsia="zh-CN"/>
                    </w:rPr>
                  </w:pPr>
                </w:p>
              </w:tc>
              <w:tc>
                <w:tcPr>
                  <w:tcW w:w="1267" w:type="pct"/>
                  <w:tcBorders>
                    <w:tl2br w:val="nil"/>
                    <w:tr2bl w:val="nil"/>
                  </w:tcBorders>
                  <w:noWrap w:val="0"/>
                  <w:vAlign w:val="center"/>
                </w:tcPr>
                <w:p w14:paraId="0F4AC607">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1小时平均</w:t>
                  </w:r>
                </w:p>
              </w:tc>
              <w:tc>
                <w:tcPr>
                  <w:tcW w:w="1625" w:type="pct"/>
                  <w:tcBorders>
                    <w:tl2br w:val="nil"/>
                    <w:tr2bl w:val="nil"/>
                  </w:tcBorders>
                  <w:noWrap w:val="0"/>
                  <w:vAlign w:val="center"/>
                </w:tcPr>
                <w:p w14:paraId="3B52854A">
                  <w:pPr>
                    <w:keepNext w:val="0"/>
                    <w:keepLines w:val="0"/>
                    <w:pageBreakBefore w:val="0"/>
                    <w:widowControl w:val="0"/>
                    <w:kinsoku/>
                    <w:wordWrap/>
                    <w:overflowPunct/>
                    <w:topLinePunct w:val="0"/>
                    <w:autoSpaceDE/>
                    <w:autoSpaceDN/>
                    <w:bidi w:val="0"/>
                    <w:spacing w:line="240" w:lineRule="auto"/>
                    <w:ind w:firstLine="0" w:firstLineChars="0"/>
                    <w:jc w:val="center"/>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w:t>
                  </w:r>
                </w:p>
              </w:tc>
              <w:tc>
                <w:tcPr>
                  <w:tcW w:w="1094" w:type="pct"/>
                  <w:vMerge w:val="continue"/>
                  <w:tcBorders>
                    <w:tl2br w:val="nil"/>
                    <w:tr2bl w:val="nil"/>
                  </w:tcBorders>
                  <w:noWrap w:val="0"/>
                  <w:vAlign w:val="center"/>
                </w:tcPr>
                <w:p w14:paraId="3639E6FD">
                  <w:pPr>
                    <w:keepNext w:val="0"/>
                    <w:keepLines w:val="0"/>
                    <w:pageBreakBefore w:val="0"/>
                    <w:widowControl w:val="0"/>
                    <w:kinsoku/>
                    <w:wordWrap/>
                    <w:overflowPunct/>
                    <w:topLinePunct w:val="0"/>
                    <w:autoSpaceDE/>
                    <w:autoSpaceDN/>
                    <w:bidi w:val="0"/>
                    <w:snapToGrid w:val="0"/>
                    <w:spacing w:line="240" w:lineRule="auto"/>
                    <w:ind w:firstLine="0" w:firstLineChars="0"/>
                    <w:jc w:val="center"/>
                    <w:rPr>
                      <w:rFonts w:hint="default" w:ascii="Times New Roman" w:hAnsi="Times New Roman" w:cs="Times New Roman"/>
                      <w:color w:val="auto"/>
                      <w:sz w:val="18"/>
                      <w:szCs w:val="18"/>
                      <w:highlight w:val="none"/>
                    </w:rPr>
                  </w:pPr>
                </w:p>
              </w:tc>
            </w:tr>
          </w:tbl>
          <w:p w14:paraId="70DDC580">
            <w:pPr>
              <w:keepNext w:val="0"/>
              <w:keepLines w:val="0"/>
              <w:pageBreakBefore w:val="0"/>
              <w:widowControl w:val="0"/>
              <w:kinsoku/>
              <w:wordWrap/>
              <w:overflowPunct/>
              <w:topLinePunct w:val="0"/>
              <w:autoSpaceDE/>
              <w:autoSpaceDN/>
              <w:bidi w:val="0"/>
              <w:spacing w:line="360" w:lineRule="auto"/>
              <w:ind w:firstLine="420" w:firstLineChars="200"/>
              <w:jc w:val="left"/>
              <w:textAlignment w:val="center"/>
              <w:rPr>
                <w:color w:val="auto"/>
                <w:sz w:val="21"/>
                <w:szCs w:val="21"/>
                <w:highlight w:val="none"/>
              </w:rPr>
            </w:pPr>
            <w:r>
              <w:rPr>
                <w:color w:val="auto"/>
                <w:sz w:val="21"/>
                <w:szCs w:val="21"/>
                <w:highlight w:val="none"/>
              </w:rPr>
              <w:t>（2）声环境</w:t>
            </w:r>
          </w:p>
          <w:p w14:paraId="57B4B92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项目所在地声环境执行《声环境质量标准》（GB3096-2008）</w:t>
            </w:r>
            <w:r>
              <w:rPr>
                <w:rFonts w:hint="eastAsia" w:ascii="Times New Roman" w:hAnsi="Times New Roman"/>
                <w:color w:val="auto"/>
                <w:sz w:val="21"/>
                <w:szCs w:val="21"/>
                <w:highlight w:val="none"/>
                <w:lang w:val="en-US" w:eastAsia="zh-CN"/>
              </w:rPr>
              <w:t>3</w:t>
            </w:r>
            <w:r>
              <w:rPr>
                <w:rFonts w:ascii="Times New Roman" w:hAnsi="Times New Roman"/>
                <w:color w:val="auto"/>
                <w:sz w:val="21"/>
                <w:szCs w:val="21"/>
                <w:highlight w:val="none"/>
              </w:rPr>
              <w:t>类标准，标准值见表</w:t>
            </w:r>
            <w:r>
              <w:rPr>
                <w:rFonts w:hint="eastAsia" w:ascii="Times New Roman" w:hAnsi="Times New Roman"/>
                <w:color w:val="auto"/>
                <w:sz w:val="21"/>
                <w:szCs w:val="21"/>
                <w:highlight w:val="none"/>
                <w:lang w:val="en-US" w:eastAsia="zh-CN"/>
              </w:rPr>
              <w:t>3-3</w:t>
            </w:r>
            <w:r>
              <w:rPr>
                <w:rFonts w:ascii="Times New Roman" w:hAnsi="Times New Roman"/>
                <w:color w:val="auto"/>
                <w:sz w:val="21"/>
                <w:szCs w:val="21"/>
                <w:highlight w:val="none"/>
              </w:rPr>
              <w:t>。</w:t>
            </w:r>
          </w:p>
          <w:p w14:paraId="7AC4A0A6">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Times New Roman" w:hAnsi="Times New Roman"/>
                <w:b/>
                <w:color w:val="auto"/>
                <w:sz w:val="21"/>
                <w:szCs w:val="21"/>
                <w:highlight w:val="none"/>
              </w:rPr>
            </w:pPr>
            <w:r>
              <w:rPr>
                <w:rFonts w:ascii="Times New Roman" w:hAnsi="Times New Roman"/>
                <w:b/>
                <w:color w:val="auto"/>
                <w:sz w:val="21"/>
                <w:szCs w:val="21"/>
                <w:highlight w:val="none"/>
              </w:rPr>
              <w:t>表</w:t>
            </w:r>
            <w:r>
              <w:rPr>
                <w:rFonts w:hint="eastAsia" w:ascii="Times New Roman" w:hAnsi="Times New Roman"/>
                <w:b/>
                <w:color w:val="auto"/>
                <w:sz w:val="21"/>
                <w:szCs w:val="21"/>
                <w:highlight w:val="none"/>
                <w:lang w:val="en-US" w:eastAsia="zh-CN"/>
              </w:rPr>
              <w:t>3-3</w:t>
            </w:r>
            <w:r>
              <w:rPr>
                <w:rFonts w:hint="eastAsia" w:ascii="Times New Roman" w:hAnsi="Times New Roman"/>
                <w:b/>
                <w:color w:val="auto"/>
                <w:sz w:val="21"/>
                <w:szCs w:val="21"/>
                <w:highlight w:val="none"/>
              </w:rPr>
              <w:t xml:space="preserve">    </w:t>
            </w:r>
            <w:r>
              <w:rPr>
                <w:rFonts w:ascii="Times New Roman" w:hAnsi="Times New Roman"/>
                <w:b/>
                <w:color w:val="auto"/>
                <w:sz w:val="21"/>
                <w:szCs w:val="21"/>
                <w:highlight w:val="none"/>
              </w:rPr>
              <w:t>声环境质量标准</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2125"/>
              <w:gridCol w:w="1784"/>
              <w:gridCol w:w="1715"/>
            </w:tblGrid>
            <w:tr w14:paraId="122E36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0" w:type="pct"/>
                  <w:vMerge w:val="restart"/>
                  <w:tcBorders>
                    <w:tl2br w:val="nil"/>
                    <w:tr2bl w:val="nil"/>
                  </w:tcBorders>
                  <w:noWrap w:val="0"/>
                  <w:vAlign w:val="center"/>
                </w:tcPr>
                <w:p w14:paraId="1DFCEC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声环境功能区类别</w:t>
                  </w:r>
                </w:p>
              </w:tc>
              <w:tc>
                <w:tcPr>
                  <w:tcW w:w="2432" w:type="pct"/>
                  <w:gridSpan w:val="2"/>
                  <w:tcBorders>
                    <w:tl2br w:val="nil"/>
                    <w:tr2bl w:val="nil"/>
                  </w:tcBorders>
                  <w:noWrap w:val="0"/>
                  <w:vAlign w:val="center"/>
                </w:tcPr>
                <w:p w14:paraId="143A85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时段</w:t>
                  </w:r>
                </w:p>
              </w:tc>
              <w:tc>
                <w:tcPr>
                  <w:tcW w:w="1067" w:type="pct"/>
                  <w:tcBorders>
                    <w:tl2br w:val="nil"/>
                    <w:tr2bl w:val="nil"/>
                  </w:tcBorders>
                  <w:noWrap w:val="0"/>
                  <w:vAlign w:val="center"/>
                </w:tcPr>
                <w:p w14:paraId="40A8CB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color w:val="auto"/>
                      <w:sz w:val="18"/>
                      <w:szCs w:val="18"/>
                      <w:highlight w:val="none"/>
                    </w:rPr>
                    <w:t xml:space="preserve"> </w:t>
                  </w:r>
                  <w:r>
                    <w:rPr>
                      <w:rFonts w:hint="default" w:ascii="Times New Roman" w:hAnsi="Times New Roman" w:eastAsia="宋体" w:cs="Times New Roman"/>
                      <w:bCs/>
                      <w:color w:val="auto"/>
                      <w:sz w:val="18"/>
                      <w:szCs w:val="18"/>
                      <w:highlight w:val="none"/>
                    </w:rPr>
                    <w:t>单位</w:t>
                  </w:r>
                </w:p>
              </w:tc>
            </w:tr>
            <w:tr w14:paraId="533EA7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0" w:type="pct"/>
                  <w:vMerge w:val="continue"/>
                  <w:tcBorders>
                    <w:tl2br w:val="nil"/>
                    <w:tr2bl w:val="nil"/>
                  </w:tcBorders>
                  <w:noWrap w:val="0"/>
                  <w:vAlign w:val="center"/>
                </w:tcPr>
                <w:p w14:paraId="41E2E6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p>
              </w:tc>
              <w:tc>
                <w:tcPr>
                  <w:tcW w:w="1322" w:type="pct"/>
                  <w:tcBorders>
                    <w:tl2br w:val="nil"/>
                    <w:tr2bl w:val="nil"/>
                  </w:tcBorders>
                  <w:noWrap w:val="0"/>
                  <w:vAlign w:val="center"/>
                </w:tcPr>
                <w:p w14:paraId="0A9C08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昼间</w:t>
                  </w:r>
                </w:p>
              </w:tc>
              <w:tc>
                <w:tcPr>
                  <w:tcW w:w="1109" w:type="pct"/>
                  <w:tcBorders>
                    <w:tl2br w:val="nil"/>
                    <w:tr2bl w:val="nil"/>
                  </w:tcBorders>
                  <w:noWrap w:val="0"/>
                  <w:vAlign w:val="center"/>
                </w:tcPr>
                <w:p w14:paraId="605319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夜间</w:t>
                  </w:r>
                </w:p>
              </w:tc>
              <w:tc>
                <w:tcPr>
                  <w:tcW w:w="1067" w:type="pct"/>
                  <w:vMerge w:val="restart"/>
                  <w:tcBorders>
                    <w:tl2br w:val="nil"/>
                    <w:tr2bl w:val="nil"/>
                  </w:tcBorders>
                  <w:noWrap w:val="0"/>
                  <w:vAlign w:val="center"/>
                </w:tcPr>
                <w:p w14:paraId="315013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Cs/>
                      <w:color w:val="auto"/>
                      <w:sz w:val="18"/>
                      <w:szCs w:val="18"/>
                      <w:highlight w:val="none"/>
                    </w:rPr>
                    <w:t>dB（A）</w:t>
                  </w:r>
                </w:p>
              </w:tc>
            </w:tr>
            <w:tr w14:paraId="337C5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0" w:type="pct"/>
                  <w:tcBorders>
                    <w:tl2br w:val="nil"/>
                    <w:tr2bl w:val="nil"/>
                  </w:tcBorders>
                  <w:noWrap w:val="0"/>
                  <w:vAlign w:val="center"/>
                </w:tcPr>
                <w:p w14:paraId="182719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3</w:t>
                  </w:r>
                  <w:r>
                    <w:rPr>
                      <w:rFonts w:hint="default" w:ascii="Times New Roman" w:hAnsi="Times New Roman" w:eastAsia="宋体" w:cs="Times New Roman"/>
                      <w:color w:val="auto"/>
                      <w:sz w:val="18"/>
                      <w:szCs w:val="18"/>
                      <w:highlight w:val="none"/>
                    </w:rPr>
                    <w:t>类</w:t>
                  </w:r>
                </w:p>
              </w:tc>
              <w:tc>
                <w:tcPr>
                  <w:tcW w:w="1322" w:type="pct"/>
                  <w:tcBorders>
                    <w:tl2br w:val="nil"/>
                    <w:tr2bl w:val="nil"/>
                  </w:tcBorders>
                  <w:noWrap w:val="0"/>
                  <w:vAlign w:val="center"/>
                </w:tcPr>
                <w:p w14:paraId="442111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65</w:t>
                  </w:r>
                </w:p>
              </w:tc>
              <w:tc>
                <w:tcPr>
                  <w:tcW w:w="1109" w:type="pct"/>
                  <w:tcBorders>
                    <w:tl2br w:val="nil"/>
                    <w:tr2bl w:val="nil"/>
                  </w:tcBorders>
                  <w:noWrap w:val="0"/>
                  <w:vAlign w:val="center"/>
                </w:tcPr>
                <w:p w14:paraId="4E04C6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55</w:t>
                  </w:r>
                </w:p>
              </w:tc>
              <w:tc>
                <w:tcPr>
                  <w:tcW w:w="1067" w:type="pct"/>
                  <w:vMerge w:val="continue"/>
                  <w:tcBorders>
                    <w:tl2br w:val="nil"/>
                    <w:tr2bl w:val="nil"/>
                  </w:tcBorders>
                  <w:noWrap w:val="0"/>
                  <w:vAlign w:val="center"/>
                </w:tcPr>
                <w:p w14:paraId="720F0F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18"/>
                      <w:szCs w:val="18"/>
                      <w:highlight w:val="none"/>
                    </w:rPr>
                  </w:pPr>
                </w:p>
              </w:tc>
            </w:tr>
          </w:tbl>
          <w:p w14:paraId="527F76A4">
            <w:pPr>
              <w:keepNext w:val="0"/>
              <w:keepLines w:val="0"/>
              <w:pageBreakBefore w:val="0"/>
              <w:kinsoku/>
              <w:wordWrap/>
              <w:overflowPunct/>
              <w:topLinePunct w:val="0"/>
              <w:autoSpaceDE/>
              <w:autoSpaceDN/>
              <w:bidi w:val="0"/>
              <w:spacing w:line="360" w:lineRule="auto"/>
              <w:ind w:firstLine="420" w:firstLineChars="200"/>
              <w:jc w:val="left"/>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lang w:val="en-US" w:eastAsia="zh-CN"/>
              </w:rPr>
              <w:t>地下水</w:t>
            </w:r>
          </w:p>
          <w:p w14:paraId="515C7A1B">
            <w:pPr>
              <w:keepNext w:val="0"/>
              <w:keepLines w:val="0"/>
              <w:pageBreakBefore w:val="0"/>
              <w:widowControl/>
              <w:kinsoku/>
              <w:wordWrap/>
              <w:overflowPunct/>
              <w:topLinePunct w:val="0"/>
              <w:autoSpaceDE/>
              <w:autoSpaceDN/>
              <w:bidi w:val="0"/>
              <w:spacing w:line="360" w:lineRule="auto"/>
              <w:ind w:firstLine="420" w:firstLineChars="2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项目所在区域</w:t>
            </w:r>
            <w:r>
              <w:rPr>
                <w:rFonts w:hint="default" w:ascii="Times New Roman" w:hAnsi="Times New Roman" w:eastAsia="宋体" w:cs="Times New Roman"/>
                <w:color w:val="auto"/>
                <w:sz w:val="21"/>
                <w:szCs w:val="21"/>
                <w:highlight w:val="none"/>
              </w:rPr>
              <w:t>地下水执行《地下水质量标准》(GB/T14848-2017)中Ⅲ类标准</w:t>
            </w:r>
            <w:r>
              <w:rPr>
                <w:rFonts w:hint="default" w:ascii="Times New Roman" w:hAnsi="Times New Roman" w:eastAsia="宋体" w:cs="Times New Roman"/>
                <w:color w:val="auto"/>
                <w:kern w:val="0"/>
                <w:sz w:val="21"/>
                <w:szCs w:val="21"/>
                <w:highlight w:val="none"/>
                <w:lang w:eastAsia="zh-CN" w:bidi="ar"/>
              </w:rPr>
              <w:t>，</w:t>
            </w:r>
            <w:r>
              <w:rPr>
                <w:rFonts w:hint="default" w:ascii="Times New Roman" w:hAnsi="Times New Roman" w:eastAsia="宋体" w:cs="Times New Roman"/>
                <w:color w:val="auto"/>
                <w:sz w:val="21"/>
                <w:szCs w:val="21"/>
                <w:highlight w:val="none"/>
              </w:rPr>
              <w:t>标准</w:t>
            </w:r>
            <w:r>
              <w:rPr>
                <w:rFonts w:hint="default" w:ascii="Times New Roman" w:hAnsi="Times New Roman" w:eastAsia="宋体" w:cs="Times New Roman"/>
                <w:color w:val="auto"/>
                <w:sz w:val="21"/>
                <w:szCs w:val="21"/>
                <w:highlight w:val="none"/>
                <w:lang w:val="en-US" w:eastAsia="zh-CN"/>
              </w:rPr>
              <w:t>限值</w:t>
            </w:r>
            <w:r>
              <w:rPr>
                <w:rFonts w:hint="default" w:ascii="Times New Roman" w:hAnsi="Times New Roman" w:eastAsia="宋体" w:cs="Times New Roman"/>
                <w:color w:val="auto"/>
                <w:sz w:val="21"/>
                <w:szCs w:val="21"/>
                <w:highlight w:val="none"/>
              </w:rPr>
              <w:t>见表</w:t>
            </w:r>
            <w:r>
              <w:rPr>
                <w:rFonts w:hint="default" w:ascii="Times New Roman" w:hAnsi="Times New Roman" w:eastAsia="宋体" w:cs="Times New Roman"/>
                <w:color w:val="auto"/>
                <w:sz w:val="21"/>
                <w:szCs w:val="21"/>
                <w:highlight w:val="none"/>
                <w:lang w:val="en-US" w:eastAsia="zh-CN"/>
              </w:rPr>
              <w:t>3-4</w:t>
            </w:r>
            <w:r>
              <w:rPr>
                <w:rFonts w:hint="default" w:ascii="Times New Roman" w:hAnsi="Times New Roman" w:eastAsia="宋体" w:cs="Times New Roman"/>
                <w:color w:val="auto"/>
                <w:sz w:val="21"/>
                <w:szCs w:val="21"/>
                <w:highlight w:val="none"/>
              </w:rPr>
              <w:t>。</w:t>
            </w:r>
          </w:p>
          <w:p w14:paraId="324E29F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Times New Roman" w:hAnsi="Times New Roman" w:eastAsia="宋体"/>
                <w:b/>
                <w:color w:val="auto"/>
                <w:sz w:val="21"/>
                <w:szCs w:val="21"/>
                <w:highlight w:val="none"/>
              </w:rPr>
            </w:pPr>
            <w:r>
              <w:rPr>
                <w:rFonts w:ascii="Times New Roman" w:hAnsi="Times New Roman" w:eastAsia="宋体"/>
                <w:b/>
                <w:color w:val="auto"/>
                <w:sz w:val="21"/>
                <w:szCs w:val="21"/>
                <w:highlight w:val="none"/>
              </w:rPr>
              <w:t>表</w:t>
            </w:r>
            <w:r>
              <w:rPr>
                <w:rFonts w:hint="eastAsia" w:ascii="Times New Roman" w:hAnsi="Times New Roman" w:eastAsia="宋体"/>
                <w:b/>
                <w:color w:val="auto"/>
                <w:sz w:val="21"/>
                <w:szCs w:val="21"/>
                <w:highlight w:val="none"/>
                <w:lang w:val="en-US" w:eastAsia="zh-CN"/>
              </w:rPr>
              <w:t xml:space="preserve">3-4 </w:t>
            </w:r>
            <w:r>
              <w:rPr>
                <w:rFonts w:ascii="Times New Roman" w:hAnsi="Times New Roman" w:eastAsia="宋体"/>
                <w:b/>
                <w:color w:val="auto"/>
                <w:sz w:val="21"/>
                <w:szCs w:val="21"/>
                <w:highlight w:val="none"/>
              </w:rPr>
              <w:t xml:space="preserve">  《地下水质量标准》(GB/T14848-2017)Ⅲ类</w:t>
            </w:r>
          </w:p>
          <w:tbl>
            <w:tblPr>
              <w:tblStyle w:val="24"/>
              <w:tblW w:w="4998"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4195"/>
              <w:gridCol w:w="2684"/>
            </w:tblGrid>
            <w:tr w14:paraId="40D431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635ECEE7">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序号</w:t>
                  </w:r>
                </w:p>
              </w:tc>
              <w:tc>
                <w:tcPr>
                  <w:tcW w:w="2611" w:type="pct"/>
                  <w:tcBorders>
                    <w:tl2br w:val="nil"/>
                    <w:tr2bl w:val="nil"/>
                  </w:tcBorders>
                  <w:noWrap w:val="0"/>
                  <w:vAlign w:val="center"/>
                </w:tcPr>
                <w:p w14:paraId="352899CF">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监测项目</w:t>
                  </w:r>
                </w:p>
              </w:tc>
              <w:tc>
                <w:tcPr>
                  <w:tcW w:w="1668" w:type="pct"/>
                  <w:tcBorders>
                    <w:tl2br w:val="nil"/>
                    <w:tr2bl w:val="nil"/>
                  </w:tcBorders>
                  <w:noWrap w:val="0"/>
                  <w:vAlign w:val="center"/>
                </w:tcPr>
                <w:p w14:paraId="1ED8D9B2">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Ⅲ类</w:t>
                  </w:r>
                </w:p>
              </w:tc>
            </w:tr>
            <w:tr w14:paraId="58567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l2br w:val="nil"/>
                    <w:tr2bl w:val="nil"/>
                  </w:tcBorders>
                  <w:noWrap w:val="0"/>
                  <w:vAlign w:val="center"/>
                </w:tcPr>
                <w:p w14:paraId="3B464BAD">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感官性状及一般化学指标</w:t>
                  </w:r>
                </w:p>
              </w:tc>
            </w:tr>
            <w:tr w14:paraId="0F9209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67EB9F33">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w:t>
                  </w:r>
                </w:p>
              </w:tc>
              <w:tc>
                <w:tcPr>
                  <w:tcW w:w="2611" w:type="pct"/>
                  <w:tcBorders>
                    <w:tl2br w:val="nil"/>
                    <w:tr2bl w:val="nil"/>
                  </w:tcBorders>
                  <w:noWrap w:val="0"/>
                  <w:vAlign w:val="center"/>
                </w:tcPr>
                <w:p w14:paraId="660E82D3">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pH</w:t>
                  </w:r>
                </w:p>
              </w:tc>
              <w:tc>
                <w:tcPr>
                  <w:tcW w:w="1668" w:type="pct"/>
                  <w:tcBorders>
                    <w:tl2br w:val="nil"/>
                    <w:tr2bl w:val="nil"/>
                  </w:tcBorders>
                  <w:noWrap w:val="0"/>
                  <w:vAlign w:val="center"/>
                </w:tcPr>
                <w:p w14:paraId="35703C79">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6.5≤pH≤8.5</w:t>
                  </w:r>
                </w:p>
              </w:tc>
            </w:tr>
            <w:tr w14:paraId="489536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6152998A">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w:t>
                  </w:r>
                </w:p>
              </w:tc>
              <w:tc>
                <w:tcPr>
                  <w:tcW w:w="2611" w:type="pct"/>
                  <w:tcBorders>
                    <w:tl2br w:val="nil"/>
                    <w:tr2bl w:val="nil"/>
                  </w:tcBorders>
                  <w:noWrap w:val="0"/>
                  <w:vAlign w:val="center"/>
                </w:tcPr>
                <w:p w14:paraId="519B1828">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总硬度（以CaCO</w:t>
                  </w:r>
                  <w:r>
                    <w:rPr>
                      <w:rFonts w:ascii="Times New Roman" w:eastAsia="宋体" w:cs="Times New Roman"/>
                      <w:color w:val="auto"/>
                      <w:sz w:val="18"/>
                      <w:szCs w:val="18"/>
                      <w:highlight w:val="none"/>
                      <w:vertAlign w:val="subscript"/>
                    </w:rPr>
                    <w:t>3</w:t>
                  </w:r>
                  <w:r>
                    <w:rPr>
                      <w:rFonts w:ascii="Times New Roman" w:eastAsia="宋体" w:cs="Times New Roman"/>
                      <w:color w:val="auto"/>
                      <w:sz w:val="18"/>
                      <w:szCs w:val="18"/>
                      <w:highlight w:val="none"/>
                    </w:rPr>
                    <w:t>计）/（mg/L）</w:t>
                  </w:r>
                </w:p>
              </w:tc>
              <w:tc>
                <w:tcPr>
                  <w:tcW w:w="1668" w:type="pct"/>
                  <w:tcBorders>
                    <w:tl2br w:val="nil"/>
                    <w:tr2bl w:val="nil"/>
                  </w:tcBorders>
                  <w:noWrap w:val="0"/>
                  <w:vAlign w:val="center"/>
                </w:tcPr>
                <w:p w14:paraId="1DF1B58A">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≤450</w:t>
                  </w:r>
                </w:p>
              </w:tc>
            </w:tr>
            <w:tr w14:paraId="490578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52C33F9D">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3</w:t>
                  </w:r>
                </w:p>
              </w:tc>
              <w:tc>
                <w:tcPr>
                  <w:tcW w:w="2611" w:type="pct"/>
                  <w:tcBorders>
                    <w:tl2br w:val="nil"/>
                    <w:tr2bl w:val="nil"/>
                  </w:tcBorders>
                  <w:noWrap w:val="0"/>
                  <w:vAlign w:val="center"/>
                </w:tcPr>
                <w:p w14:paraId="25C90947">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溶解性总固体</w:t>
                  </w:r>
                </w:p>
              </w:tc>
              <w:tc>
                <w:tcPr>
                  <w:tcW w:w="1668" w:type="pct"/>
                  <w:tcBorders>
                    <w:tl2br w:val="nil"/>
                    <w:tr2bl w:val="nil"/>
                  </w:tcBorders>
                  <w:noWrap w:val="0"/>
                  <w:vAlign w:val="center"/>
                </w:tcPr>
                <w:p w14:paraId="6D8382E7">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≤1000</w:t>
                  </w:r>
                </w:p>
              </w:tc>
            </w:tr>
            <w:tr w14:paraId="4D20E1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4DB5CB68">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4</w:t>
                  </w:r>
                </w:p>
              </w:tc>
              <w:tc>
                <w:tcPr>
                  <w:tcW w:w="2611" w:type="pct"/>
                  <w:tcBorders>
                    <w:tl2br w:val="nil"/>
                    <w:tr2bl w:val="nil"/>
                  </w:tcBorders>
                  <w:noWrap w:val="0"/>
                  <w:vAlign w:val="center"/>
                </w:tcPr>
                <w:p w14:paraId="0059991E">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硫酸盐/（mg/L）</w:t>
                  </w:r>
                </w:p>
              </w:tc>
              <w:tc>
                <w:tcPr>
                  <w:tcW w:w="1668" w:type="pct"/>
                  <w:tcBorders>
                    <w:tl2br w:val="nil"/>
                    <w:tr2bl w:val="nil"/>
                  </w:tcBorders>
                  <w:noWrap w:val="0"/>
                  <w:vAlign w:val="center"/>
                </w:tcPr>
                <w:p w14:paraId="20140499">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≤250</w:t>
                  </w:r>
                </w:p>
              </w:tc>
            </w:tr>
            <w:tr w14:paraId="115396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248AB15A">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5</w:t>
                  </w:r>
                </w:p>
              </w:tc>
              <w:tc>
                <w:tcPr>
                  <w:tcW w:w="2611" w:type="pct"/>
                  <w:tcBorders>
                    <w:tl2br w:val="nil"/>
                    <w:tr2bl w:val="nil"/>
                  </w:tcBorders>
                  <w:noWrap w:val="0"/>
                  <w:vAlign w:val="center"/>
                </w:tcPr>
                <w:p w14:paraId="6A560F99">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氯化物/（mg/L）</w:t>
                  </w:r>
                </w:p>
              </w:tc>
              <w:tc>
                <w:tcPr>
                  <w:tcW w:w="1668" w:type="pct"/>
                  <w:tcBorders>
                    <w:tl2br w:val="nil"/>
                    <w:tr2bl w:val="nil"/>
                  </w:tcBorders>
                  <w:noWrap w:val="0"/>
                  <w:vAlign w:val="center"/>
                </w:tcPr>
                <w:p w14:paraId="0BC57253">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≤250</w:t>
                  </w:r>
                </w:p>
              </w:tc>
            </w:tr>
            <w:tr w14:paraId="1E82CC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383B2427">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6</w:t>
                  </w:r>
                </w:p>
              </w:tc>
              <w:tc>
                <w:tcPr>
                  <w:tcW w:w="2611" w:type="pct"/>
                  <w:tcBorders>
                    <w:tl2br w:val="nil"/>
                    <w:tr2bl w:val="nil"/>
                  </w:tcBorders>
                  <w:noWrap w:val="0"/>
                  <w:vAlign w:val="center"/>
                </w:tcPr>
                <w:p w14:paraId="50AB3259">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铁/（mg/L）</w:t>
                  </w:r>
                </w:p>
              </w:tc>
              <w:tc>
                <w:tcPr>
                  <w:tcW w:w="1668" w:type="pct"/>
                  <w:tcBorders>
                    <w:tl2br w:val="nil"/>
                    <w:tr2bl w:val="nil"/>
                  </w:tcBorders>
                  <w:noWrap w:val="0"/>
                  <w:vAlign w:val="center"/>
                </w:tcPr>
                <w:p w14:paraId="5923523E">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≤0.3</w:t>
                  </w:r>
                </w:p>
              </w:tc>
            </w:tr>
            <w:tr w14:paraId="6C3D65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379114F6">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7</w:t>
                  </w:r>
                </w:p>
              </w:tc>
              <w:tc>
                <w:tcPr>
                  <w:tcW w:w="2611" w:type="pct"/>
                  <w:tcBorders>
                    <w:tl2br w:val="nil"/>
                    <w:tr2bl w:val="nil"/>
                  </w:tcBorders>
                  <w:noWrap w:val="0"/>
                  <w:vAlign w:val="center"/>
                </w:tcPr>
                <w:p w14:paraId="48FADB39">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锰/（mg/L）</w:t>
                  </w:r>
                </w:p>
              </w:tc>
              <w:tc>
                <w:tcPr>
                  <w:tcW w:w="1668" w:type="pct"/>
                  <w:tcBorders>
                    <w:tl2br w:val="nil"/>
                    <w:tr2bl w:val="nil"/>
                  </w:tcBorders>
                  <w:noWrap w:val="0"/>
                  <w:vAlign w:val="center"/>
                </w:tcPr>
                <w:p w14:paraId="40150398">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≤0.10</w:t>
                  </w:r>
                </w:p>
              </w:tc>
            </w:tr>
            <w:tr w14:paraId="784D19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5F8EEB97">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8</w:t>
                  </w:r>
                </w:p>
              </w:tc>
              <w:tc>
                <w:tcPr>
                  <w:tcW w:w="2611" w:type="pct"/>
                  <w:tcBorders>
                    <w:tl2br w:val="nil"/>
                    <w:tr2bl w:val="nil"/>
                  </w:tcBorders>
                  <w:noWrap w:val="0"/>
                  <w:vAlign w:val="center"/>
                </w:tcPr>
                <w:p w14:paraId="56520186">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挥发性酚类（以苯酚计）/（mg/L）</w:t>
                  </w:r>
                </w:p>
              </w:tc>
              <w:tc>
                <w:tcPr>
                  <w:tcW w:w="1668" w:type="pct"/>
                  <w:tcBorders>
                    <w:tl2br w:val="nil"/>
                    <w:tr2bl w:val="nil"/>
                  </w:tcBorders>
                  <w:noWrap w:val="0"/>
                  <w:vAlign w:val="center"/>
                </w:tcPr>
                <w:p w14:paraId="5A9AD868">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≤0.002</w:t>
                  </w:r>
                </w:p>
              </w:tc>
            </w:tr>
            <w:tr w14:paraId="5F537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3019CCAF">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9</w:t>
                  </w:r>
                </w:p>
              </w:tc>
              <w:tc>
                <w:tcPr>
                  <w:tcW w:w="2611" w:type="pct"/>
                  <w:tcBorders>
                    <w:tl2br w:val="nil"/>
                    <w:tr2bl w:val="nil"/>
                  </w:tcBorders>
                  <w:noWrap w:val="0"/>
                  <w:vAlign w:val="center"/>
                </w:tcPr>
                <w:p w14:paraId="6437F70E">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耗氧量（COD</w:t>
                  </w:r>
                  <w:r>
                    <w:rPr>
                      <w:rFonts w:ascii="Times New Roman" w:eastAsia="宋体" w:cs="Times New Roman"/>
                      <w:color w:val="auto"/>
                      <w:sz w:val="18"/>
                      <w:szCs w:val="18"/>
                      <w:highlight w:val="none"/>
                      <w:vertAlign w:val="subscript"/>
                    </w:rPr>
                    <w:t>Mn</w:t>
                  </w:r>
                  <w:r>
                    <w:rPr>
                      <w:rFonts w:ascii="Times New Roman" w:eastAsia="宋体" w:cs="Times New Roman"/>
                      <w:color w:val="auto"/>
                      <w:sz w:val="18"/>
                      <w:szCs w:val="18"/>
                      <w:highlight w:val="none"/>
                    </w:rPr>
                    <w:t>法，以O</w:t>
                  </w:r>
                  <w:r>
                    <w:rPr>
                      <w:rFonts w:ascii="Times New Roman" w:eastAsia="宋体" w:cs="Times New Roman"/>
                      <w:color w:val="auto"/>
                      <w:sz w:val="18"/>
                      <w:szCs w:val="18"/>
                      <w:highlight w:val="none"/>
                      <w:vertAlign w:val="subscript"/>
                    </w:rPr>
                    <w:t>2</w:t>
                  </w:r>
                  <w:r>
                    <w:rPr>
                      <w:rFonts w:ascii="Times New Roman" w:eastAsia="宋体" w:cs="Times New Roman"/>
                      <w:color w:val="auto"/>
                      <w:sz w:val="18"/>
                      <w:szCs w:val="18"/>
                      <w:highlight w:val="none"/>
                    </w:rPr>
                    <w:t>计）/（mg/L）</w:t>
                  </w:r>
                </w:p>
              </w:tc>
              <w:tc>
                <w:tcPr>
                  <w:tcW w:w="1668" w:type="pct"/>
                  <w:tcBorders>
                    <w:tl2br w:val="nil"/>
                    <w:tr2bl w:val="nil"/>
                  </w:tcBorders>
                  <w:noWrap w:val="0"/>
                  <w:vAlign w:val="center"/>
                </w:tcPr>
                <w:p w14:paraId="2C99FE27">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≤3.0</w:t>
                  </w:r>
                </w:p>
              </w:tc>
            </w:tr>
            <w:tr w14:paraId="55CF61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4E00FD62">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10</w:t>
                  </w:r>
                </w:p>
              </w:tc>
              <w:tc>
                <w:tcPr>
                  <w:tcW w:w="2611" w:type="pct"/>
                  <w:tcBorders>
                    <w:tl2br w:val="nil"/>
                    <w:tr2bl w:val="nil"/>
                  </w:tcBorders>
                  <w:noWrap w:val="0"/>
                  <w:vAlign w:val="center"/>
                </w:tcPr>
                <w:p w14:paraId="036425B0">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氨氮（以N计）/（mg/L）</w:t>
                  </w:r>
                </w:p>
              </w:tc>
              <w:tc>
                <w:tcPr>
                  <w:tcW w:w="1668" w:type="pct"/>
                  <w:tcBorders>
                    <w:tl2br w:val="nil"/>
                    <w:tr2bl w:val="nil"/>
                  </w:tcBorders>
                  <w:noWrap w:val="0"/>
                  <w:vAlign w:val="center"/>
                </w:tcPr>
                <w:p w14:paraId="38C62586">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≤0.50</w:t>
                  </w:r>
                </w:p>
              </w:tc>
            </w:tr>
            <w:tr w14:paraId="60EA4B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0CB6C244">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11</w:t>
                  </w:r>
                </w:p>
              </w:tc>
              <w:tc>
                <w:tcPr>
                  <w:tcW w:w="2611" w:type="pct"/>
                  <w:tcBorders>
                    <w:tl2br w:val="nil"/>
                    <w:tr2bl w:val="nil"/>
                  </w:tcBorders>
                  <w:noWrap w:val="0"/>
                  <w:vAlign w:val="center"/>
                </w:tcPr>
                <w:p w14:paraId="0EB34C05">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硫化物/（mg/L）</w:t>
                  </w:r>
                </w:p>
              </w:tc>
              <w:tc>
                <w:tcPr>
                  <w:tcW w:w="1668" w:type="pct"/>
                  <w:tcBorders>
                    <w:tl2br w:val="nil"/>
                    <w:tr2bl w:val="nil"/>
                  </w:tcBorders>
                  <w:noWrap w:val="0"/>
                  <w:vAlign w:val="center"/>
                </w:tcPr>
                <w:p w14:paraId="26B8446F">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≤0.02</w:t>
                  </w:r>
                </w:p>
              </w:tc>
            </w:tr>
            <w:tr w14:paraId="0137DF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20039122">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12</w:t>
                  </w:r>
                </w:p>
              </w:tc>
              <w:tc>
                <w:tcPr>
                  <w:tcW w:w="2611" w:type="pct"/>
                  <w:tcBorders>
                    <w:tl2br w:val="nil"/>
                    <w:tr2bl w:val="nil"/>
                  </w:tcBorders>
                  <w:noWrap w:val="0"/>
                  <w:vAlign w:val="center"/>
                </w:tcPr>
                <w:p w14:paraId="581B4BFF">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钠/（mg/L）</w:t>
                  </w:r>
                </w:p>
              </w:tc>
              <w:tc>
                <w:tcPr>
                  <w:tcW w:w="1668" w:type="pct"/>
                  <w:tcBorders>
                    <w:tl2br w:val="nil"/>
                    <w:tr2bl w:val="nil"/>
                  </w:tcBorders>
                  <w:noWrap w:val="0"/>
                  <w:vAlign w:val="center"/>
                </w:tcPr>
                <w:p w14:paraId="7EDC24DD">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≤200</w:t>
                  </w:r>
                </w:p>
              </w:tc>
            </w:tr>
            <w:tr w14:paraId="65CBAF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l2br w:val="nil"/>
                    <w:tr2bl w:val="nil"/>
                  </w:tcBorders>
                  <w:noWrap w:val="0"/>
                  <w:vAlign w:val="center"/>
                </w:tcPr>
                <w:p w14:paraId="40241BF0">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微生物指标</w:t>
                  </w:r>
                </w:p>
              </w:tc>
            </w:tr>
            <w:tr w14:paraId="6325D7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2719C41E">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13</w:t>
                  </w:r>
                </w:p>
              </w:tc>
              <w:tc>
                <w:tcPr>
                  <w:tcW w:w="2611" w:type="pct"/>
                  <w:tcBorders>
                    <w:tl2br w:val="nil"/>
                    <w:tr2bl w:val="nil"/>
                  </w:tcBorders>
                  <w:noWrap w:val="0"/>
                  <w:vAlign w:val="center"/>
                </w:tcPr>
                <w:p w14:paraId="4D33A31A">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总大肠菌群/（MPN/100mL或CFU/100mL）</w:t>
                  </w:r>
                </w:p>
              </w:tc>
              <w:tc>
                <w:tcPr>
                  <w:tcW w:w="1668" w:type="pct"/>
                  <w:tcBorders>
                    <w:tl2br w:val="nil"/>
                    <w:tr2bl w:val="nil"/>
                  </w:tcBorders>
                  <w:noWrap w:val="0"/>
                  <w:vAlign w:val="center"/>
                </w:tcPr>
                <w:p w14:paraId="6348C222">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≤3.0</w:t>
                  </w:r>
                </w:p>
              </w:tc>
            </w:tr>
            <w:tr w14:paraId="275F83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6E7B4FEA">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14</w:t>
                  </w:r>
                </w:p>
              </w:tc>
              <w:tc>
                <w:tcPr>
                  <w:tcW w:w="2611" w:type="pct"/>
                  <w:tcBorders>
                    <w:tl2br w:val="nil"/>
                    <w:tr2bl w:val="nil"/>
                  </w:tcBorders>
                  <w:noWrap w:val="0"/>
                  <w:vAlign w:val="center"/>
                </w:tcPr>
                <w:p w14:paraId="1F104D5C">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菌落总数/（CFU/mL）</w:t>
                  </w:r>
                </w:p>
              </w:tc>
              <w:tc>
                <w:tcPr>
                  <w:tcW w:w="1668" w:type="pct"/>
                  <w:tcBorders>
                    <w:tl2br w:val="nil"/>
                    <w:tr2bl w:val="nil"/>
                  </w:tcBorders>
                  <w:noWrap w:val="0"/>
                  <w:vAlign w:val="center"/>
                </w:tcPr>
                <w:p w14:paraId="23F56800">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≤100</w:t>
                  </w:r>
                </w:p>
              </w:tc>
            </w:tr>
            <w:tr w14:paraId="623C0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l2br w:val="nil"/>
                    <w:tr2bl w:val="nil"/>
                  </w:tcBorders>
                  <w:noWrap w:val="0"/>
                  <w:vAlign w:val="center"/>
                </w:tcPr>
                <w:p w14:paraId="5CA5A965">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毒理学指标</w:t>
                  </w:r>
                </w:p>
              </w:tc>
            </w:tr>
            <w:tr w14:paraId="43A68D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2141F337">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15</w:t>
                  </w:r>
                </w:p>
              </w:tc>
              <w:tc>
                <w:tcPr>
                  <w:tcW w:w="2611" w:type="pct"/>
                  <w:tcBorders>
                    <w:tl2br w:val="nil"/>
                    <w:tr2bl w:val="nil"/>
                  </w:tcBorders>
                  <w:noWrap w:val="0"/>
                  <w:vAlign w:val="center"/>
                </w:tcPr>
                <w:p w14:paraId="070FAA92">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亚硝酸盐（以N计）/（mg/L）</w:t>
                  </w:r>
                </w:p>
              </w:tc>
              <w:tc>
                <w:tcPr>
                  <w:tcW w:w="1668" w:type="pct"/>
                  <w:tcBorders>
                    <w:tl2br w:val="nil"/>
                    <w:tr2bl w:val="nil"/>
                  </w:tcBorders>
                  <w:noWrap w:val="0"/>
                  <w:vAlign w:val="center"/>
                </w:tcPr>
                <w:p w14:paraId="07E9CE2F">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≤1.00</w:t>
                  </w:r>
                </w:p>
              </w:tc>
            </w:tr>
            <w:tr w14:paraId="778367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059CFDA0">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16</w:t>
                  </w:r>
                </w:p>
              </w:tc>
              <w:tc>
                <w:tcPr>
                  <w:tcW w:w="2611" w:type="pct"/>
                  <w:tcBorders>
                    <w:tl2br w:val="nil"/>
                    <w:tr2bl w:val="nil"/>
                  </w:tcBorders>
                  <w:noWrap w:val="0"/>
                  <w:vAlign w:val="center"/>
                </w:tcPr>
                <w:p w14:paraId="63A7FC11">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硝酸盐（以N计）/（mg/L）</w:t>
                  </w:r>
                </w:p>
              </w:tc>
              <w:tc>
                <w:tcPr>
                  <w:tcW w:w="1668" w:type="pct"/>
                  <w:tcBorders>
                    <w:tl2br w:val="nil"/>
                    <w:tr2bl w:val="nil"/>
                  </w:tcBorders>
                  <w:noWrap w:val="0"/>
                  <w:vAlign w:val="center"/>
                </w:tcPr>
                <w:p w14:paraId="0DE8959C">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≤20.0</w:t>
                  </w:r>
                </w:p>
              </w:tc>
            </w:tr>
            <w:tr w14:paraId="67D4CC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650B1FA5">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17</w:t>
                  </w:r>
                </w:p>
              </w:tc>
              <w:tc>
                <w:tcPr>
                  <w:tcW w:w="2611" w:type="pct"/>
                  <w:tcBorders>
                    <w:tl2br w:val="nil"/>
                    <w:tr2bl w:val="nil"/>
                  </w:tcBorders>
                  <w:noWrap w:val="0"/>
                  <w:vAlign w:val="center"/>
                </w:tcPr>
                <w:p w14:paraId="5FE1CEA2">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氰化物/（mg/L）</w:t>
                  </w:r>
                </w:p>
              </w:tc>
              <w:tc>
                <w:tcPr>
                  <w:tcW w:w="1668" w:type="pct"/>
                  <w:tcBorders>
                    <w:tl2br w:val="nil"/>
                    <w:tr2bl w:val="nil"/>
                  </w:tcBorders>
                  <w:noWrap w:val="0"/>
                  <w:vAlign w:val="center"/>
                </w:tcPr>
                <w:p w14:paraId="53A0C21E">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≤0.05</w:t>
                  </w:r>
                </w:p>
              </w:tc>
            </w:tr>
            <w:tr w14:paraId="23FE24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470AEED8">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18</w:t>
                  </w:r>
                </w:p>
              </w:tc>
              <w:tc>
                <w:tcPr>
                  <w:tcW w:w="2611" w:type="pct"/>
                  <w:tcBorders>
                    <w:tl2br w:val="nil"/>
                    <w:tr2bl w:val="nil"/>
                  </w:tcBorders>
                  <w:noWrap w:val="0"/>
                  <w:vAlign w:val="center"/>
                </w:tcPr>
                <w:p w14:paraId="33CD7F01">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氟化物/（mg/L）</w:t>
                  </w:r>
                </w:p>
              </w:tc>
              <w:tc>
                <w:tcPr>
                  <w:tcW w:w="1668" w:type="pct"/>
                  <w:tcBorders>
                    <w:tl2br w:val="nil"/>
                    <w:tr2bl w:val="nil"/>
                  </w:tcBorders>
                  <w:noWrap w:val="0"/>
                  <w:vAlign w:val="center"/>
                </w:tcPr>
                <w:p w14:paraId="00114725">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≤1.0</w:t>
                  </w:r>
                </w:p>
              </w:tc>
            </w:tr>
            <w:tr w14:paraId="32C19B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33C95CCC">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19</w:t>
                  </w:r>
                </w:p>
              </w:tc>
              <w:tc>
                <w:tcPr>
                  <w:tcW w:w="2611" w:type="pct"/>
                  <w:tcBorders>
                    <w:tl2br w:val="nil"/>
                    <w:tr2bl w:val="nil"/>
                  </w:tcBorders>
                  <w:noWrap w:val="0"/>
                  <w:vAlign w:val="center"/>
                </w:tcPr>
                <w:p w14:paraId="50A90D8B">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汞/（mg/L）</w:t>
                  </w:r>
                </w:p>
              </w:tc>
              <w:tc>
                <w:tcPr>
                  <w:tcW w:w="1668" w:type="pct"/>
                  <w:tcBorders>
                    <w:tl2br w:val="nil"/>
                    <w:tr2bl w:val="nil"/>
                  </w:tcBorders>
                  <w:noWrap w:val="0"/>
                  <w:vAlign w:val="center"/>
                </w:tcPr>
                <w:p w14:paraId="01029BD9">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≤0.001</w:t>
                  </w:r>
                </w:p>
              </w:tc>
            </w:tr>
            <w:tr w14:paraId="1C75E9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7FE448DF">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20</w:t>
                  </w:r>
                </w:p>
              </w:tc>
              <w:tc>
                <w:tcPr>
                  <w:tcW w:w="2611" w:type="pct"/>
                  <w:tcBorders>
                    <w:tl2br w:val="nil"/>
                    <w:tr2bl w:val="nil"/>
                  </w:tcBorders>
                  <w:noWrap w:val="0"/>
                  <w:vAlign w:val="center"/>
                </w:tcPr>
                <w:p w14:paraId="2DFF7195">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砷/（mg/L）</w:t>
                  </w:r>
                </w:p>
              </w:tc>
              <w:tc>
                <w:tcPr>
                  <w:tcW w:w="1668" w:type="pct"/>
                  <w:tcBorders>
                    <w:tl2br w:val="nil"/>
                    <w:tr2bl w:val="nil"/>
                  </w:tcBorders>
                  <w:noWrap w:val="0"/>
                  <w:vAlign w:val="center"/>
                </w:tcPr>
                <w:p w14:paraId="23508972">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≤0.01</w:t>
                  </w:r>
                </w:p>
              </w:tc>
            </w:tr>
            <w:tr w14:paraId="0CE0A9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55572AD4">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21</w:t>
                  </w:r>
                </w:p>
              </w:tc>
              <w:tc>
                <w:tcPr>
                  <w:tcW w:w="2611" w:type="pct"/>
                  <w:tcBorders>
                    <w:tl2br w:val="nil"/>
                    <w:tr2bl w:val="nil"/>
                  </w:tcBorders>
                  <w:noWrap w:val="0"/>
                  <w:vAlign w:val="center"/>
                </w:tcPr>
                <w:p w14:paraId="7DA3239D">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镉/（mg/L）</w:t>
                  </w:r>
                </w:p>
              </w:tc>
              <w:tc>
                <w:tcPr>
                  <w:tcW w:w="1668" w:type="pct"/>
                  <w:tcBorders>
                    <w:tl2br w:val="nil"/>
                    <w:tr2bl w:val="nil"/>
                  </w:tcBorders>
                  <w:noWrap w:val="0"/>
                  <w:vAlign w:val="center"/>
                </w:tcPr>
                <w:p w14:paraId="4F635FA4">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≤0.005</w:t>
                  </w:r>
                </w:p>
              </w:tc>
            </w:tr>
            <w:tr w14:paraId="16048B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3B1CD69A">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22</w:t>
                  </w:r>
                </w:p>
              </w:tc>
              <w:tc>
                <w:tcPr>
                  <w:tcW w:w="2611" w:type="pct"/>
                  <w:tcBorders>
                    <w:tl2br w:val="nil"/>
                    <w:tr2bl w:val="nil"/>
                  </w:tcBorders>
                  <w:noWrap w:val="0"/>
                  <w:vAlign w:val="center"/>
                </w:tcPr>
                <w:p w14:paraId="55C60A51">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铬（六价）/（mg/L）</w:t>
                  </w:r>
                </w:p>
              </w:tc>
              <w:tc>
                <w:tcPr>
                  <w:tcW w:w="1668" w:type="pct"/>
                  <w:tcBorders>
                    <w:tl2br w:val="nil"/>
                    <w:tr2bl w:val="nil"/>
                  </w:tcBorders>
                  <w:noWrap w:val="0"/>
                  <w:vAlign w:val="center"/>
                </w:tcPr>
                <w:p w14:paraId="0F7DE24A">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≤0.05</w:t>
                  </w:r>
                </w:p>
              </w:tc>
            </w:tr>
            <w:tr w14:paraId="506CE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19" w:type="pct"/>
                  <w:tcBorders>
                    <w:tl2br w:val="nil"/>
                    <w:tr2bl w:val="nil"/>
                  </w:tcBorders>
                  <w:noWrap w:val="0"/>
                  <w:vAlign w:val="center"/>
                </w:tcPr>
                <w:p w14:paraId="18E201A8">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23</w:t>
                  </w:r>
                </w:p>
              </w:tc>
              <w:tc>
                <w:tcPr>
                  <w:tcW w:w="2611" w:type="pct"/>
                  <w:tcBorders>
                    <w:tl2br w:val="nil"/>
                    <w:tr2bl w:val="nil"/>
                  </w:tcBorders>
                  <w:noWrap w:val="0"/>
                  <w:vAlign w:val="center"/>
                </w:tcPr>
                <w:p w14:paraId="7F5B25B4">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铅/（mg/L）</w:t>
                  </w:r>
                </w:p>
              </w:tc>
              <w:tc>
                <w:tcPr>
                  <w:tcW w:w="1668" w:type="pct"/>
                  <w:tcBorders>
                    <w:tl2br w:val="nil"/>
                    <w:tr2bl w:val="nil"/>
                  </w:tcBorders>
                  <w:noWrap w:val="0"/>
                  <w:vAlign w:val="center"/>
                </w:tcPr>
                <w:p w14:paraId="1CFFF51D">
                  <w:pPr>
                    <w:pStyle w:val="53"/>
                    <w:jc w:val="center"/>
                    <w:rPr>
                      <w:rFonts w:ascii="Times New Roman" w:eastAsia="宋体" w:cs="Times New Roman"/>
                      <w:color w:val="auto"/>
                      <w:sz w:val="18"/>
                      <w:szCs w:val="18"/>
                      <w:highlight w:val="none"/>
                    </w:rPr>
                  </w:pPr>
                  <w:r>
                    <w:rPr>
                      <w:rFonts w:ascii="Times New Roman" w:eastAsia="宋体" w:cs="Times New Roman"/>
                      <w:color w:val="auto"/>
                      <w:sz w:val="18"/>
                      <w:szCs w:val="18"/>
                      <w:highlight w:val="none"/>
                    </w:rPr>
                    <w:t>≤0.01</w:t>
                  </w:r>
                </w:p>
              </w:tc>
            </w:tr>
          </w:tbl>
          <w:p w14:paraId="70AF087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（4）土壤</w:t>
            </w:r>
          </w:p>
          <w:p w14:paraId="678CFB6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color w:val="auto"/>
                <w:sz w:val="21"/>
                <w:szCs w:val="21"/>
                <w:highlight w:val="none"/>
              </w:rPr>
            </w:pPr>
            <w:r>
              <w:rPr>
                <w:rFonts w:hint="eastAsia"/>
                <w:color w:val="auto"/>
                <w:sz w:val="21"/>
                <w:szCs w:val="21"/>
                <w:highlight w:val="none"/>
              </w:rPr>
              <w:t>项目占地范围内土壤环境执行</w:t>
            </w:r>
            <w:r>
              <w:rPr>
                <w:color w:val="auto"/>
                <w:sz w:val="21"/>
                <w:szCs w:val="21"/>
                <w:highlight w:val="none"/>
                <w:lang w:val="zh-CN"/>
              </w:rPr>
              <w:t>《土壤环境质量</w:t>
            </w:r>
            <w:r>
              <w:rPr>
                <w:color w:val="auto"/>
                <w:sz w:val="21"/>
                <w:szCs w:val="21"/>
                <w:highlight w:val="none"/>
              </w:rPr>
              <w:t xml:space="preserve"> 建设用地土壤污染风险管控标准</w:t>
            </w:r>
            <w:r>
              <w:rPr>
                <w:color w:val="auto"/>
                <w:sz w:val="21"/>
                <w:szCs w:val="21"/>
                <w:highlight w:val="none"/>
                <w:lang w:val="zh-CN"/>
              </w:rPr>
              <w:t>》（</w:t>
            </w:r>
            <w:r>
              <w:rPr>
                <w:color w:val="auto"/>
                <w:sz w:val="21"/>
                <w:szCs w:val="21"/>
                <w:highlight w:val="none"/>
              </w:rPr>
              <w:t>GB36600-2018</w:t>
            </w:r>
            <w:r>
              <w:rPr>
                <w:color w:val="auto"/>
                <w:sz w:val="21"/>
                <w:szCs w:val="21"/>
                <w:highlight w:val="none"/>
                <w:lang w:val="zh-CN"/>
              </w:rPr>
              <w:t>）中第二类用地的筛选值</w:t>
            </w:r>
            <w:r>
              <w:rPr>
                <w:rFonts w:hint="eastAsia"/>
                <w:color w:val="auto"/>
                <w:sz w:val="21"/>
                <w:szCs w:val="21"/>
                <w:highlight w:val="none"/>
              </w:rPr>
              <w:t>，占地范围外的其他草地执行</w:t>
            </w:r>
            <w:r>
              <w:rPr>
                <w:color w:val="auto"/>
                <w:sz w:val="21"/>
                <w:szCs w:val="21"/>
                <w:highlight w:val="none"/>
                <w:lang w:val="zh-CN"/>
              </w:rPr>
              <w:t>《土壤环境质量 农用地土壤污染风险管控标准》（试行）GB15618-2018</w:t>
            </w:r>
            <w:r>
              <w:rPr>
                <w:rFonts w:hint="eastAsia"/>
                <w:color w:val="auto"/>
                <w:sz w:val="21"/>
                <w:szCs w:val="21"/>
                <w:highlight w:val="none"/>
                <w:lang w:val="zh-CN"/>
              </w:rPr>
              <w:t>）</w:t>
            </w:r>
            <w:r>
              <w:rPr>
                <w:color w:val="auto"/>
                <w:sz w:val="21"/>
                <w:szCs w:val="21"/>
                <w:highlight w:val="none"/>
                <w:lang w:val="zh-CN"/>
              </w:rPr>
              <w:t>中</w:t>
            </w:r>
            <w:r>
              <w:rPr>
                <w:rStyle w:val="29"/>
                <w:color w:val="auto"/>
                <w:sz w:val="21"/>
                <w:szCs w:val="21"/>
                <w:highlight w:val="none"/>
              </w:rPr>
              <w:t>环境风险筛选值</w:t>
            </w:r>
            <w:r>
              <w:rPr>
                <w:color w:val="auto"/>
                <w:sz w:val="21"/>
                <w:szCs w:val="21"/>
                <w:highlight w:val="none"/>
              </w:rPr>
              <w:t>。</w:t>
            </w:r>
          </w:p>
          <w:p w14:paraId="3A68C30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color w:val="auto"/>
                <w:sz w:val="21"/>
                <w:szCs w:val="21"/>
                <w:highlight w:val="none"/>
              </w:rPr>
            </w:pPr>
            <w:r>
              <w:rPr>
                <w:rFonts w:hint="eastAsia"/>
                <w:color w:val="auto"/>
                <w:sz w:val="21"/>
                <w:szCs w:val="21"/>
                <w:highlight w:val="none"/>
              </w:rPr>
              <w:t>具体</w:t>
            </w:r>
            <w:r>
              <w:rPr>
                <w:color w:val="auto"/>
                <w:sz w:val="21"/>
                <w:szCs w:val="21"/>
                <w:highlight w:val="none"/>
              </w:rPr>
              <w:t>见表</w:t>
            </w:r>
            <w:r>
              <w:rPr>
                <w:rFonts w:hint="eastAsia"/>
                <w:color w:val="auto"/>
                <w:sz w:val="21"/>
                <w:szCs w:val="21"/>
                <w:highlight w:val="none"/>
                <w:lang w:val="en-US" w:eastAsia="zh-CN"/>
              </w:rPr>
              <w:t>3-5</w:t>
            </w:r>
            <w:r>
              <w:rPr>
                <w:color w:val="auto"/>
                <w:sz w:val="21"/>
                <w:szCs w:val="21"/>
                <w:highlight w:val="none"/>
              </w:rPr>
              <w:t>和表</w:t>
            </w:r>
            <w:r>
              <w:rPr>
                <w:rFonts w:hint="eastAsia"/>
                <w:color w:val="auto"/>
                <w:sz w:val="21"/>
                <w:szCs w:val="21"/>
                <w:highlight w:val="none"/>
                <w:lang w:val="en-US" w:eastAsia="zh-CN"/>
              </w:rPr>
              <w:t>3-6</w:t>
            </w:r>
            <w:r>
              <w:rPr>
                <w:color w:val="auto"/>
                <w:sz w:val="21"/>
                <w:szCs w:val="21"/>
                <w:highlight w:val="none"/>
              </w:rPr>
              <w:t>。</w:t>
            </w:r>
          </w:p>
          <w:p w14:paraId="045AFE0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bCs/>
                <w:color w:val="auto"/>
                <w:kern w:val="28"/>
                <w:sz w:val="21"/>
                <w:szCs w:val="21"/>
                <w:highlight w:val="none"/>
              </w:rPr>
            </w:pPr>
            <w:r>
              <w:rPr>
                <w:b/>
                <w:bCs/>
                <w:color w:val="auto"/>
                <w:kern w:val="28"/>
                <w:sz w:val="21"/>
                <w:szCs w:val="21"/>
                <w:highlight w:val="none"/>
              </w:rPr>
              <w:t>表</w:t>
            </w:r>
            <w:r>
              <w:rPr>
                <w:rFonts w:hint="eastAsia"/>
                <w:b/>
                <w:bCs/>
                <w:color w:val="auto"/>
                <w:kern w:val="28"/>
                <w:sz w:val="21"/>
                <w:szCs w:val="21"/>
                <w:highlight w:val="none"/>
                <w:lang w:val="en-US" w:eastAsia="zh-CN"/>
              </w:rPr>
              <w:t>3-5</w:t>
            </w:r>
            <w:r>
              <w:rPr>
                <w:b/>
                <w:bCs/>
                <w:color w:val="auto"/>
                <w:kern w:val="28"/>
                <w:sz w:val="21"/>
                <w:szCs w:val="21"/>
                <w:highlight w:val="none"/>
              </w:rPr>
              <w:t xml:space="preserve">    建设用地土壤环境质量标准（单位：mg/kg）</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2436"/>
              <w:gridCol w:w="2237"/>
              <w:gridCol w:w="2179"/>
            </w:tblGrid>
            <w:tr w14:paraId="5319E1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Merge w:val="restart"/>
                  <w:tcBorders>
                    <w:tl2br w:val="nil"/>
                    <w:tr2bl w:val="nil"/>
                  </w:tcBorders>
                  <w:noWrap w:val="0"/>
                  <w:vAlign w:val="center"/>
                </w:tcPr>
                <w:p w14:paraId="6329B6D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序号</w:t>
                  </w:r>
                </w:p>
              </w:tc>
              <w:tc>
                <w:tcPr>
                  <w:tcW w:w="1516" w:type="pct"/>
                  <w:vMerge w:val="restart"/>
                  <w:tcBorders>
                    <w:tl2br w:val="nil"/>
                    <w:tr2bl w:val="nil"/>
                  </w:tcBorders>
                  <w:noWrap w:val="0"/>
                  <w:vAlign w:val="center"/>
                </w:tcPr>
                <w:p w14:paraId="7678B42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污染物项目</w:t>
                  </w:r>
                </w:p>
              </w:tc>
              <w:tc>
                <w:tcPr>
                  <w:tcW w:w="1392" w:type="pct"/>
                  <w:vMerge w:val="restart"/>
                  <w:tcBorders>
                    <w:tl2br w:val="nil"/>
                    <w:tr2bl w:val="nil"/>
                  </w:tcBorders>
                  <w:noWrap w:val="0"/>
                  <w:vAlign w:val="center"/>
                </w:tcPr>
                <w:p w14:paraId="54E0496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CAS编号</w:t>
                  </w:r>
                </w:p>
              </w:tc>
              <w:tc>
                <w:tcPr>
                  <w:tcW w:w="1354" w:type="pct"/>
                  <w:tcBorders>
                    <w:tl2br w:val="nil"/>
                    <w:tr2bl w:val="nil"/>
                  </w:tcBorders>
                  <w:noWrap w:val="0"/>
                  <w:vAlign w:val="center"/>
                </w:tcPr>
                <w:p w14:paraId="556484E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筛选值</w:t>
                  </w:r>
                </w:p>
              </w:tc>
            </w:tr>
            <w:tr w14:paraId="41BD8B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Merge w:val="continue"/>
                  <w:tcBorders>
                    <w:tl2br w:val="nil"/>
                    <w:tr2bl w:val="nil"/>
                  </w:tcBorders>
                  <w:noWrap w:val="0"/>
                  <w:vAlign w:val="center"/>
                </w:tcPr>
                <w:p w14:paraId="09DFF39B">
                  <w:pPr>
                    <w:pStyle w:val="43"/>
                    <w:rPr>
                      <w:rFonts w:hint="default" w:ascii="Times New Roman" w:hAnsi="Times New Roman" w:cs="Times New Roman"/>
                      <w:b w:val="0"/>
                      <w:bCs w:val="0"/>
                      <w:color w:val="auto"/>
                      <w:sz w:val="18"/>
                      <w:szCs w:val="18"/>
                      <w:highlight w:val="none"/>
                    </w:rPr>
                  </w:pPr>
                </w:p>
              </w:tc>
              <w:tc>
                <w:tcPr>
                  <w:tcW w:w="1516" w:type="pct"/>
                  <w:vMerge w:val="continue"/>
                  <w:tcBorders>
                    <w:tl2br w:val="nil"/>
                    <w:tr2bl w:val="nil"/>
                  </w:tcBorders>
                  <w:noWrap w:val="0"/>
                  <w:vAlign w:val="center"/>
                </w:tcPr>
                <w:p w14:paraId="71DAEEDA">
                  <w:pPr>
                    <w:pStyle w:val="43"/>
                    <w:rPr>
                      <w:rFonts w:hint="default" w:ascii="Times New Roman" w:hAnsi="Times New Roman" w:cs="Times New Roman"/>
                      <w:b w:val="0"/>
                      <w:bCs w:val="0"/>
                      <w:color w:val="auto"/>
                      <w:sz w:val="18"/>
                      <w:szCs w:val="18"/>
                      <w:highlight w:val="none"/>
                    </w:rPr>
                  </w:pPr>
                </w:p>
              </w:tc>
              <w:tc>
                <w:tcPr>
                  <w:tcW w:w="1392" w:type="pct"/>
                  <w:vMerge w:val="continue"/>
                  <w:tcBorders>
                    <w:tl2br w:val="nil"/>
                    <w:tr2bl w:val="nil"/>
                  </w:tcBorders>
                  <w:noWrap w:val="0"/>
                  <w:vAlign w:val="center"/>
                </w:tcPr>
                <w:p w14:paraId="16EC0141">
                  <w:pPr>
                    <w:pStyle w:val="43"/>
                    <w:rPr>
                      <w:rFonts w:hint="default" w:ascii="Times New Roman" w:hAnsi="Times New Roman" w:cs="Times New Roman"/>
                      <w:b w:val="0"/>
                      <w:bCs w:val="0"/>
                      <w:color w:val="auto"/>
                      <w:sz w:val="18"/>
                      <w:szCs w:val="18"/>
                      <w:highlight w:val="none"/>
                    </w:rPr>
                  </w:pPr>
                </w:p>
              </w:tc>
              <w:tc>
                <w:tcPr>
                  <w:tcW w:w="1354" w:type="pct"/>
                  <w:tcBorders>
                    <w:tl2br w:val="nil"/>
                    <w:tr2bl w:val="nil"/>
                  </w:tcBorders>
                  <w:noWrap w:val="0"/>
                  <w:vAlign w:val="center"/>
                </w:tcPr>
                <w:p w14:paraId="25B91E3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第二类用地</w:t>
                  </w:r>
                </w:p>
              </w:tc>
            </w:tr>
            <w:tr w14:paraId="2A93A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l2br w:val="nil"/>
                    <w:tr2bl w:val="nil"/>
                  </w:tcBorders>
                  <w:noWrap w:val="0"/>
                  <w:vAlign w:val="center"/>
                </w:tcPr>
                <w:p w14:paraId="40DDE44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重金属和无机物</w:t>
                  </w:r>
                </w:p>
              </w:tc>
            </w:tr>
            <w:tr w14:paraId="16FEB0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301B597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1516" w:type="pct"/>
                  <w:tcBorders>
                    <w:tl2br w:val="nil"/>
                    <w:tr2bl w:val="nil"/>
                  </w:tcBorders>
                  <w:noWrap w:val="0"/>
                  <w:vAlign w:val="center"/>
                </w:tcPr>
                <w:p w14:paraId="2A5E6B7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砷</w:t>
                  </w:r>
                </w:p>
              </w:tc>
              <w:tc>
                <w:tcPr>
                  <w:tcW w:w="1392" w:type="pct"/>
                  <w:tcBorders>
                    <w:tl2br w:val="nil"/>
                    <w:tr2bl w:val="nil"/>
                  </w:tcBorders>
                  <w:noWrap w:val="0"/>
                  <w:vAlign w:val="center"/>
                </w:tcPr>
                <w:p w14:paraId="103F9DD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7440-38-2</w:t>
                  </w:r>
                </w:p>
              </w:tc>
              <w:tc>
                <w:tcPr>
                  <w:tcW w:w="1354" w:type="pct"/>
                  <w:tcBorders>
                    <w:tl2br w:val="nil"/>
                    <w:tr2bl w:val="nil"/>
                  </w:tcBorders>
                  <w:noWrap w:val="0"/>
                  <w:vAlign w:val="center"/>
                </w:tcPr>
                <w:p w14:paraId="1AF5223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60</w:t>
                  </w:r>
                </w:p>
              </w:tc>
            </w:tr>
            <w:tr w14:paraId="28131D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5D38D82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1516" w:type="pct"/>
                  <w:tcBorders>
                    <w:tl2br w:val="nil"/>
                    <w:tr2bl w:val="nil"/>
                  </w:tcBorders>
                  <w:noWrap w:val="0"/>
                  <w:vAlign w:val="center"/>
                </w:tcPr>
                <w:p w14:paraId="37D8F56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镉</w:t>
                  </w:r>
                </w:p>
              </w:tc>
              <w:tc>
                <w:tcPr>
                  <w:tcW w:w="1392" w:type="pct"/>
                  <w:tcBorders>
                    <w:tl2br w:val="nil"/>
                    <w:tr2bl w:val="nil"/>
                  </w:tcBorders>
                  <w:noWrap w:val="0"/>
                  <w:vAlign w:val="center"/>
                </w:tcPr>
                <w:p w14:paraId="18456E8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7440-43-9</w:t>
                  </w:r>
                </w:p>
              </w:tc>
              <w:tc>
                <w:tcPr>
                  <w:tcW w:w="1354" w:type="pct"/>
                  <w:tcBorders>
                    <w:tl2br w:val="nil"/>
                    <w:tr2bl w:val="nil"/>
                  </w:tcBorders>
                  <w:noWrap w:val="0"/>
                  <w:vAlign w:val="center"/>
                </w:tcPr>
                <w:p w14:paraId="0C0FB7D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65</w:t>
                  </w:r>
                </w:p>
              </w:tc>
            </w:tr>
            <w:tr w14:paraId="440DBC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185A412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p>
              </w:tc>
              <w:tc>
                <w:tcPr>
                  <w:tcW w:w="1516" w:type="pct"/>
                  <w:tcBorders>
                    <w:tl2br w:val="nil"/>
                    <w:tr2bl w:val="nil"/>
                  </w:tcBorders>
                  <w:noWrap w:val="0"/>
                  <w:vAlign w:val="center"/>
                </w:tcPr>
                <w:p w14:paraId="5680891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铬（六价）</w:t>
                  </w:r>
                </w:p>
              </w:tc>
              <w:tc>
                <w:tcPr>
                  <w:tcW w:w="1392" w:type="pct"/>
                  <w:tcBorders>
                    <w:tl2br w:val="nil"/>
                    <w:tr2bl w:val="nil"/>
                  </w:tcBorders>
                  <w:noWrap w:val="0"/>
                  <w:vAlign w:val="center"/>
                </w:tcPr>
                <w:p w14:paraId="37B8144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18540-29-9</w:t>
                  </w:r>
                </w:p>
              </w:tc>
              <w:tc>
                <w:tcPr>
                  <w:tcW w:w="1354" w:type="pct"/>
                  <w:tcBorders>
                    <w:tl2br w:val="nil"/>
                    <w:tr2bl w:val="nil"/>
                  </w:tcBorders>
                  <w:noWrap w:val="0"/>
                  <w:vAlign w:val="center"/>
                </w:tcPr>
                <w:p w14:paraId="18AC445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5.7</w:t>
                  </w:r>
                </w:p>
              </w:tc>
            </w:tr>
            <w:tr w14:paraId="7EB51A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0F44DDD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w:t>
                  </w:r>
                </w:p>
              </w:tc>
              <w:tc>
                <w:tcPr>
                  <w:tcW w:w="1516" w:type="pct"/>
                  <w:tcBorders>
                    <w:tl2br w:val="nil"/>
                    <w:tr2bl w:val="nil"/>
                  </w:tcBorders>
                  <w:noWrap w:val="0"/>
                  <w:vAlign w:val="center"/>
                </w:tcPr>
                <w:p w14:paraId="4CF1036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铜</w:t>
                  </w:r>
                </w:p>
              </w:tc>
              <w:tc>
                <w:tcPr>
                  <w:tcW w:w="1392" w:type="pct"/>
                  <w:tcBorders>
                    <w:tl2br w:val="nil"/>
                    <w:tr2bl w:val="nil"/>
                  </w:tcBorders>
                  <w:noWrap w:val="0"/>
                  <w:vAlign w:val="center"/>
                </w:tcPr>
                <w:p w14:paraId="028E20E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7440-50-8</w:t>
                  </w:r>
                </w:p>
              </w:tc>
              <w:tc>
                <w:tcPr>
                  <w:tcW w:w="1354" w:type="pct"/>
                  <w:tcBorders>
                    <w:tl2br w:val="nil"/>
                    <w:tr2bl w:val="nil"/>
                  </w:tcBorders>
                  <w:noWrap w:val="0"/>
                  <w:vAlign w:val="center"/>
                </w:tcPr>
                <w:p w14:paraId="5041D5A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18000</w:t>
                  </w:r>
                </w:p>
              </w:tc>
            </w:tr>
            <w:tr w14:paraId="3A094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B47637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w:t>
                  </w:r>
                </w:p>
              </w:tc>
              <w:tc>
                <w:tcPr>
                  <w:tcW w:w="1516" w:type="pct"/>
                  <w:tcBorders>
                    <w:tl2br w:val="nil"/>
                    <w:tr2bl w:val="nil"/>
                  </w:tcBorders>
                  <w:noWrap w:val="0"/>
                  <w:vAlign w:val="center"/>
                </w:tcPr>
                <w:p w14:paraId="33D9751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铅</w:t>
                  </w:r>
                </w:p>
              </w:tc>
              <w:tc>
                <w:tcPr>
                  <w:tcW w:w="1392" w:type="pct"/>
                  <w:tcBorders>
                    <w:tl2br w:val="nil"/>
                    <w:tr2bl w:val="nil"/>
                  </w:tcBorders>
                  <w:noWrap w:val="0"/>
                  <w:vAlign w:val="center"/>
                </w:tcPr>
                <w:p w14:paraId="692FE85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7439-92-1</w:t>
                  </w:r>
                </w:p>
              </w:tc>
              <w:tc>
                <w:tcPr>
                  <w:tcW w:w="1354" w:type="pct"/>
                  <w:tcBorders>
                    <w:tl2br w:val="nil"/>
                    <w:tr2bl w:val="nil"/>
                  </w:tcBorders>
                  <w:noWrap w:val="0"/>
                  <w:vAlign w:val="center"/>
                </w:tcPr>
                <w:p w14:paraId="03C4E68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800</w:t>
                  </w:r>
                </w:p>
              </w:tc>
            </w:tr>
            <w:tr w14:paraId="7FA5FF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1EE8381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w:t>
                  </w:r>
                </w:p>
              </w:tc>
              <w:tc>
                <w:tcPr>
                  <w:tcW w:w="1516" w:type="pct"/>
                  <w:tcBorders>
                    <w:tl2br w:val="nil"/>
                    <w:tr2bl w:val="nil"/>
                  </w:tcBorders>
                  <w:noWrap w:val="0"/>
                  <w:vAlign w:val="center"/>
                </w:tcPr>
                <w:p w14:paraId="337F318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汞</w:t>
                  </w:r>
                </w:p>
              </w:tc>
              <w:tc>
                <w:tcPr>
                  <w:tcW w:w="1392" w:type="pct"/>
                  <w:tcBorders>
                    <w:tl2br w:val="nil"/>
                    <w:tr2bl w:val="nil"/>
                  </w:tcBorders>
                  <w:noWrap w:val="0"/>
                  <w:vAlign w:val="center"/>
                </w:tcPr>
                <w:p w14:paraId="383CCD7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7439-97-6</w:t>
                  </w:r>
                </w:p>
              </w:tc>
              <w:tc>
                <w:tcPr>
                  <w:tcW w:w="1354" w:type="pct"/>
                  <w:tcBorders>
                    <w:tl2br w:val="nil"/>
                    <w:tr2bl w:val="nil"/>
                  </w:tcBorders>
                  <w:noWrap w:val="0"/>
                  <w:vAlign w:val="center"/>
                </w:tcPr>
                <w:p w14:paraId="0553391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38</w:t>
                  </w:r>
                </w:p>
              </w:tc>
            </w:tr>
            <w:tr w14:paraId="77C0D9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55D9D9D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w:t>
                  </w:r>
                </w:p>
              </w:tc>
              <w:tc>
                <w:tcPr>
                  <w:tcW w:w="1516" w:type="pct"/>
                  <w:tcBorders>
                    <w:tl2br w:val="nil"/>
                    <w:tr2bl w:val="nil"/>
                  </w:tcBorders>
                  <w:noWrap w:val="0"/>
                  <w:vAlign w:val="center"/>
                </w:tcPr>
                <w:p w14:paraId="3AD7737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镍</w:t>
                  </w:r>
                </w:p>
              </w:tc>
              <w:tc>
                <w:tcPr>
                  <w:tcW w:w="1392" w:type="pct"/>
                  <w:tcBorders>
                    <w:tl2br w:val="nil"/>
                    <w:tr2bl w:val="nil"/>
                  </w:tcBorders>
                  <w:noWrap w:val="0"/>
                  <w:vAlign w:val="center"/>
                </w:tcPr>
                <w:p w14:paraId="54FB832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7440-02-0</w:t>
                  </w:r>
                </w:p>
              </w:tc>
              <w:tc>
                <w:tcPr>
                  <w:tcW w:w="1354" w:type="pct"/>
                  <w:tcBorders>
                    <w:tl2br w:val="nil"/>
                    <w:tr2bl w:val="nil"/>
                  </w:tcBorders>
                  <w:noWrap w:val="0"/>
                  <w:vAlign w:val="center"/>
                </w:tcPr>
                <w:p w14:paraId="6A80FEA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900</w:t>
                  </w:r>
                </w:p>
              </w:tc>
            </w:tr>
            <w:tr w14:paraId="2D81A4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l2br w:val="nil"/>
                    <w:tr2bl w:val="nil"/>
                  </w:tcBorders>
                  <w:noWrap w:val="0"/>
                  <w:vAlign w:val="center"/>
                </w:tcPr>
                <w:p w14:paraId="3C0A39E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挥发性有机物</w:t>
                  </w:r>
                </w:p>
              </w:tc>
            </w:tr>
            <w:tr w14:paraId="2F6605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C730A1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w:t>
                  </w:r>
                </w:p>
              </w:tc>
              <w:tc>
                <w:tcPr>
                  <w:tcW w:w="1516" w:type="pct"/>
                  <w:tcBorders>
                    <w:tl2br w:val="nil"/>
                    <w:tr2bl w:val="nil"/>
                  </w:tcBorders>
                  <w:noWrap w:val="0"/>
                  <w:vAlign w:val="center"/>
                </w:tcPr>
                <w:p w14:paraId="2DB4E1B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四氯化碳</w:t>
                  </w:r>
                </w:p>
              </w:tc>
              <w:tc>
                <w:tcPr>
                  <w:tcW w:w="1392" w:type="pct"/>
                  <w:tcBorders>
                    <w:tl2br w:val="nil"/>
                    <w:tr2bl w:val="nil"/>
                  </w:tcBorders>
                  <w:noWrap w:val="0"/>
                  <w:vAlign w:val="center"/>
                </w:tcPr>
                <w:p w14:paraId="1248A49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56-23-5</w:t>
                  </w:r>
                </w:p>
              </w:tc>
              <w:tc>
                <w:tcPr>
                  <w:tcW w:w="1354" w:type="pct"/>
                  <w:tcBorders>
                    <w:tl2br w:val="nil"/>
                    <w:tr2bl w:val="nil"/>
                  </w:tcBorders>
                  <w:noWrap w:val="0"/>
                  <w:vAlign w:val="center"/>
                </w:tcPr>
                <w:p w14:paraId="211A699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2.8</w:t>
                  </w:r>
                </w:p>
              </w:tc>
            </w:tr>
            <w:tr w14:paraId="6E0E3B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3A3CE6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c>
                <w:tcPr>
                  <w:tcW w:w="1516" w:type="pct"/>
                  <w:tcBorders>
                    <w:tl2br w:val="nil"/>
                    <w:tr2bl w:val="nil"/>
                  </w:tcBorders>
                  <w:noWrap w:val="0"/>
                  <w:vAlign w:val="center"/>
                </w:tcPr>
                <w:p w14:paraId="3FBBBA7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氯仿</w:t>
                  </w:r>
                </w:p>
              </w:tc>
              <w:tc>
                <w:tcPr>
                  <w:tcW w:w="1392" w:type="pct"/>
                  <w:tcBorders>
                    <w:tl2br w:val="nil"/>
                    <w:tr2bl w:val="nil"/>
                  </w:tcBorders>
                  <w:noWrap w:val="0"/>
                  <w:vAlign w:val="center"/>
                </w:tcPr>
                <w:p w14:paraId="2138F90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67-66-3</w:t>
                  </w:r>
                </w:p>
              </w:tc>
              <w:tc>
                <w:tcPr>
                  <w:tcW w:w="1354" w:type="pct"/>
                  <w:tcBorders>
                    <w:tl2br w:val="nil"/>
                    <w:tr2bl w:val="nil"/>
                  </w:tcBorders>
                  <w:noWrap w:val="0"/>
                  <w:vAlign w:val="center"/>
                </w:tcPr>
                <w:p w14:paraId="6481D97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0.9</w:t>
                  </w:r>
                </w:p>
              </w:tc>
            </w:tr>
            <w:tr w14:paraId="62E303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EEB1A7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w:t>
                  </w:r>
                </w:p>
              </w:tc>
              <w:tc>
                <w:tcPr>
                  <w:tcW w:w="1516" w:type="pct"/>
                  <w:tcBorders>
                    <w:tl2br w:val="nil"/>
                    <w:tr2bl w:val="nil"/>
                  </w:tcBorders>
                  <w:noWrap w:val="0"/>
                  <w:vAlign w:val="center"/>
                </w:tcPr>
                <w:p w14:paraId="6061F2F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氯甲烷</w:t>
                  </w:r>
                </w:p>
              </w:tc>
              <w:tc>
                <w:tcPr>
                  <w:tcW w:w="1392" w:type="pct"/>
                  <w:tcBorders>
                    <w:tl2br w:val="nil"/>
                    <w:tr2bl w:val="nil"/>
                  </w:tcBorders>
                  <w:noWrap w:val="0"/>
                  <w:vAlign w:val="center"/>
                </w:tcPr>
                <w:p w14:paraId="1F0D36E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74-34-3</w:t>
                  </w:r>
                </w:p>
              </w:tc>
              <w:tc>
                <w:tcPr>
                  <w:tcW w:w="1354" w:type="pct"/>
                  <w:tcBorders>
                    <w:tl2br w:val="nil"/>
                    <w:tr2bl w:val="nil"/>
                  </w:tcBorders>
                  <w:noWrap w:val="0"/>
                  <w:vAlign w:val="center"/>
                </w:tcPr>
                <w:p w14:paraId="639BC2E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37</w:t>
                  </w:r>
                </w:p>
              </w:tc>
            </w:tr>
            <w:tr w14:paraId="64F3E3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55E8558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w:t>
                  </w:r>
                </w:p>
              </w:tc>
              <w:tc>
                <w:tcPr>
                  <w:tcW w:w="1516" w:type="pct"/>
                  <w:tcBorders>
                    <w:tl2br w:val="nil"/>
                    <w:tr2bl w:val="nil"/>
                  </w:tcBorders>
                  <w:noWrap w:val="0"/>
                  <w:vAlign w:val="center"/>
                </w:tcPr>
                <w:p w14:paraId="35CD986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1,1-二氯乙烷</w:t>
                  </w:r>
                </w:p>
              </w:tc>
              <w:tc>
                <w:tcPr>
                  <w:tcW w:w="1392" w:type="pct"/>
                  <w:tcBorders>
                    <w:tl2br w:val="nil"/>
                    <w:tr2bl w:val="nil"/>
                  </w:tcBorders>
                  <w:noWrap w:val="0"/>
                  <w:vAlign w:val="center"/>
                </w:tcPr>
                <w:p w14:paraId="72D31B3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75-34-3</w:t>
                  </w:r>
                </w:p>
              </w:tc>
              <w:tc>
                <w:tcPr>
                  <w:tcW w:w="1354" w:type="pct"/>
                  <w:tcBorders>
                    <w:tl2br w:val="nil"/>
                    <w:tr2bl w:val="nil"/>
                  </w:tcBorders>
                  <w:noWrap w:val="0"/>
                  <w:vAlign w:val="center"/>
                </w:tcPr>
                <w:p w14:paraId="38DB7E0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w:t>
                  </w:r>
                </w:p>
              </w:tc>
            </w:tr>
            <w:tr w14:paraId="69E6C4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0319D6A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w:t>
                  </w:r>
                </w:p>
              </w:tc>
              <w:tc>
                <w:tcPr>
                  <w:tcW w:w="1516" w:type="pct"/>
                  <w:tcBorders>
                    <w:tl2br w:val="nil"/>
                    <w:tr2bl w:val="nil"/>
                  </w:tcBorders>
                  <w:noWrap w:val="0"/>
                  <w:vAlign w:val="center"/>
                </w:tcPr>
                <w:p w14:paraId="328E3AA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1,2-二氯乙烷</w:t>
                  </w:r>
                </w:p>
              </w:tc>
              <w:tc>
                <w:tcPr>
                  <w:tcW w:w="1392" w:type="pct"/>
                  <w:tcBorders>
                    <w:tl2br w:val="nil"/>
                    <w:tr2bl w:val="nil"/>
                  </w:tcBorders>
                  <w:noWrap w:val="0"/>
                  <w:vAlign w:val="center"/>
                </w:tcPr>
                <w:p w14:paraId="60F7767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107-06-2</w:t>
                  </w:r>
                </w:p>
              </w:tc>
              <w:tc>
                <w:tcPr>
                  <w:tcW w:w="1354" w:type="pct"/>
                  <w:tcBorders>
                    <w:tl2br w:val="nil"/>
                    <w:tr2bl w:val="nil"/>
                  </w:tcBorders>
                  <w:noWrap w:val="0"/>
                  <w:vAlign w:val="center"/>
                </w:tcPr>
                <w:p w14:paraId="3AFA0E8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w:t>
                  </w:r>
                </w:p>
              </w:tc>
            </w:tr>
            <w:tr w14:paraId="637C59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860F69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13</w:t>
                  </w:r>
                </w:p>
              </w:tc>
              <w:tc>
                <w:tcPr>
                  <w:tcW w:w="1516" w:type="pct"/>
                  <w:tcBorders>
                    <w:tl2br w:val="nil"/>
                    <w:tr2bl w:val="nil"/>
                  </w:tcBorders>
                  <w:noWrap w:val="0"/>
                  <w:vAlign w:val="center"/>
                </w:tcPr>
                <w:p w14:paraId="7B53251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1,1-二氯乙烯</w:t>
                  </w:r>
                </w:p>
              </w:tc>
              <w:tc>
                <w:tcPr>
                  <w:tcW w:w="1392" w:type="pct"/>
                  <w:tcBorders>
                    <w:tl2br w:val="nil"/>
                    <w:tr2bl w:val="nil"/>
                  </w:tcBorders>
                  <w:noWrap w:val="0"/>
                  <w:vAlign w:val="center"/>
                </w:tcPr>
                <w:p w14:paraId="48DC53C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75-34-4</w:t>
                  </w:r>
                </w:p>
              </w:tc>
              <w:tc>
                <w:tcPr>
                  <w:tcW w:w="1354" w:type="pct"/>
                  <w:tcBorders>
                    <w:tl2br w:val="nil"/>
                    <w:tr2bl w:val="nil"/>
                  </w:tcBorders>
                  <w:noWrap w:val="0"/>
                  <w:vAlign w:val="center"/>
                </w:tcPr>
                <w:p w14:paraId="0FEAD49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66</w:t>
                  </w:r>
                </w:p>
              </w:tc>
            </w:tr>
            <w:tr w14:paraId="777B22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77EF7CE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14</w:t>
                  </w:r>
                </w:p>
              </w:tc>
              <w:tc>
                <w:tcPr>
                  <w:tcW w:w="1516" w:type="pct"/>
                  <w:tcBorders>
                    <w:tl2br w:val="nil"/>
                    <w:tr2bl w:val="nil"/>
                  </w:tcBorders>
                  <w:noWrap w:val="0"/>
                  <w:vAlign w:val="center"/>
                </w:tcPr>
                <w:p w14:paraId="4E7E3EE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顺-1,2-二氯乙烯</w:t>
                  </w:r>
                </w:p>
              </w:tc>
              <w:tc>
                <w:tcPr>
                  <w:tcW w:w="1392" w:type="pct"/>
                  <w:tcBorders>
                    <w:tl2br w:val="nil"/>
                    <w:tr2bl w:val="nil"/>
                  </w:tcBorders>
                  <w:noWrap w:val="0"/>
                  <w:vAlign w:val="center"/>
                </w:tcPr>
                <w:p w14:paraId="7B57B29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156-59-2</w:t>
                  </w:r>
                </w:p>
              </w:tc>
              <w:tc>
                <w:tcPr>
                  <w:tcW w:w="1354" w:type="pct"/>
                  <w:tcBorders>
                    <w:tl2br w:val="nil"/>
                    <w:tr2bl w:val="nil"/>
                  </w:tcBorders>
                  <w:noWrap w:val="0"/>
                  <w:vAlign w:val="center"/>
                </w:tcPr>
                <w:p w14:paraId="527295C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596</w:t>
                  </w:r>
                </w:p>
              </w:tc>
            </w:tr>
            <w:tr w14:paraId="7AF64F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C16DBC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c>
                <w:tcPr>
                  <w:tcW w:w="1516" w:type="pct"/>
                  <w:tcBorders>
                    <w:tl2br w:val="nil"/>
                    <w:tr2bl w:val="nil"/>
                  </w:tcBorders>
                  <w:noWrap w:val="0"/>
                  <w:vAlign w:val="center"/>
                </w:tcPr>
                <w:p w14:paraId="27B4976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反-1,2-二氯乙烯</w:t>
                  </w:r>
                </w:p>
              </w:tc>
              <w:tc>
                <w:tcPr>
                  <w:tcW w:w="1392" w:type="pct"/>
                  <w:tcBorders>
                    <w:tl2br w:val="nil"/>
                    <w:tr2bl w:val="nil"/>
                  </w:tcBorders>
                  <w:noWrap w:val="0"/>
                  <w:vAlign w:val="center"/>
                </w:tcPr>
                <w:p w14:paraId="372E338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156-60-5</w:t>
                  </w:r>
                </w:p>
              </w:tc>
              <w:tc>
                <w:tcPr>
                  <w:tcW w:w="1354" w:type="pct"/>
                  <w:tcBorders>
                    <w:tl2br w:val="nil"/>
                    <w:tr2bl w:val="nil"/>
                  </w:tcBorders>
                  <w:noWrap w:val="0"/>
                  <w:vAlign w:val="center"/>
                </w:tcPr>
                <w:p w14:paraId="0525612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54</w:t>
                  </w:r>
                </w:p>
              </w:tc>
            </w:tr>
            <w:tr w14:paraId="090932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7056F20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16</w:t>
                  </w:r>
                </w:p>
              </w:tc>
              <w:tc>
                <w:tcPr>
                  <w:tcW w:w="1516" w:type="pct"/>
                  <w:tcBorders>
                    <w:tl2br w:val="nil"/>
                    <w:tr2bl w:val="nil"/>
                  </w:tcBorders>
                  <w:noWrap w:val="0"/>
                  <w:vAlign w:val="center"/>
                </w:tcPr>
                <w:p w14:paraId="531C4BC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二氯甲烷</w:t>
                  </w:r>
                </w:p>
              </w:tc>
              <w:tc>
                <w:tcPr>
                  <w:tcW w:w="1392" w:type="pct"/>
                  <w:tcBorders>
                    <w:tl2br w:val="nil"/>
                    <w:tr2bl w:val="nil"/>
                  </w:tcBorders>
                  <w:noWrap w:val="0"/>
                  <w:vAlign w:val="center"/>
                </w:tcPr>
                <w:p w14:paraId="7E7FB04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75-09-2</w:t>
                  </w:r>
                </w:p>
              </w:tc>
              <w:tc>
                <w:tcPr>
                  <w:tcW w:w="1354" w:type="pct"/>
                  <w:tcBorders>
                    <w:tl2br w:val="nil"/>
                    <w:tr2bl w:val="nil"/>
                  </w:tcBorders>
                  <w:noWrap w:val="0"/>
                  <w:vAlign w:val="center"/>
                </w:tcPr>
                <w:p w14:paraId="32CBF0A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616</w:t>
                  </w:r>
                </w:p>
              </w:tc>
            </w:tr>
            <w:tr w14:paraId="6EC550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E925B8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17</w:t>
                  </w:r>
                </w:p>
              </w:tc>
              <w:tc>
                <w:tcPr>
                  <w:tcW w:w="1516" w:type="pct"/>
                  <w:tcBorders>
                    <w:tl2br w:val="nil"/>
                    <w:tr2bl w:val="nil"/>
                  </w:tcBorders>
                  <w:noWrap w:val="0"/>
                  <w:vAlign w:val="center"/>
                </w:tcPr>
                <w:p w14:paraId="165AB43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1,2-二氯丙烷</w:t>
                  </w:r>
                </w:p>
              </w:tc>
              <w:tc>
                <w:tcPr>
                  <w:tcW w:w="1392" w:type="pct"/>
                  <w:tcBorders>
                    <w:tl2br w:val="nil"/>
                    <w:tr2bl w:val="nil"/>
                  </w:tcBorders>
                  <w:noWrap w:val="0"/>
                  <w:vAlign w:val="center"/>
                </w:tcPr>
                <w:p w14:paraId="3A6B6D0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78-87-5</w:t>
                  </w:r>
                </w:p>
              </w:tc>
              <w:tc>
                <w:tcPr>
                  <w:tcW w:w="1354" w:type="pct"/>
                  <w:tcBorders>
                    <w:tl2br w:val="nil"/>
                    <w:tr2bl w:val="nil"/>
                  </w:tcBorders>
                  <w:noWrap w:val="0"/>
                  <w:vAlign w:val="center"/>
                </w:tcPr>
                <w:p w14:paraId="2975951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w:t>
                  </w:r>
                </w:p>
              </w:tc>
            </w:tr>
            <w:tr w14:paraId="5A6A14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39FFBDB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18</w:t>
                  </w:r>
                </w:p>
              </w:tc>
              <w:tc>
                <w:tcPr>
                  <w:tcW w:w="1516" w:type="pct"/>
                  <w:tcBorders>
                    <w:tl2br w:val="nil"/>
                    <w:tr2bl w:val="nil"/>
                  </w:tcBorders>
                  <w:noWrap w:val="0"/>
                  <w:vAlign w:val="center"/>
                </w:tcPr>
                <w:p w14:paraId="767F7F1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1,1,1,2-四氯乙烷</w:t>
                  </w:r>
                </w:p>
              </w:tc>
              <w:tc>
                <w:tcPr>
                  <w:tcW w:w="1392" w:type="pct"/>
                  <w:tcBorders>
                    <w:tl2br w:val="nil"/>
                    <w:tr2bl w:val="nil"/>
                  </w:tcBorders>
                  <w:noWrap w:val="0"/>
                  <w:vAlign w:val="center"/>
                </w:tcPr>
                <w:p w14:paraId="55A4B2C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630-20-6</w:t>
                  </w:r>
                </w:p>
              </w:tc>
              <w:tc>
                <w:tcPr>
                  <w:tcW w:w="1354" w:type="pct"/>
                  <w:tcBorders>
                    <w:tl2br w:val="nil"/>
                    <w:tr2bl w:val="nil"/>
                  </w:tcBorders>
                  <w:noWrap w:val="0"/>
                  <w:vAlign w:val="center"/>
                </w:tcPr>
                <w:p w14:paraId="77A233C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w:t>
                  </w:r>
                </w:p>
              </w:tc>
            </w:tr>
            <w:tr w14:paraId="0CE9D1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7F6DA8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19</w:t>
                  </w:r>
                </w:p>
              </w:tc>
              <w:tc>
                <w:tcPr>
                  <w:tcW w:w="1516" w:type="pct"/>
                  <w:tcBorders>
                    <w:tl2br w:val="nil"/>
                    <w:tr2bl w:val="nil"/>
                  </w:tcBorders>
                  <w:noWrap w:val="0"/>
                  <w:vAlign w:val="center"/>
                </w:tcPr>
                <w:p w14:paraId="1CF6185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1,1,2,2-四氯乙烷</w:t>
                  </w:r>
                </w:p>
              </w:tc>
              <w:tc>
                <w:tcPr>
                  <w:tcW w:w="1392" w:type="pct"/>
                  <w:tcBorders>
                    <w:tl2br w:val="nil"/>
                    <w:tr2bl w:val="nil"/>
                  </w:tcBorders>
                  <w:noWrap w:val="0"/>
                  <w:vAlign w:val="center"/>
                </w:tcPr>
                <w:p w14:paraId="22F8147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79-34-5</w:t>
                  </w:r>
                </w:p>
              </w:tc>
              <w:tc>
                <w:tcPr>
                  <w:tcW w:w="1354" w:type="pct"/>
                  <w:tcBorders>
                    <w:tl2br w:val="nil"/>
                    <w:tr2bl w:val="nil"/>
                  </w:tcBorders>
                  <w:noWrap w:val="0"/>
                  <w:vAlign w:val="center"/>
                </w:tcPr>
                <w:p w14:paraId="4105598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6.8</w:t>
                  </w:r>
                </w:p>
              </w:tc>
            </w:tr>
            <w:tr w14:paraId="061A99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2B60316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w:t>
                  </w:r>
                </w:p>
              </w:tc>
              <w:tc>
                <w:tcPr>
                  <w:tcW w:w="1516" w:type="pct"/>
                  <w:tcBorders>
                    <w:tl2br w:val="nil"/>
                    <w:tr2bl w:val="nil"/>
                  </w:tcBorders>
                  <w:noWrap w:val="0"/>
                  <w:vAlign w:val="center"/>
                </w:tcPr>
                <w:p w14:paraId="06A6504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四氯乙烯</w:t>
                  </w:r>
                </w:p>
              </w:tc>
              <w:tc>
                <w:tcPr>
                  <w:tcW w:w="1392" w:type="pct"/>
                  <w:tcBorders>
                    <w:tl2br w:val="nil"/>
                    <w:tr2bl w:val="nil"/>
                  </w:tcBorders>
                  <w:noWrap w:val="0"/>
                  <w:vAlign w:val="center"/>
                </w:tcPr>
                <w:p w14:paraId="29B0BB2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127-18-4</w:t>
                  </w:r>
                </w:p>
              </w:tc>
              <w:tc>
                <w:tcPr>
                  <w:tcW w:w="1354" w:type="pct"/>
                  <w:tcBorders>
                    <w:tl2br w:val="nil"/>
                    <w:tr2bl w:val="nil"/>
                  </w:tcBorders>
                  <w:noWrap w:val="0"/>
                  <w:vAlign w:val="center"/>
                </w:tcPr>
                <w:p w14:paraId="71F1C75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53</w:t>
                  </w:r>
                </w:p>
              </w:tc>
            </w:tr>
            <w:tr w14:paraId="3F5D5F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1856184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21</w:t>
                  </w:r>
                </w:p>
              </w:tc>
              <w:tc>
                <w:tcPr>
                  <w:tcW w:w="1516" w:type="pct"/>
                  <w:tcBorders>
                    <w:tl2br w:val="nil"/>
                    <w:tr2bl w:val="nil"/>
                  </w:tcBorders>
                  <w:noWrap w:val="0"/>
                  <w:vAlign w:val="center"/>
                </w:tcPr>
                <w:p w14:paraId="77C8986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1，1,1-三氯乙烷</w:t>
                  </w:r>
                </w:p>
              </w:tc>
              <w:tc>
                <w:tcPr>
                  <w:tcW w:w="1392" w:type="pct"/>
                  <w:tcBorders>
                    <w:tl2br w:val="nil"/>
                    <w:tr2bl w:val="nil"/>
                  </w:tcBorders>
                  <w:noWrap w:val="0"/>
                  <w:vAlign w:val="center"/>
                </w:tcPr>
                <w:p w14:paraId="4307E16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71-55-6</w:t>
                  </w:r>
                </w:p>
              </w:tc>
              <w:tc>
                <w:tcPr>
                  <w:tcW w:w="1354" w:type="pct"/>
                  <w:tcBorders>
                    <w:tl2br w:val="nil"/>
                    <w:tr2bl w:val="nil"/>
                  </w:tcBorders>
                  <w:noWrap w:val="0"/>
                  <w:vAlign w:val="center"/>
                </w:tcPr>
                <w:p w14:paraId="6AAA389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840</w:t>
                  </w:r>
                </w:p>
              </w:tc>
            </w:tr>
            <w:tr w14:paraId="34C6F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46E403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22</w:t>
                  </w:r>
                </w:p>
              </w:tc>
              <w:tc>
                <w:tcPr>
                  <w:tcW w:w="1516" w:type="pct"/>
                  <w:tcBorders>
                    <w:tl2br w:val="nil"/>
                    <w:tr2bl w:val="nil"/>
                  </w:tcBorders>
                  <w:noWrap w:val="0"/>
                  <w:vAlign w:val="center"/>
                </w:tcPr>
                <w:p w14:paraId="0ED4CD7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1，1,2-三氯乙烷</w:t>
                  </w:r>
                </w:p>
              </w:tc>
              <w:tc>
                <w:tcPr>
                  <w:tcW w:w="1392" w:type="pct"/>
                  <w:tcBorders>
                    <w:tl2br w:val="nil"/>
                    <w:tr2bl w:val="nil"/>
                  </w:tcBorders>
                  <w:noWrap w:val="0"/>
                  <w:vAlign w:val="center"/>
                </w:tcPr>
                <w:p w14:paraId="3BB100A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79-00-5</w:t>
                  </w:r>
                </w:p>
              </w:tc>
              <w:tc>
                <w:tcPr>
                  <w:tcW w:w="1354" w:type="pct"/>
                  <w:tcBorders>
                    <w:tl2br w:val="nil"/>
                    <w:tr2bl w:val="nil"/>
                  </w:tcBorders>
                  <w:noWrap w:val="0"/>
                  <w:vAlign w:val="center"/>
                </w:tcPr>
                <w:p w14:paraId="6E39AC7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2.8</w:t>
                  </w:r>
                </w:p>
              </w:tc>
            </w:tr>
            <w:tr w14:paraId="6746B3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07A322B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23</w:t>
                  </w:r>
                </w:p>
              </w:tc>
              <w:tc>
                <w:tcPr>
                  <w:tcW w:w="1516" w:type="pct"/>
                  <w:tcBorders>
                    <w:tl2br w:val="nil"/>
                    <w:tr2bl w:val="nil"/>
                  </w:tcBorders>
                  <w:noWrap w:val="0"/>
                  <w:vAlign w:val="center"/>
                </w:tcPr>
                <w:p w14:paraId="6BE4562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三氯乙烯</w:t>
                  </w:r>
                </w:p>
              </w:tc>
              <w:tc>
                <w:tcPr>
                  <w:tcW w:w="1392" w:type="pct"/>
                  <w:tcBorders>
                    <w:tl2br w:val="nil"/>
                    <w:tr2bl w:val="nil"/>
                  </w:tcBorders>
                  <w:noWrap w:val="0"/>
                  <w:vAlign w:val="center"/>
                </w:tcPr>
                <w:p w14:paraId="68A1128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79-01-6</w:t>
                  </w:r>
                </w:p>
              </w:tc>
              <w:tc>
                <w:tcPr>
                  <w:tcW w:w="1354" w:type="pct"/>
                  <w:tcBorders>
                    <w:tl2br w:val="nil"/>
                    <w:tr2bl w:val="nil"/>
                  </w:tcBorders>
                  <w:noWrap w:val="0"/>
                  <w:vAlign w:val="center"/>
                </w:tcPr>
                <w:p w14:paraId="356A28F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2.8</w:t>
                  </w:r>
                </w:p>
              </w:tc>
            </w:tr>
            <w:tr w14:paraId="0F5807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1A4EC82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24</w:t>
                  </w:r>
                </w:p>
              </w:tc>
              <w:tc>
                <w:tcPr>
                  <w:tcW w:w="1516" w:type="pct"/>
                  <w:tcBorders>
                    <w:tl2br w:val="nil"/>
                    <w:tr2bl w:val="nil"/>
                  </w:tcBorders>
                  <w:noWrap w:val="0"/>
                  <w:vAlign w:val="center"/>
                </w:tcPr>
                <w:p w14:paraId="43B8425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1，2,3-三氯丙烷</w:t>
                  </w:r>
                </w:p>
              </w:tc>
              <w:tc>
                <w:tcPr>
                  <w:tcW w:w="1392" w:type="pct"/>
                  <w:tcBorders>
                    <w:tl2br w:val="nil"/>
                    <w:tr2bl w:val="nil"/>
                  </w:tcBorders>
                  <w:noWrap w:val="0"/>
                  <w:vAlign w:val="center"/>
                </w:tcPr>
                <w:p w14:paraId="70DAE0A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96-18-4</w:t>
                  </w:r>
                </w:p>
              </w:tc>
              <w:tc>
                <w:tcPr>
                  <w:tcW w:w="1354" w:type="pct"/>
                  <w:tcBorders>
                    <w:tl2br w:val="nil"/>
                    <w:tr2bl w:val="nil"/>
                  </w:tcBorders>
                  <w:noWrap w:val="0"/>
                  <w:vAlign w:val="center"/>
                </w:tcPr>
                <w:p w14:paraId="2A46D0C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0.5</w:t>
                  </w:r>
                </w:p>
              </w:tc>
            </w:tr>
            <w:tr w14:paraId="10F215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CE4D03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25</w:t>
                  </w:r>
                </w:p>
              </w:tc>
              <w:tc>
                <w:tcPr>
                  <w:tcW w:w="1516" w:type="pct"/>
                  <w:tcBorders>
                    <w:tl2br w:val="nil"/>
                    <w:tr2bl w:val="nil"/>
                  </w:tcBorders>
                  <w:noWrap w:val="0"/>
                  <w:vAlign w:val="center"/>
                </w:tcPr>
                <w:p w14:paraId="65F49C1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氯乙烯</w:t>
                  </w:r>
                </w:p>
              </w:tc>
              <w:tc>
                <w:tcPr>
                  <w:tcW w:w="1392" w:type="pct"/>
                  <w:tcBorders>
                    <w:tl2br w:val="nil"/>
                    <w:tr2bl w:val="nil"/>
                  </w:tcBorders>
                  <w:noWrap w:val="0"/>
                  <w:vAlign w:val="center"/>
                </w:tcPr>
                <w:p w14:paraId="554AA54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75-01-4</w:t>
                  </w:r>
                </w:p>
              </w:tc>
              <w:tc>
                <w:tcPr>
                  <w:tcW w:w="1354" w:type="pct"/>
                  <w:tcBorders>
                    <w:tl2br w:val="nil"/>
                    <w:tr2bl w:val="nil"/>
                  </w:tcBorders>
                  <w:noWrap w:val="0"/>
                  <w:vAlign w:val="center"/>
                </w:tcPr>
                <w:p w14:paraId="761C6ED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0.43</w:t>
                  </w:r>
                </w:p>
              </w:tc>
            </w:tr>
            <w:tr w14:paraId="48519C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E9D74B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26</w:t>
                  </w:r>
                </w:p>
              </w:tc>
              <w:tc>
                <w:tcPr>
                  <w:tcW w:w="1516" w:type="pct"/>
                  <w:tcBorders>
                    <w:tl2br w:val="nil"/>
                    <w:tr2bl w:val="nil"/>
                  </w:tcBorders>
                  <w:noWrap w:val="0"/>
                  <w:vAlign w:val="center"/>
                </w:tcPr>
                <w:p w14:paraId="7C0FFD7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苯</w:t>
                  </w:r>
                </w:p>
              </w:tc>
              <w:tc>
                <w:tcPr>
                  <w:tcW w:w="1392" w:type="pct"/>
                  <w:tcBorders>
                    <w:tl2br w:val="nil"/>
                    <w:tr2bl w:val="nil"/>
                  </w:tcBorders>
                  <w:noWrap w:val="0"/>
                  <w:vAlign w:val="center"/>
                </w:tcPr>
                <w:p w14:paraId="3C88896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71-43-2</w:t>
                  </w:r>
                </w:p>
              </w:tc>
              <w:tc>
                <w:tcPr>
                  <w:tcW w:w="1354" w:type="pct"/>
                  <w:tcBorders>
                    <w:tl2br w:val="nil"/>
                    <w:tr2bl w:val="nil"/>
                  </w:tcBorders>
                  <w:noWrap w:val="0"/>
                  <w:vAlign w:val="center"/>
                </w:tcPr>
                <w:p w14:paraId="1B10C6F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w:t>
                  </w:r>
                </w:p>
              </w:tc>
            </w:tr>
            <w:tr w14:paraId="3794E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2921B3B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27</w:t>
                  </w:r>
                </w:p>
              </w:tc>
              <w:tc>
                <w:tcPr>
                  <w:tcW w:w="1516" w:type="pct"/>
                  <w:tcBorders>
                    <w:tl2br w:val="nil"/>
                    <w:tr2bl w:val="nil"/>
                  </w:tcBorders>
                  <w:noWrap w:val="0"/>
                  <w:vAlign w:val="center"/>
                </w:tcPr>
                <w:p w14:paraId="3656C04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氯苯</w:t>
                  </w:r>
                </w:p>
              </w:tc>
              <w:tc>
                <w:tcPr>
                  <w:tcW w:w="1392" w:type="pct"/>
                  <w:tcBorders>
                    <w:tl2br w:val="nil"/>
                    <w:tr2bl w:val="nil"/>
                  </w:tcBorders>
                  <w:noWrap w:val="0"/>
                  <w:vAlign w:val="center"/>
                </w:tcPr>
                <w:p w14:paraId="555D368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108-90-7</w:t>
                  </w:r>
                </w:p>
              </w:tc>
              <w:tc>
                <w:tcPr>
                  <w:tcW w:w="1354" w:type="pct"/>
                  <w:tcBorders>
                    <w:tl2br w:val="nil"/>
                    <w:tr2bl w:val="nil"/>
                  </w:tcBorders>
                  <w:noWrap w:val="0"/>
                  <w:vAlign w:val="center"/>
                </w:tcPr>
                <w:p w14:paraId="21AD654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270</w:t>
                  </w:r>
                </w:p>
              </w:tc>
            </w:tr>
            <w:tr w14:paraId="405DCE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22B38D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28</w:t>
                  </w:r>
                </w:p>
              </w:tc>
              <w:tc>
                <w:tcPr>
                  <w:tcW w:w="1516" w:type="pct"/>
                  <w:tcBorders>
                    <w:tl2br w:val="nil"/>
                    <w:tr2bl w:val="nil"/>
                  </w:tcBorders>
                  <w:noWrap w:val="0"/>
                  <w:vAlign w:val="center"/>
                </w:tcPr>
                <w:p w14:paraId="26F3AE9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1,2-二氯苯</w:t>
                  </w:r>
                </w:p>
              </w:tc>
              <w:tc>
                <w:tcPr>
                  <w:tcW w:w="1392" w:type="pct"/>
                  <w:tcBorders>
                    <w:tl2br w:val="nil"/>
                    <w:tr2bl w:val="nil"/>
                  </w:tcBorders>
                  <w:noWrap w:val="0"/>
                  <w:vAlign w:val="center"/>
                </w:tcPr>
                <w:p w14:paraId="648ED03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95-50-1</w:t>
                  </w:r>
                </w:p>
              </w:tc>
              <w:tc>
                <w:tcPr>
                  <w:tcW w:w="1354" w:type="pct"/>
                  <w:tcBorders>
                    <w:tl2br w:val="nil"/>
                    <w:tr2bl w:val="nil"/>
                  </w:tcBorders>
                  <w:noWrap w:val="0"/>
                  <w:vAlign w:val="center"/>
                </w:tcPr>
                <w:p w14:paraId="4203A70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560</w:t>
                  </w:r>
                </w:p>
              </w:tc>
            </w:tr>
            <w:tr w14:paraId="6FF9F6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176AE9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29</w:t>
                  </w:r>
                </w:p>
              </w:tc>
              <w:tc>
                <w:tcPr>
                  <w:tcW w:w="1516" w:type="pct"/>
                  <w:tcBorders>
                    <w:tl2br w:val="nil"/>
                    <w:tr2bl w:val="nil"/>
                  </w:tcBorders>
                  <w:noWrap w:val="0"/>
                  <w:vAlign w:val="center"/>
                </w:tcPr>
                <w:p w14:paraId="60AC62E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1,4-二氯苯</w:t>
                  </w:r>
                </w:p>
              </w:tc>
              <w:tc>
                <w:tcPr>
                  <w:tcW w:w="1392" w:type="pct"/>
                  <w:tcBorders>
                    <w:tl2br w:val="nil"/>
                    <w:tr2bl w:val="nil"/>
                  </w:tcBorders>
                  <w:noWrap w:val="0"/>
                  <w:vAlign w:val="center"/>
                </w:tcPr>
                <w:p w14:paraId="30946A7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106-46-7</w:t>
                  </w:r>
                </w:p>
              </w:tc>
              <w:tc>
                <w:tcPr>
                  <w:tcW w:w="1354" w:type="pct"/>
                  <w:tcBorders>
                    <w:tl2br w:val="nil"/>
                    <w:tr2bl w:val="nil"/>
                  </w:tcBorders>
                  <w:noWrap w:val="0"/>
                  <w:vAlign w:val="center"/>
                </w:tcPr>
                <w:p w14:paraId="0B84F62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w:t>
                  </w:r>
                </w:p>
              </w:tc>
            </w:tr>
            <w:tr w14:paraId="15033C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256A95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w:t>
                  </w:r>
                </w:p>
              </w:tc>
              <w:tc>
                <w:tcPr>
                  <w:tcW w:w="1516" w:type="pct"/>
                  <w:tcBorders>
                    <w:tl2br w:val="nil"/>
                    <w:tr2bl w:val="nil"/>
                  </w:tcBorders>
                  <w:noWrap w:val="0"/>
                  <w:vAlign w:val="center"/>
                </w:tcPr>
                <w:p w14:paraId="24F99EB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乙苯</w:t>
                  </w:r>
                </w:p>
              </w:tc>
              <w:tc>
                <w:tcPr>
                  <w:tcW w:w="1392" w:type="pct"/>
                  <w:tcBorders>
                    <w:tl2br w:val="nil"/>
                    <w:tr2bl w:val="nil"/>
                  </w:tcBorders>
                  <w:noWrap w:val="0"/>
                  <w:vAlign w:val="center"/>
                </w:tcPr>
                <w:p w14:paraId="73710D6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100-41-4</w:t>
                  </w:r>
                </w:p>
              </w:tc>
              <w:tc>
                <w:tcPr>
                  <w:tcW w:w="1354" w:type="pct"/>
                  <w:tcBorders>
                    <w:tl2br w:val="nil"/>
                    <w:tr2bl w:val="nil"/>
                  </w:tcBorders>
                  <w:noWrap w:val="0"/>
                  <w:vAlign w:val="center"/>
                </w:tcPr>
                <w:p w14:paraId="62717C3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28</w:t>
                  </w:r>
                </w:p>
              </w:tc>
            </w:tr>
            <w:tr w14:paraId="274E7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39B9E92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31</w:t>
                  </w:r>
                </w:p>
              </w:tc>
              <w:tc>
                <w:tcPr>
                  <w:tcW w:w="1516" w:type="pct"/>
                  <w:tcBorders>
                    <w:tl2br w:val="nil"/>
                    <w:tr2bl w:val="nil"/>
                  </w:tcBorders>
                  <w:noWrap w:val="0"/>
                  <w:vAlign w:val="center"/>
                </w:tcPr>
                <w:p w14:paraId="6641DED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苯乙烯</w:t>
                  </w:r>
                </w:p>
              </w:tc>
              <w:tc>
                <w:tcPr>
                  <w:tcW w:w="1392" w:type="pct"/>
                  <w:tcBorders>
                    <w:tl2br w:val="nil"/>
                    <w:tr2bl w:val="nil"/>
                  </w:tcBorders>
                  <w:noWrap w:val="0"/>
                  <w:vAlign w:val="center"/>
                </w:tcPr>
                <w:p w14:paraId="4ADAA26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100-42-5</w:t>
                  </w:r>
                </w:p>
              </w:tc>
              <w:tc>
                <w:tcPr>
                  <w:tcW w:w="1354" w:type="pct"/>
                  <w:tcBorders>
                    <w:tl2br w:val="nil"/>
                    <w:tr2bl w:val="nil"/>
                  </w:tcBorders>
                  <w:noWrap w:val="0"/>
                  <w:vAlign w:val="center"/>
                </w:tcPr>
                <w:p w14:paraId="44F3EF3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1290</w:t>
                  </w:r>
                </w:p>
              </w:tc>
            </w:tr>
            <w:tr w14:paraId="681E3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F85A8A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32</w:t>
                  </w:r>
                </w:p>
              </w:tc>
              <w:tc>
                <w:tcPr>
                  <w:tcW w:w="1516" w:type="pct"/>
                  <w:tcBorders>
                    <w:tl2br w:val="nil"/>
                    <w:tr2bl w:val="nil"/>
                  </w:tcBorders>
                  <w:noWrap w:val="0"/>
                  <w:vAlign w:val="center"/>
                </w:tcPr>
                <w:p w14:paraId="5CF8BEB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甲苯</w:t>
                  </w:r>
                </w:p>
              </w:tc>
              <w:tc>
                <w:tcPr>
                  <w:tcW w:w="1392" w:type="pct"/>
                  <w:tcBorders>
                    <w:tl2br w:val="nil"/>
                    <w:tr2bl w:val="nil"/>
                  </w:tcBorders>
                  <w:noWrap w:val="0"/>
                  <w:vAlign w:val="center"/>
                </w:tcPr>
                <w:p w14:paraId="60AA52F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108-88-3</w:t>
                  </w:r>
                </w:p>
              </w:tc>
              <w:tc>
                <w:tcPr>
                  <w:tcW w:w="1354" w:type="pct"/>
                  <w:tcBorders>
                    <w:tl2br w:val="nil"/>
                    <w:tr2bl w:val="nil"/>
                  </w:tcBorders>
                  <w:noWrap w:val="0"/>
                  <w:vAlign w:val="center"/>
                </w:tcPr>
                <w:p w14:paraId="05CFD60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1200</w:t>
                  </w:r>
                </w:p>
              </w:tc>
            </w:tr>
            <w:tr w14:paraId="659107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493CBE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33</w:t>
                  </w:r>
                </w:p>
              </w:tc>
              <w:tc>
                <w:tcPr>
                  <w:tcW w:w="1516" w:type="pct"/>
                  <w:tcBorders>
                    <w:tl2br w:val="nil"/>
                    <w:tr2bl w:val="nil"/>
                  </w:tcBorders>
                  <w:noWrap w:val="0"/>
                  <w:vAlign w:val="center"/>
                </w:tcPr>
                <w:p w14:paraId="009F459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间二甲苯+对二甲苯</w:t>
                  </w:r>
                </w:p>
              </w:tc>
              <w:tc>
                <w:tcPr>
                  <w:tcW w:w="1392" w:type="pct"/>
                  <w:tcBorders>
                    <w:tl2br w:val="nil"/>
                    <w:tr2bl w:val="nil"/>
                  </w:tcBorders>
                  <w:noWrap w:val="0"/>
                  <w:vAlign w:val="center"/>
                </w:tcPr>
                <w:p w14:paraId="22D8F6C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108-38-3，</w:t>
                  </w:r>
                </w:p>
                <w:p w14:paraId="52E0055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106-42-3</w:t>
                  </w:r>
                </w:p>
              </w:tc>
              <w:tc>
                <w:tcPr>
                  <w:tcW w:w="1354" w:type="pct"/>
                  <w:tcBorders>
                    <w:tl2br w:val="nil"/>
                    <w:tr2bl w:val="nil"/>
                  </w:tcBorders>
                  <w:noWrap w:val="0"/>
                  <w:vAlign w:val="center"/>
                </w:tcPr>
                <w:p w14:paraId="409199C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570</w:t>
                  </w:r>
                </w:p>
              </w:tc>
            </w:tr>
            <w:tr w14:paraId="1B22FB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E716A0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34</w:t>
                  </w:r>
                </w:p>
              </w:tc>
              <w:tc>
                <w:tcPr>
                  <w:tcW w:w="1516" w:type="pct"/>
                  <w:tcBorders>
                    <w:tl2br w:val="nil"/>
                    <w:tr2bl w:val="nil"/>
                  </w:tcBorders>
                  <w:noWrap w:val="0"/>
                  <w:vAlign w:val="center"/>
                </w:tcPr>
                <w:p w14:paraId="0B78D3F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邻二甲苯</w:t>
                  </w:r>
                </w:p>
              </w:tc>
              <w:tc>
                <w:tcPr>
                  <w:tcW w:w="1392" w:type="pct"/>
                  <w:tcBorders>
                    <w:tl2br w:val="nil"/>
                    <w:tr2bl w:val="nil"/>
                  </w:tcBorders>
                  <w:noWrap w:val="0"/>
                  <w:vAlign w:val="center"/>
                </w:tcPr>
                <w:p w14:paraId="2600320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95-47-6</w:t>
                  </w:r>
                </w:p>
              </w:tc>
              <w:tc>
                <w:tcPr>
                  <w:tcW w:w="1354" w:type="pct"/>
                  <w:tcBorders>
                    <w:tl2br w:val="nil"/>
                    <w:tr2bl w:val="nil"/>
                  </w:tcBorders>
                  <w:noWrap w:val="0"/>
                  <w:vAlign w:val="center"/>
                </w:tcPr>
                <w:p w14:paraId="29227DE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640</w:t>
                  </w:r>
                </w:p>
              </w:tc>
            </w:tr>
            <w:tr w14:paraId="23BCE9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522A885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35</w:t>
                  </w:r>
                </w:p>
              </w:tc>
              <w:tc>
                <w:tcPr>
                  <w:tcW w:w="1516" w:type="pct"/>
                  <w:tcBorders>
                    <w:tl2br w:val="nil"/>
                    <w:tr2bl w:val="nil"/>
                  </w:tcBorders>
                  <w:noWrap w:val="0"/>
                  <w:vAlign w:val="center"/>
                </w:tcPr>
                <w:p w14:paraId="082D637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硝基苯</w:t>
                  </w:r>
                </w:p>
              </w:tc>
              <w:tc>
                <w:tcPr>
                  <w:tcW w:w="1392" w:type="pct"/>
                  <w:tcBorders>
                    <w:tl2br w:val="nil"/>
                    <w:tr2bl w:val="nil"/>
                  </w:tcBorders>
                  <w:noWrap w:val="0"/>
                  <w:vAlign w:val="center"/>
                </w:tcPr>
                <w:p w14:paraId="5360104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98-95-3</w:t>
                  </w:r>
                </w:p>
              </w:tc>
              <w:tc>
                <w:tcPr>
                  <w:tcW w:w="1354" w:type="pct"/>
                  <w:tcBorders>
                    <w:tl2br w:val="nil"/>
                    <w:tr2bl w:val="nil"/>
                  </w:tcBorders>
                  <w:noWrap w:val="0"/>
                  <w:vAlign w:val="center"/>
                </w:tcPr>
                <w:p w14:paraId="057BAC8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76</w:t>
                  </w:r>
                </w:p>
              </w:tc>
            </w:tr>
            <w:tr w14:paraId="222351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F22E66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36</w:t>
                  </w:r>
                </w:p>
              </w:tc>
              <w:tc>
                <w:tcPr>
                  <w:tcW w:w="1516" w:type="pct"/>
                  <w:tcBorders>
                    <w:tl2br w:val="nil"/>
                    <w:tr2bl w:val="nil"/>
                  </w:tcBorders>
                  <w:noWrap w:val="0"/>
                  <w:vAlign w:val="center"/>
                </w:tcPr>
                <w:p w14:paraId="3422B24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苯胺</w:t>
                  </w:r>
                </w:p>
              </w:tc>
              <w:tc>
                <w:tcPr>
                  <w:tcW w:w="1392" w:type="pct"/>
                  <w:tcBorders>
                    <w:tl2br w:val="nil"/>
                    <w:tr2bl w:val="nil"/>
                  </w:tcBorders>
                  <w:noWrap w:val="0"/>
                  <w:vAlign w:val="center"/>
                </w:tcPr>
                <w:p w14:paraId="0D2BF2A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62-53-3</w:t>
                  </w:r>
                </w:p>
              </w:tc>
              <w:tc>
                <w:tcPr>
                  <w:tcW w:w="1354" w:type="pct"/>
                  <w:tcBorders>
                    <w:tl2br w:val="nil"/>
                    <w:tr2bl w:val="nil"/>
                  </w:tcBorders>
                  <w:noWrap w:val="0"/>
                  <w:vAlign w:val="center"/>
                </w:tcPr>
                <w:p w14:paraId="4A0DF1F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260</w:t>
                  </w:r>
                </w:p>
              </w:tc>
            </w:tr>
            <w:tr w14:paraId="0EF6BA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04C8E9F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37</w:t>
                  </w:r>
                </w:p>
              </w:tc>
              <w:tc>
                <w:tcPr>
                  <w:tcW w:w="1516" w:type="pct"/>
                  <w:tcBorders>
                    <w:tl2br w:val="nil"/>
                    <w:tr2bl w:val="nil"/>
                  </w:tcBorders>
                  <w:noWrap w:val="0"/>
                  <w:vAlign w:val="center"/>
                </w:tcPr>
                <w:p w14:paraId="330E761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2-氯酚</w:t>
                  </w:r>
                </w:p>
              </w:tc>
              <w:tc>
                <w:tcPr>
                  <w:tcW w:w="1392" w:type="pct"/>
                  <w:tcBorders>
                    <w:tl2br w:val="nil"/>
                    <w:tr2bl w:val="nil"/>
                  </w:tcBorders>
                  <w:noWrap w:val="0"/>
                  <w:vAlign w:val="center"/>
                </w:tcPr>
                <w:p w14:paraId="2A1B896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95-57-8</w:t>
                  </w:r>
                </w:p>
              </w:tc>
              <w:tc>
                <w:tcPr>
                  <w:tcW w:w="1354" w:type="pct"/>
                  <w:tcBorders>
                    <w:tl2br w:val="nil"/>
                    <w:tr2bl w:val="nil"/>
                  </w:tcBorders>
                  <w:noWrap w:val="0"/>
                  <w:vAlign w:val="center"/>
                </w:tcPr>
                <w:p w14:paraId="3BB53EE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2256</w:t>
                  </w:r>
                </w:p>
              </w:tc>
            </w:tr>
            <w:tr w14:paraId="22A57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1DE49F5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38</w:t>
                  </w:r>
                </w:p>
              </w:tc>
              <w:tc>
                <w:tcPr>
                  <w:tcW w:w="1516" w:type="pct"/>
                  <w:tcBorders>
                    <w:tl2br w:val="nil"/>
                    <w:tr2bl w:val="nil"/>
                  </w:tcBorders>
                  <w:noWrap w:val="0"/>
                  <w:vAlign w:val="center"/>
                </w:tcPr>
                <w:p w14:paraId="7B6BCD9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苯并[a]蒽</w:t>
                  </w:r>
                </w:p>
              </w:tc>
              <w:tc>
                <w:tcPr>
                  <w:tcW w:w="1392" w:type="pct"/>
                  <w:tcBorders>
                    <w:tl2br w:val="nil"/>
                    <w:tr2bl w:val="nil"/>
                  </w:tcBorders>
                  <w:noWrap w:val="0"/>
                  <w:vAlign w:val="center"/>
                </w:tcPr>
                <w:p w14:paraId="2A50D01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56-55-3</w:t>
                  </w:r>
                </w:p>
              </w:tc>
              <w:tc>
                <w:tcPr>
                  <w:tcW w:w="1354" w:type="pct"/>
                  <w:tcBorders>
                    <w:tl2br w:val="nil"/>
                    <w:tr2bl w:val="nil"/>
                  </w:tcBorders>
                  <w:noWrap w:val="0"/>
                  <w:vAlign w:val="center"/>
                </w:tcPr>
                <w:p w14:paraId="49EF6A3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r>
            <w:tr w14:paraId="7D005D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58892EA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39</w:t>
                  </w:r>
                </w:p>
              </w:tc>
              <w:tc>
                <w:tcPr>
                  <w:tcW w:w="1516" w:type="pct"/>
                  <w:tcBorders>
                    <w:tl2br w:val="nil"/>
                    <w:tr2bl w:val="nil"/>
                  </w:tcBorders>
                  <w:noWrap w:val="0"/>
                  <w:vAlign w:val="center"/>
                </w:tcPr>
                <w:p w14:paraId="21A7B89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苯并[a]芘</w:t>
                  </w:r>
                </w:p>
              </w:tc>
              <w:tc>
                <w:tcPr>
                  <w:tcW w:w="1392" w:type="pct"/>
                  <w:tcBorders>
                    <w:tl2br w:val="nil"/>
                    <w:tr2bl w:val="nil"/>
                  </w:tcBorders>
                  <w:noWrap w:val="0"/>
                  <w:vAlign w:val="center"/>
                </w:tcPr>
                <w:p w14:paraId="2D87798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50-32-8</w:t>
                  </w:r>
                </w:p>
              </w:tc>
              <w:tc>
                <w:tcPr>
                  <w:tcW w:w="1354" w:type="pct"/>
                  <w:tcBorders>
                    <w:tl2br w:val="nil"/>
                    <w:tr2bl w:val="nil"/>
                  </w:tcBorders>
                  <w:noWrap w:val="0"/>
                  <w:vAlign w:val="center"/>
                </w:tcPr>
                <w:p w14:paraId="4D87D9B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r>
            <w:tr w14:paraId="5659BB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79DB9E4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w:t>
                  </w:r>
                </w:p>
              </w:tc>
              <w:tc>
                <w:tcPr>
                  <w:tcW w:w="1516" w:type="pct"/>
                  <w:tcBorders>
                    <w:tl2br w:val="nil"/>
                    <w:tr2bl w:val="nil"/>
                  </w:tcBorders>
                  <w:noWrap w:val="0"/>
                  <w:vAlign w:val="center"/>
                </w:tcPr>
                <w:p w14:paraId="25B34E5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苯并[b]荧蒽</w:t>
                  </w:r>
                </w:p>
              </w:tc>
              <w:tc>
                <w:tcPr>
                  <w:tcW w:w="1392" w:type="pct"/>
                  <w:tcBorders>
                    <w:tl2br w:val="nil"/>
                    <w:tr2bl w:val="nil"/>
                  </w:tcBorders>
                  <w:noWrap w:val="0"/>
                  <w:vAlign w:val="center"/>
                </w:tcPr>
                <w:p w14:paraId="74D7010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205-99-2</w:t>
                  </w:r>
                </w:p>
              </w:tc>
              <w:tc>
                <w:tcPr>
                  <w:tcW w:w="1354" w:type="pct"/>
                  <w:tcBorders>
                    <w:tl2br w:val="nil"/>
                    <w:tr2bl w:val="nil"/>
                  </w:tcBorders>
                  <w:noWrap w:val="0"/>
                  <w:vAlign w:val="center"/>
                </w:tcPr>
                <w:p w14:paraId="567B8CC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r>
            <w:tr w14:paraId="6F1EE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60505C4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41</w:t>
                  </w:r>
                </w:p>
              </w:tc>
              <w:tc>
                <w:tcPr>
                  <w:tcW w:w="1516" w:type="pct"/>
                  <w:tcBorders>
                    <w:tl2br w:val="nil"/>
                    <w:tr2bl w:val="nil"/>
                  </w:tcBorders>
                  <w:noWrap w:val="0"/>
                  <w:vAlign w:val="center"/>
                </w:tcPr>
                <w:p w14:paraId="4DD1BEC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苯并[k]荧蒽</w:t>
                  </w:r>
                </w:p>
              </w:tc>
              <w:tc>
                <w:tcPr>
                  <w:tcW w:w="1392" w:type="pct"/>
                  <w:tcBorders>
                    <w:tl2br w:val="nil"/>
                    <w:tr2bl w:val="nil"/>
                  </w:tcBorders>
                  <w:noWrap w:val="0"/>
                  <w:vAlign w:val="center"/>
                </w:tcPr>
                <w:p w14:paraId="779679A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207-08-9</w:t>
                  </w:r>
                </w:p>
              </w:tc>
              <w:tc>
                <w:tcPr>
                  <w:tcW w:w="1354" w:type="pct"/>
                  <w:tcBorders>
                    <w:tl2br w:val="nil"/>
                    <w:tr2bl w:val="nil"/>
                  </w:tcBorders>
                  <w:noWrap w:val="0"/>
                  <w:vAlign w:val="center"/>
                </w:tcPr>
                <w:p w14:paraId="0582BDF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151</w:t>
                  </w:r>
                </w:p>
              </w:tc>
            </w:tr>
            <w:tr w14:paraId="356300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2D5E8A1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42</w:t>
                  </w:r>
                </w:p>
              </w:tc>
              <w:tc>
                <w:tcPr>
                  <w:tcW w:w="1516" w:type="pct"/>
                  <w:tcBorders>
                    <w:tl2br w:val="nil"/>
                    <w:tr2bl w:val="nil"/>
                  </w:tcBorders>
                  <w:noWrap w:val="0"/>
                  <w:vAlign w:val="center"/>
                </w:tcPr>
                <w:p w14:paraId="13E904C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䓛</w:t>
                  </w:r>
                </w:p>
              </w:tc>
              <w:tc>
                <w:tcPr>
                  <w:tcW w:w="1392" w:type="pct"/>
                  <w:tcBorders>
                    <w:tl2br w:val="nil"/>
                    <w:tr2bl w:val="nil"/>
                  </w:tcBorders>
                  <w:noWrap w:val="0"/>
                  <w:vAlign w:val="center"/>
                </w:tcPr>
                <w:p w14:paraId="0E63D05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218-01-9</w:t>
                  </w:r>
                </w:p>
              </w:tc>
              <w:tc>
                <w:tcPr>
                  <w:tcW w:w="1354" w:type="pct"/>
                  <w:tcBorders>
                    <w:tl2br w:val="nil"/>
                    <w:tr2bl w:val="nil"/>
                  </w:tcBorders>
                  <w:noWrap w:val="0"/>
                  <w:vAlign w:val="center"/>
                </w:tcPr>
                <w:p w14:paraId="23F9A0B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1293</w:t>
                  </w:r>
                </w:p>
              </w:tc>
            </w:tr>
            <w:tr w14:paraId="22D36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07E2F9F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43</w:t>
                  </w:r>
                </w:p>
              </w:tc>
              <w:tc>
                <w:tcPr>
                  <w:tcW w:w="1516" w:type="pct"/>
                  <w:tcBorders>
                    <w:tl2br w:val="nil"/>
                    <w:tr2bl w:val="nil"/>
                  </w:tcBorders>
                  <w:noWrap w:val="0"/>
                  <w:vAlign w:val="center"/>
                </w:tcPr>
                <w:p w14:paraId="2974F07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二苯并[a，h]蒽</w:t>
                  </w:r>
                </w:p>
              </w:tc>
              <w:tc>
                <w:tcPr>
                  <w:tcW w:w="1392" w:type="pct"/>
                  <w:tcBorders>
                    <w:tl2br w:val="nil"/>
                    <w:tr2bl w:val="nil"/>
                  </w:tcBorders>
                  <w:noWrap w:val="0"/>
                  <w:vAlign w:val="center"/>
                </w:tcPr>
                <w:p w14:paraId="60C8624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53-70-3</w:t>
                  </w:r>
                </w:p>
              </w:tc>
              <w:tc>
                <w:tcPr>
                  <w:tcW w:w="1354" w:type="pct"/>
                  <w:tcBorders>
                    <w:tl2br w:val="nil"/>
                    <w:tr2bl w:val="nil"/>
                  </w:tcBorders>
                  <w:noWrap w:val="0"/>
                  <w:vAlign w:val="center"/>
                </w:tcPr>
                <w:p w14:paraId="21ABD41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r>
            <w:tr w14:paraId="32AF21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2CD90F8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44</w:t>
                  </w:r>
                </w:p>
              </w:tc>
              <w:tc>
                <w:tcPr>
                  <w:tcW w:w="1516" w:type="pct"/>
                  <w:tcBorders>
                    <w:tl2br w:val="nil"/>
                    <w:tr2bl w:val="nil"/>
                  </w:tcBorders>
                  <w:noWrap w:val="0"/>
                  <w:vAlign w:val="center"/>
                </w:tcPr>
                <w:p w14:paraId="7B34A6A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茚并[1,2,3-cd]芘</w:t>
                  </w:r>
                </w:p>
              </w:tc>
              <w:tc>
                <w:tcPr>
                  <w:tcW w:w="1392" w:type="pct"/>
                  <w:tcBorders>
                    <w:tl2br w:val="nil"/>
                    <w:tr2bl w:val="nil"/>
                  </w:tcBorders>
                  <w:noWrap w:val="0"/>
                  <w:vAlign w:val="center"/>
                </w:tcPr>
                <w:p w14:paraId="1D1AFE7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193-39-5</w:t>
                  </w:r>
                </w:p>
              </w:tc>
              <w:tc>
                <w:tcPr>
                  <w:tcW w:w="1354" w:type="pct"/>
                  <w:tcBorders>
                    <w:tl2br w:val="nil"/>
                    <w:tr2bl w:val="nil"/>
                  </w:tcBorders>
                  <w:noWrap w:val="0"/>
                  <w:vAlign w:val="center"/>
                </w:tcPr>
                <w:p w14:paraId="0898393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w:t>
                  </w:r>
                </w:p>
              </w:tc>
            </w:tr>
            <w:tr w14:paraId="0196C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tcBorders>
                    <w:tl2br w:val="nil"/>
                    <w:tr2bl w:val="nil"/>
                  </w:tcBorders>
                  <w:noWrap w:val="0"/>
                  <w:vAlign w:val="center"/>
                </w:tcPr>
                <w:p w14:paraId="4C8E5D8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45</w:t>
                  </w:r>
                </w:p>
              </w:tc>
              <w:tc>
                <w:tcPr>
                  <w:tcW w:w="1516" w:type="pct"/>
                  <w:tcBorders>
                    <w:tl2br w:val="nil"/>
                    <w:tr2bl w:val="nil"/>
                  </w:tcBorders>
                  <w:noWrap w:val="0"/>
                  <w:vAlign w:val="center"/>
                </w:tcPr>
                <w:p w14:paraId="397A4C1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萘</w:t>
                  </w:r>
                </w:p>
              </w:tc>
              <w:tc>
                <w:tcPr>
                  <w:tcW w:w="1392" w:type="pct"/>
                  <w:tcBorders>
                    <w:tl2br w:val="nil"/>
                    <w:tr2bl w:val="nil"/>
                  </w:tcBorders>
                  <w:noWrap w:val="0"/>
                  <w:vAlign w:val="center"/>
                </w:tcPr>
                <w:p w14:paraId="03A9DDB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91-20-3</w:t>
                  </w:r>
                </w:p>
              </w:tc>
              <w:tc>
                <w:tcPr>
                  <w:tcW w:w="1354" w:type="pct"/>
                  <w:tcBorders>
                    <w:tl2br w:val="nil"/>
                    <w:tr2bl w:val="nil"/>
                  </w:tcBorders>
                  <w:noWrap w:val="0"/>
                  <w:vAlign w:val="center"/>
                </w:tcPr>
                <w:p w14:paraId="26A944D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70</w:t>
                  </w:r>
                </w:p>
              </w:tc>
            </w:tr>
          </w:tbl>
          <w:p w14:paraId="05E16F2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bCs/>
                <w:color w:val="auto"/>
                <w:kern w:val="28"/>
                <w:sz w:val="21"/>
                <w:szCs w:val="21"/>
                <w:highlight w:val="none"/>
              </w:rPr>
            </w:pPr>
            <w:r>
              <w:rPr>
                <w:b/>
                <w:bCs/>
                <w:color w:val="auto"/>
                <w:kern w:val="28"/>
                <w:sz w:val="21"/>
                <w:szCs w:val="21"/>
                <w:highlight w:val="none"/>
              </w:rPr>
              <w:t>表</w:t>
            </w:r>
            <w:r>
              <w:rPr>
                <w:rFonts w:hint="eastAsia"/>
                <w:b/>
                <w:bCs/>
                <w:color w:val="auto"/>
                <w:kern w:val="28"/>
                <w:sz w:val="21"/>
                <w:szCs w:val="21"/>
                <w:highlight w:val="none"/>
                <w:lang w:val="en-US" w:eastAsia="zh-CN"/>
              </w:rPr>
              <w:t>3-6</w:t>
            </w:r>
            <w:r>
              <w:rPr>
                <w:b/>
                <w:bCs/>
                <w:color w:val="auto"/>
                <w:kern w:val="28"/>
                <w:sz w:val="21"/>
                <w:szCs w:val="21"/>
                <w:highlight w:val="none"/>
              </w:rPr>
              <w:t xml:space="preserve">    农用地土壤环境质量标准（单位：mg/kg）</w:t>
            </w:r>
          </w:p>
          <w:tbl>
            <w:tblPr>
              <w:tblStyle w:val="24"/>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612"/>
              <w:gridCol w:w="831"/>
              <w:gridCol w:w="1483"/>
              <w:gridCol w:w="1483"/>
              <w:gridCol w:w="1483"/>
              <w:gridCol w:w="1495"/>
            </w:tblGrid>
            <w:tr w14:paraId="4DD602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restart"/>
                  <w:tcBorders>
                    <w:tl2br w:val="nil"/>
                    <w:tr2bl w:val="nil"/>
                  </w:tcBorders>
                  <w:noWrap w:val="0"/>
                  <w:vAlign w:val="center"/>
                </w:tcPr>
                <w:p w14:paraId="2AC3C47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序号</w:t>
                  </w:r>
                </w:p>
              </w:tc>
              <w:tc>
                <w:tcPr>
                  <w:tcW w:w="898" w:type="pct"/>
                  <w:gridSpan w:val="2"/>
                  <w:vMerge w:val="restart"/>
                  <w:tcBorders>
                    <w:tl2br w:val="nil"/>
                    <w:tr2bl w:val="nil"/>
                  </w:tcBorders>
                  <w:noWrap w:val="0"/>
                  <w:vAlign w:val="center"/>
                </w:tcPr>
                <w:p w14:paraId="267B758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污染物项目</w:t>
                  </w:r>
                </w:p>
              </w:tc>
              <w:tc>
                <w:tcPr>
                  <w:tcW w:w="3697" w:type="pct"/>
                  <w:gridSpan w:val="4"/>
                  <w:tcBorders>
                    <w:tl2br w:val="nil"/>
                    <w:tr2bl w:val="nil"/>
                  </w:tcBorders>
                  <w:noWrap w:val="0"/>
                  <w:vAlign w:val="center"/>
                </w:tcPr>
                <w:p w14:paraId="3222F58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风险筛选值</w:t>
                  </w:r>
                </w:p>
              </w:tc>
            </w:tr>
            <w:tr w14:paraId="1BC7EB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vMerge w:val="continue"/>
                  <w:tcBorders>
                    <w:tl2br w:val="nil"/>
                    <w:tr2bl w:val="nil"/>
                  </w:tcBorders>
                  <w:noWrap w:val="0"/>
                  <w:vAlign w:val="center"/>
                </w:tcPr>
                <w:p w14:paraId="1DB1ABD6">
                  <w:pPr>
                    <w:pStyle w:val="43"/>
                    <w:rPr>
                      <w:rFonts w:hint="default" w:ascii="Times New Roman" w:hAnsi="Times New Roman" w:cs="Times New Roman"/>
                      <w:b w:val="0"/>
                      <w:bCs w:val="0"/>
                      <w:color w:val="auto"/>
                      <w:sz w:val="18"/>
                      <w:szCs w:val="18"/>
                      <w:highlight w:val="none"/>
                    </w:rPr>
                  </w:pPr>
                </w:p>
              </w:tc>
              <w:tc>
                <w:tcPr>
                  <w:tcW w:w="898" w:type="pct"/>
                  <w:gridSpan w:val="2"/>
                  <w:vMerge w:val="continue"/>
                  <w:tcBorders>
                    <w:tl2br w:val="nil"/>
                    <w:tr2bl w:val="nil"/>
                  </w:tcBorders>
                  <w:noWrap w:val="0"/>
                  <w:vAlign w:val="center"/>
                </w:tcPr>
                <w:p w14:paraId="6639085D">
                  <w:pPr>
                    <w:pStyle w:val="43"/>
                    <w:rPr>
                      <w:rFonts w:hint="default" w:ascii="Times New Roman" w:hAnsi="Times New Roman" w:cs="Times New Roman"/>
                      <w:b w:val="0"/>
                      <w:bCs w:val="0"/>
                      <w:color w:val="auto"/>
                      <w:sz w:val="18"/>
                      <w:szCs w:val="18"/>
                      <w:highlight w:val="none"/>
                    </w:rPr>
                  </w:pPr>
                </w:p>
              </w:tc>
              <w:tc>
                <w:tcPr>
                  <w:tcW w:w="923" w:type="pct"/>
                  <w:tcBorders>
                    <w:tl2br w:val="nil"/>
                    <w:tr2bl w:val="nil"/>
                  </w:tcBorders>
                  <w:noWrap w:val="0"/>
                  <w:vAlign w:val="center"/>
                </w:tcPr>
                <w:p w14:paraId="4AFB71F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pH≤5.5</w:t>
                  </w:r>
                </w:p>
              </w:tc>
              <w:tc>
                <w:tcPr>
                  <w:tcW w:w="923" w:type="pct"/>
                  <w:tcBorders>
                    <w:tl2br w:val="nil"/>
                    <w:tr2bl w:val="nil"/>
                  </w:tcBorders>
                  <w:noWrap w:val="0"/>
                  <w:vAlign w:val="center"/>
                </w:tcPr>
                <w:p w14:paraId="7C0754D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5.5＜pH≤6.5</w:t>
                  </w:r>
                </w:p>
              </w:tc>
              <w:tc>
                <w:tcPr>
                  <w:tcW w:w="923" w:type="pct"/>
                  <w:tcBorders>
                    <w:tl2br w:val="nil"/>
                    <w:tr2bl w:val="nil"/>
                  </w:tcBorders>
                  <w:noWrap w:val="0"/>
                  <w:vAlign w:val="center"/>
                </w:tcPr>
                <w:p w14:paraId="0F42781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6.5＜pH≤7.5</w:t>
                  </w:r>
                </w:p>
              </w:tc>
              <w:tc>
                <w:tcPr>
                  <w:tcW w:w="928" w:type="pct"/>
                  <w:tcBorders>
                    <w:tl2br w:val="nil"/>
                    <w:tr2bl w:val="nil"/>
                  </w:tcBorders>
                  <w:noWrap w:val="0"/>
                  <w:vAlign w:val="center"/>
                </w:tcPr>
                <w:p w14:paraId="56EE1F5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pH＞7.5</w:t>
                  </w:r>
                </w:p>
              </w:tc>
            </w:tr>
            <w:tr w14:paraId="12BED3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restart"/>
                  <w:tcBorders>
                    <w:tl2br w:val="nil"/>
                    <w:tr2bl w:val="nil"/>
                  </w:tcBorders>
                  <w:noWrap w:val="0"/>
                  <w:vAlign w:val="center"/>
                </w:tcPr>
                <w:p w14:paraId="185FB73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w:t>
                  </w:r>
                </w:p>
              </w:tc>
              <w:tc>
                <w:tcPr>
                  <w:tcW w:w="381" w:type="pct"/>
                  <w:vMerge w:val="restart"/>
                  <w:tcBorders>
                    <w:tl2br w:val="nil"/>
                    <w:tr2bl w:val="nil"/>
                  </w:tcBorders>
                  <w:noWrap w:val="0"/>
                  <w:vAlign w:val="center"/>
                </w:tcPr>
                <w:p w14:paraId="2BA6A20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镉</w:t>
                  </w:r>
                </w:p>
              </w:tc>
              <w:tc>
                <w:tcPr>
                  <w:tcW w:w="516" w:type="pct"/>
                  <w:tcBorders>
                    <w:tl2br w:val="nil"/>
                    <w:tr2bl w:val="nil"/>
                  </w:tcBorders>
                  <w:noWrap w:val="0"/>
                  <w:vAlign w:val="center"/>
                </w:tcPr>
                <w:p w14:paraId="48D26CA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水田</w:t>
                  </w:r>
                </w:p>
              </w:tc>
              <w:tc>
                <w:tcPr>
                  <w:tcW w:w="923" w:type="pct"/>
                  <w:tcBorders>
                    <w:tl2br w:val="nil"/>
                    <w:tr2bl w:val="nil"/>
                  </w:tcBorders>
                  <w:noWrap w:val="0"/>
                  <w:vAlign w:val="center"/>
                </w:tcPr>
                <w:p w14:paraId="6CED497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0.3</w:t>
                  </w:r>
                </w:p>
              </w:tc>
              <w:tc>
                <w:tcPr>
                  <w:tcW w:w="923" w:type="pct"/>
                  <w:tcBorders>
                    <w:tl2br w:val="nil"/>
                    <w:tr2bl w:val="nil"/>
                  </w:tcBorders>
                  <w:noWrap w:val="0"/>
                  <w:vAlign w:val="center"/>
                </w:tcPr>
                <w:p w14:paraId="4D8D047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0.4</w:t>
                  </w:r>
                </w:p>
              </w:tc>
              <w:tc>
                <w:tcPr>
                  <w:tcW w:w="923" w:type="pct"/>
                  <w:tcBorders>
                    <w:tl2br w:val="nil"/>
                    <w:tr2bl w:val="nil"/>
                  </w:tcBorders>
                  <w:noWrap w:val="0"/>
                  <w:vAlign w:val="center"/>
                </w:tcPr>
                <w:p w14:paraId="7119583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0.6</w:t>
                  </w:r>
                </w:p>
              </w:tc>
              <w:tc>
                <w:tcPr>
                  <w:tcW w:w="928" w:type="pct"/>
                  <w:tcBorders>
                    <w:tl2br w:val="nil"/>
                    <w:tr2bl w:val="nil"/>
                  </w:tcBorders>
                  <w:noWrap w:val="0"/>
                  <w:vAlign w:val="center"/>
                </w:tcPr>
                <w:p w14:paraId="6B194F7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0.8</w:t>
                  </w:r>
                </w:p>
              </w:tc>
            </w:tr>
            <w:tr w14:paraId="734AD8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continue"/>
                  <w:tcBorders>
                    <w:tl2br w:val="nil"/>
                    <w:tr2bl w:val="nil"/>
                  </w:tcBorders>
                  <w:noWrap w:val="0"/>
                  <w:vAlign w:val="center"/>
                </w:tcPr>
                <w:p w14:paraId="45EFAB16">
                  <w:pPr>
                    <w:pStyle w:val="43"/>
                    <w:rPr>
                      <w:rFonts w:hint="default" w:ascii="Times New Roman" w:hAnsi="Times New Roman" w:cs="Times New Roman"/>
                      <w:b w:val="0"/>
                      <w:bCs w:val="0"/>
                      <w:color w:val="auto"/>
                      <w:sz w:val="18"/>
                      <w:szCs w:val="18"/>
                      <w:highlight w:val="none"/>
                    </w:rPr>
                  </w:pPr>
                </w:p>
              </w:tc>
              <w:tc>
                <w:tcPr>
                  <w:tcW w:w="381" w:type="pct"/>
                  <w:vMerge w:val="continue"/>
                  <w:tcBorders>
                    <w:tl2br w:val="nil"/>
                    <w:tr2bl w:val="nil"/>
                  </w:tcBorders>
                  <w:noWrap w:val="0"/>
                  <w:vAlign w:val="center"/>
                </w:tcPr>
                <w:p w14:paraId="696FCA19">
                  <w:pPr>
                    <w:pStyle w:val="43"/>
                    <w:rPr>
                      <w:rFonts w:hint="default" w:ascii="Times New Roman" w:hAnsi="Times New Roman" w:cs="Times New Roman"/>
                      <w:b w:val="0"/>
                      <w:bCs w:val="0"/>
                      <w:color w:val="auto"/>
                      <w:sz w:val="18"/>
                      <w:szCs w:val="18"/>
                      <w:highlight w:val="none"/>
                    </w:rPr>
                  </w:pPr>
                </w:p>
              </w:tc>
              <w:tc>
                <w:tcPr>
                  <w:tcW w:w="516" w:type="pct"/>
                  <w:tcBorders>
                    <w:tl2br w:val="nil"/>
                    <w:tr2bl w:val="nil"/>
                  </w:tcBorders>
                  <w:noWrap w:val="0"/>
                  <w:vAlign w:val="center"/>
                </w:tcPr>
                <w:p w14:paraId="3C7B22E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其他</w:t>
                  </w:r>
                </w:p>
              </w:tc>
              <w:tc>
                <w:tcPr>
                  <w:tcW w:w="923" w:type="pct"/>
                  <w:tcBorders>
                    <w:tl2br w:val="nil"/>
                    <w:tr2bl w:val="nil"/>
                  </w:tcBorders>
                  <w:noWrap w:val="0"/>
                  <w:vAlign w:val="center"/>
                </w:tcPr>
                <w:p w14:paraId="45B297A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0.3</w:t>
                  </w:r>
                </w:p>
              </w:tc>
              <w:tc>
                <w:tcPr>
                  <w:tcW w:w="923" w:type="pct"/>
                  <w:tcBorders>
                    <w:tl2br w:val="nil"/>
                    <w:tr2bl w:val="nil"/>
                  </w:tcBorders>
                  <w:noWrap w:val="0"/>
                  <w:vAlign w:val="center"/>
                </w:tcPr>
                <w:p w14:paraId="1F2B9DA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0.3</w:t>
                  </w:r>
                </w:p>
              </w:tc>
              <w:tc>
                <w:tcPr>
                  <w:tcW w:w="923" w:type="pct"/>
                  <w:tcBorders>
                    <w:tl2br w:val="nil"/>
                    <w:tr2bl w:val="nil"/>
                  </w:tcBorders>
                  <w:noWrap w:val="0"/>
                  <w:vAlign w:val="center"/>
                </w:tcPr>
                <w:p w14:paraId="19C36FF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0.3</w:t>
                  </w:r>
                </w:p>
              </w:tc>
              <w:tc>
                <w:tcPr>
                  <w:tcW w:w="928" w:type="pct"/>
                  <w:tcBorders>
                    <w:tl2br w:val="nil"/>
                    <w:tr2bl w:val="nil"/>
                  </w:tcBorders>
                  <w:noWrap w:val="0"/>
                  <w:vAlign w:val="center"/>
                </w:tcPr>
                <w:p w14:paraId="4770CDE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0.6</w:t>
                  </w:r>
                </w:p>
              </w:tc>
            </w:tr>
            <w:tr w14:paraId="115058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restart"/>
                  <w:tcBorders>
                    <w:tl2br w:val="nil"/>
                    <w:tr2bl w:val="nil"/>
                  </w:tcBorders>
                  <w:noWrap w:val="0"/>
                  <w:vAlign w:val="center"/>
                </w:tcPr>
                <w:p w14:paraId="554CC82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w:t>
                  </w:r>
                </w:p>
              </w:tc>
              <w:tc>
                <w:tcPr>
                  <w:tcW w:w="381" w:type="pct"/>
                  <w:vMerge w:val="restart"/>
                  <w:tcBorders>
                    <w:tl2br w:val="nil"/>
                    <w:tr2bl w:val="nil"/>
                  </w:tcBorders>
                  <w:noWrap w:val="0"/>
                  <w:vAlign w:val="center"/>
                </w:tcPr>
                <w:p w14:paraId="6020F63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汞</w:t>
                  </w:r>
                </w:p>
              </w:tc>
              <w:tc>
                <w:tcPr>
                  <w:tcW w:w="516" w:type="pct"/>
                  <w:tcBorders>
                    <w:tl2br w:val="nil"/>
                    <w:tr2bl w:val="nil"/>
                  </w:tcBorders>
                  <w:noWrap w:val="0"/>
                  <w:vAlign w:val="center"/>
                </w:tcPr>
                <w:p w14:paraId="357A517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水田</w:t>
                  </w:r>
                </w:p>
              </w:tc>
              <w:tc>
                <w:tcPr>
                  <w:tcW w:w="923" w:type="pct"/>
                  <w:tcBorders>
                    <w:tl2br w:val="nil"/>
                    <w:tr2bl w:val="nil"/>
                  </w:tcBorders>
                  <w:noWrap w:val="0"/>
                  <w:vAlign w:val="center"/>
                </w:tcPr>
                <w:p w14:paraId="2BCABB6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0.5</w:t>
                  </w:r>
                </w:p>
              </w:tc>
              <w:tc>
                <w:tcPr>
                  <w:tcW w:w="923" w:type="pct"/>
                  <w:tcBorders>
                    <w:tl2br w:val="nil"/>
                    <w:tr2bl w:val="nil"/>
                  </w:tcBorders>
                  <w:noWrap w:val="0"/>
                  <w:vAlign w:val="center"/>
                </w:tcPr>
                <w:p w14:paraId="163C500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0.5</w:t>
                  </w:r>
                </w:p>
              </w:tc>
              <w:tc>
                <w:tcPr>
                  <w:tcW w:w="923" w:type="pct"/>
                  <w:tcBorders>
                    <w:tl2br w:val="nil"/>
                    <w:tr2bl w:val="nil"/>
                  </w:tcBorders>
                  <w:noWrap w:val="0"/>
                  <w:vAlign w:val="center"/>
                </w:tcPr>
                <w:p w14:paraId="187191A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0.6</w:t>
                  </w:r>
                </w:p>
              </w:tc>
              <w:tc>
                <w:tcPr>
                  <w:tcW w:w="928" w:type="pct"/>
                  <w:tcBorders>
                    <w:tl2br w:val="nil"/>
                    <w:tr2bl w:val="nil"/>
                  </w:tcBorders>
                  <w:noWrap w:val="0"/>
                  <w:vAlign w:val="center"/>
                </w:tcPr>
                <w:p w14:paraId="5EA8142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w:t>
                  </w:r>
                </w:p>
              </w:tc>
            </w:tr>
            <w:tr w14:paraId="382B50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continue"/>
                  <w:tcBorders>
                    <w:tl2br w:val="nil"/>
                    <w:tr2bl w:val="nil"/>
                  </w:tcBorders>
                  <w:noWrap w:val="0"/>
                  <w:vAlign w:val="center"/>
                </w:tcPr>
                <w:p w14:paraId="5AA215E3">
                  <w:pPr>
                    <w:pStyle w:val="43"/>
                    <w:rPr>
                      <w:rFonts w:hint="default" w:ascii="Times New Roman" w:hAnsi="Times New Roman" w:cs="Times New Roman"/>
                      <w:b w:val="0"/>
                      <w:bCs w:val="0"/>
                      <w:color w:val="auto"/>
                      <w:sz w:val="18"/>
                      <w:szCs w:val="18"/>
                      <w:highlight w:val="none"/>
                    </w:rPr>
                  </w:pPr>
                </w:p>
              </w:tc>
              <w:tc>
                <w:tcPr>
                  <w:tcW w:w="381" w:type="pct"/>
                  <w:vMerge w:val="continue"/>
                  <w:tcBorders>
                    <w:tl2br w:val="nil"/>
                    <w:tr2bl w:val="nil"/>
                  </w:tcBorders>
                  <w:noWrap w:val="0"/>
                  <w:vAlign w:val="center"/>
                </w:tcPr>
                <w:p w14:paraId="334C8340">
                  <w:pPr>
                    <w:pStyle w:val="43"/>
                    <w:rPr>
                      <w:rFonts w:hint="default" w:ascii="Times New Roman" w:hAnsi="Times New Roman" w:cs="Times New Roman"/>
                      <w:b w:val="0"/>
                      <w:bCs w:val="0"/>
                      <w:color w:val="auto"/>
                      <w:sz w:val="18"/>
                      <w:szCs w:val="18"/>
                      <w:highlight w:val="none"/>
                    </w:rPr>
                  </w:pPr>
                </w:p>
              </w:tc>
              <w:tc>
                <w:tcPr>
                  <w:tcW w:w="516" w:type="pct"/>
                  <w:tcBorders>
                    <w:tl2br w:val="nil"/>
                    <w:tr2bl w:val="nil"/>
                  </w:tcBorders>
                  <w:noWrap w:val="0"/>
                  <w:vAlign w:val="center"/>
                </w:tcPr>
                <w:p w14:paraId="657CF47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其他</w:t>
                  </w:r>
                </w:p>
              </w:tc>
              <w:tc>
                <w:tcPr>
                  <w:tcW w:w="923" w:type="pct"/>
                  <w:tcBorders>
                    <w:tl2br w:val="nil"/>
                    <w:tr2bl w:val="nil"/>
                  </w:tcBorders>
                  <w:noWrap w:val="0"/>
                  <w:vAlign w:val="center"/>
                </w:tcPr>
                <w:p w14:paraId="5FD986C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1.3</w:t>
                  </w:r>
                </w:p>
              </w:tc>
              <w:tc>
                <w:tcPr>
                  <w:tcW w:w="923" w:type="pct"/>
                  <w:tcBorders>
                    <w:tl2br w:val="nil"/>
                    <w:tr2bl w:val="nil"/>
                  </w:tcBorders>
                  <w:noWrap w:val="0"/>
                  <w:vAlign w:val="center"/>
                </w:tcPr>
                <w:p w14:paraId="2E65C09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1.8</w:t>
                  </w:r>
                </w:p>
              </w:tc>
              <w:tc>
                <w:tcPr>
                  <w:tcW w:w="923" w:type="pct"/>
                  <w:tcBorders>
                    <w:tl2br w:val="nil"/>
                    <w:tr2bl w:val="nil"/>
                  </w:tcBorders>
                  <w:noWrap w:val="0"/>
                  <w:vAlign w:val="center"/>
                </w:tcPr>
                <w:p w14:paraId="6FD9757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2.4</w:t>
                  </w:r>
                </w:p>
              </w:tc>
              <w:tc>
                <w:tcPr>
                  <w:tcW w:w="928" w:type="pct"/>
                  <w:tcBorders>
                    <w:tl2br w:val="nil"/>
                    <w:tr2bl w:val="nil"/>
                  </w:tcBorders>
                  <w:noWrap w:val="0"/>
                  <w:vAlign w:val="center"/>
                </w:tcPr>
                <w:p w14:paraId="0A35A28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3.4</w:t>
                  </w:r>
                </w:p>
              </w:tc>
            </w:tr>
            <w:tr w14:paraId="0C0F37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restart"/>
                  <w:tcBorders>
                    <w:tl2br w:val="nil"/>
                    <w:tr2bl w:val="nil"/>
                  </w:tcBorders>
                  <w:noWrap w:val="0"/>
                  <w:vAlign w:val="center"/>
                </w:tcPr>
                <w:p w14:paraId="011772F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w:t>
                  </w:r>
                </w:p>
              </w:tc>
              <w:tc>
                <w:tcPr>
                  <w:tcW w:w="381" w:type="pct"/>
                  <w:vMerge w:val="restart"/>
                  <w:tcBorders>
                    <w:tl2br w:val="nil"/>
                    <w:tr2bl w:val="nil"/>
                  </w:tcBorders>
                  <w:noWrap w:val="0"/>
                  <w:vAlign w:val="center"/>
                </w:tcPr>
                <w:p w14:paraId="5562292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砷</w:t>
                  </w:r>
                </w:p>
              </w:tc>
              <w:tc>
                <w:tcPr>
                  <w:tcW w:w="516" w:type="pct"/>
                  <w:tcBorders>
                    <w:tl2br w:val="nil"/>
                    <w:tr2bl w:val="nil"/>
                  </w:tcBorders>
                  <w:noWrap w:val="0"/>
                  <w:vAlign w:val="center"/>
                </w:tcPr>
                <w:p w14:paraId="1605273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水田</w:t>
                  </w:r>
                </w:p>
              </w:tc>
              <w:tc>
                <w:tcPr>
                  <w:tcW w:w="923" w:type="pct"/>
                  <w:tcBorders>
                    <w:tl2br w:val="nil"/>
                    <w:tr2bl w:val="nil"/>
                  </w:tcBorders>
                  <w:noWrap w:val="0"/>
                  <w:vAlign w:val="center"/>
                </w:tcPr>
                <w:p w14:paraId="6E18D47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w:t>
                  </w:r>
                </w:p>
              </w:tc>
              <w:tc>
                <w:tcPr>
                  <w:tcW w:w="923" w:type="pct"/>
                  <w:tcBorders>
                    <w:tl2br w:val="nil"/>
                    <w:tr2bl w:val="nil"/>
                  </w:tcBorders>
                  <w:noWrap w:val="0"/>
                  <w:vAlign w:val="center"/>
                </w:tcPr>
                <w:p w14:paraId="6F3D31F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w:t>
                  </w:r>
                </w:p>
              </w:tc>
              <w:tc>
                <w:tcPr>
                  <w:tcW w:w="923" w:type="pct"/>
                  <w:tcBorders>
                    <w:tl2br w:val="nil"/>
                    <w:tr2bl w:val="nil"/>
                  </w:tcBorders>
                  <w:noWrap w:val="0"/>
                  <w:vAlign w:val="center"/>
                </w:tcPr>
                <w:p w14:paraId="5A2E559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25</w:t>
                  </w:r>
                </w:p>
              </w:tc>
              <w:tc>
                <w:tcPr>
                  <w:tcW w:w="928" w:type="pct"/>
                  <w:tcBorders>
                    <w:tl2br w:val="nil"/>
                    <w:tr2bl w:val="nil"/>
                  </w:tcBorders>
                  <w:noWrap w:val="0"/>
                  <w:vAlign w:val="center"/>
                </w:tcPr>
                <w:p w14:paraId="47D9F72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w:t>
                  </w:r>
                </w:p>
              </w:tc>
            </w:tr>
            <w:tr w14:paraId="523739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continue"/>
                  <w:tcBorders>
                    <w:tl2br w:val="nil"/>
                    <w:tr2bl w:val="nil"/>
                  </w:tcBorders>
                  <w:noWrap w:val="0"/>
                  <w:vAlign w:val="center"/>
                </w:tcPr>
                <w:p w14:paraId="62AD87E7">
                  <w:pPr>
                    <w:pStyle w:val="43"/>
                    <w:rPr>
                      <w:rFonts w:hint="default" w:ascii="Times New Roman" w:hAnsi="Times New Roman" w:cs="Times New Roman"/>
                      <w:b w:val="0"/>
                      <w:bCs w:val="0"/>
                      <w:color w:val="auto"/>
                      <w:sz w:val="18"/>
                      <w:szCs w:val="18"/>
                      <w:highlight w:val="none"/>
                    </w:rPr>
                  </w:pPr>
                </w:p>
              </w:tc>
              <w:tc>
                <w:tcPr>
                  <w:tcW w:w="381" w:type="pct"/>
                  <w:vMerge w:val="continue"/>
                  <w:tcBorders>
                    <w:tl2br w:val="nil"/>
                    <w:tr2bl w:val="nil"/>
                  </w:tcBorders>
                  <w:noWrap w:val="0"/>
                  <w:vAlign w:val="center"/>
                </w:tcPr>
                <w:p w14:paraId="442F0623">
                  <w:pPr>
                    <w:pStyle w:val="43"/>
                    <w:rPr>
                      <w:rFonts w:hint="default" w:ascii="Times New Roman" w:hAnsi="Times New Roman" w:cs="Times New Roman"/>
                      <w:b w:val="0"/>
                      <w:bCs w:val="0"/>
                      <w:color w:val="auto"/>
                      <w:sz w:val="18"/>
                      <w:szCs w:val="18"/>
                      <w:highlight w:val="none"/>
                    </w:rPr>
                  </w:pPr>
                </w:p>
              </w:tc>
              <w:tc>
                <w:tcPr>
                  <w:tcW w:w="516" w:type="pct"/>
                  <w:tcBorders>
                    <w:tl2br w:val="nil"/>
                    <w:tr2bl w:val="nil"/>
                  </w:tcBorders>
                  <w:noWrap w:val="0"/>
                  <w:vAlign w:val="center"/>
                </w:tcPr>
                <w:p w14:paraId="4151F90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其他</w:t>
                  </w:r>
                </w:p>
              </w:tc>
              <w:tc>
                <w:tcPr>
                  <w:tcW w:w="923" w:type="pct"/>
                  <w:tcBorders>
                    <w:tl2br w:val="nil"/>
                    <w:tr2bl w:val="nil"/>
                  </w:tcBorders>
                  <w:noWrap w:val="0"/>
                  <w:vAlign w:val="center"/>
                </w:tcPr>
                <w:p w14:paraId="6D8B34C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w:t>
                  </w:r>
                </w:p>
              </w:tc>
              <w:tc>
                <w:tcPr>
                  <w:tcW w:w="923" w:type="pct"/>
                  <w:tcBorders>
                    <w:tl2br w:val="nil"/>
                    <w:tr2bl w:val="nil"/>
                  </w:tcBorders>
                  <w:noWrap w:val="0"/>
                  <w:vAlign w:val="center"/>
                </w:tcPr>
                <w:p w14:paraId="7354222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40</w:t>
                  </w:r>
                </w:p>
              </w:tc>
              <w:tc>
                <w:tcPr>
                  <w:tcW w:w="923" w:type="pct"/>
                  <w:tcBorders>
                    <w:tl2br w:val="nil"/>
                    <w:tr2bl w:val="nil"/>
                  </w:tcBorders>
                  <w:noWrap w:val="0"/>
                  <w:vAlign w:val="center"/>
                </w:tcPr>
                <w:p w14:paraId="4B3657E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w:t>
                  </w:r>
                </w:p>
              </w:tc>
              <w:tc>
                <w:tcPr>
                  <w:tcW w:w="928" w:type="pct"/>
                  <w:tcBorders>
                    <w:tl2br w:val="nil"/>
                    <w:tr2bl w:val="nil"/>
                  </w:tcBorders>
                  <w:noWrap w:val="0"/>
                  <w:vAlign w:val="center"/>
                </w:tcPr>
                <w:p w14:paraId="51D1430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25</w:t>
                  </w:r>
                </w:p>
              </w:tc>
            </w:tr>
            <w:tr w14:paraId="25AFA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restart"/>
                  <w:tcBorders>
                    <w:tl2br w:val="nil"/>
                    <w:tr2bl w:val="nil"/>
                  </w:tcBorders>
                  <w:noWrap w:val="0"/>
                  <w:vAlign w:val="center"/>
                </w:tcPr>
                <w:p w14:paraId="303FD6A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4</w:t>
                  </w:r>
                </w:p>
              </w:tc>
              <w:tc>
                <w:tcPr>
                  <w:tcW w:w="381" w:type="pct"/>
                  <w:vMerge w:val="restart"/>
                  <w:tcBorders>
                    <w:tl2br w:val="nil"/>
                    <w:tr2bl w:val="nil"/>
                  </w:tcBorders>
                  <w:noWrap w:val="0"/>
                  <w:vAlign w:val="center"/>
                </w:tcPr>
                <w:p w14:paraId="58BC6C7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铅</w:t>
                  </w:r>
                </w:p>
              </w:tc>
              <w:tc>
                <w:tcPr>
                  <w:tcW w:w="516" w:type="pct"/>
                  <w:tcBorders>
                    <w:tl2br w:val="nil"/>
                    <w:tr2bl w:val="nil"/>
                  </w:tcBorders>
                  <w:noWrap w:val="0"/>
                  <w:vAlign w:val="center"/>
                </w:tcPr>
                <w:p w14:paraId="61F3EC8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水田</w:t>
                  </w:r>
                </w:p>
              </w:tc>
              <w:tc>
                <w:tcPr>
                  <w:tcW w:w="923" w:type="pct"/>
                  <w:tcBorders>
                    <w:tl2br w:val="nil"/>
                    <w:tr2bl w:val="nil"/>
                  </w:tcBorders>
                  <w:noWrap w:val="0"/>
                  <w:vAlign w:val="center"/>
                </w:tcPr>
                <w:p w14:paraId="4014998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80</w:t>
                  </w:r>
                </w:p>
              </w:tc>
              <w:tc>
                <w:tcPr>
                  <w:tcW w:w="923" w:type="pct"/>
                  <w:tcBorders>
                    <w:tl2br w:val="nil"/>
                    <w:tr2bl w:val="nil"/>
                  </w:tcBorders>
                  <w:noWrap w:val="0"/>
                  <w:vAlign w:val="center"/>
                </w:tcPr>
                <w:p w14:paraId="1E56BA1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100</w:t>
                  </w:r>
                </w:p>
              </w:tc>
              <w:tc>
                <w:tcPr>
                  <w:tcW w:w="923" w:type="pct"/>
                  <w:tcBorders>
                    <w:tl2br w:val="nil"/>
                    <w:tr2bl w:val="nil"/>
                  </w:tcBorders>
                  <w:noWrap w:val="0"/>
                  <w:vAlign w:val="center"/>
                </w:tcPr>
                <w:p w14:paraId="1C4B447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140</w:t>
                  </w:r>
                </w:p>
              </w:tc>
              <w:tc>
                <w:tcPr>
                  <w:tcW w:w="928" w:type="pct"/>
                  <w:tcBorders>
                    <w:tl2br w:val="nil"/>
                    <w:tr2bl w:val="nil"/>
                  </w:tcBorders>
                  <w:noWrap w:val="0"/>
                  <w:vAlign w:val="center"/>
                </w:tcPr>
                <w:p w14:paraId="6F3DD72D">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240</w:t>
                  </w:r>
                </w:p>
              </w:tc>
            </w:tr>
            <w:tr w14:paraId="5A8BA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continue"/>
                  <w:tcBorders>
                    <w:tl2br w:val="nil"/>
                    <w:tr2bl w:val="nil"/>
                  </w:tcBorders>
                  <w:noWrap w:val="0"/>
                  <w:vAlign w:val="center"/>
                </w:tcPr>
                <w:p w14:paraId="15370DEF">
                  <w:pPr>
                    <w:pStyle w:val="43"/>
                    <w:rPr>
                      <w:rFonts w:hint="default" w:ascii="Times New Roman" w:hAnsi="Times New Roman" w:cs="Times New Roman"/>
                      <w:b w:val="0"/>
                      <w:bCs w:val="0"/>
                      <w:color w:val="auto"/>
                      <w:sz w:val="18"/>
                      <w:szCs w:val="18"/>
                      <w:highlight w:val="none"/>
                    </w:rPr>
                  </w:pPr>
                </w:p>
              </w:tc>
              <w:tc>
                <w:tcPr>
                  <w:tcW w:w="381" w:type="pct"/>
                  <w:vMerge w:val="continue"/>
                  <w:tcBorders>
                    <w:tl2br w:val="nil"/>
                    <w:tr2bl w:val="nil"/>
                  </w:tcBorders>
                  <w:noWrap w:val="0"/>
                  <w:vAlign w:val="center"/>
                </w:tcPr>
                <w:p w14:paraId="2EA7AB24">
                  <w:pPr>
                    <w:pStyle w:val="43"/>
                    <w:rPr>
                      <w:rFonts w:hint="default" w:ascii="Times New Roman" w:hAnsi="Times New Roman" w:cs="Times New Roman"/>
                      <w:b w:val="0"/>
                      <w:bCs w:val="0"/>
                      <w:color w:val="auto"/>
                      <w:sz w:val="18"/>
                      <w:szCs w:val="18"/>
                      <w:highlight w:val="none"/>
                    </w:rPr>
                  </w:pPr>
                </w:p>
              </w:tc>
              <w:tc>
                <w:tcPr>
                  <w:tcW w:w="516" w:type="pct"/>
                  <w:tcBorders>
                    <w:tl2br w:val="nil"/>
                    <w:tr2bl w:val="nil"/>
                  </w:tcBorders>
                  <w:noWrap w:val="0"/>
                  <w:vAlign w:val="center"/>
                </w:tcPr>
                <w:p w14:paraId="2031EDA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其他</w:t>
                  </w:r>
                </w:p>
              </w:tc>
              <w:tc>
                <w:tcPr>
                  <w:tcW w:w="923" w:type="pct"/>
                  <w:tcBorders>
                    <w:tl2br w:val="nil"/>
                    <w:tr2bl w:val="nil"/>
                  </w:tcBorders>
                  <w:noWrap w:val="0"/>
                  <w:vAlign w:val="center"/>
                </w:tcPr>
                <w:p w14:paraId="6C87614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70</w:t>
                  </w:r>
                </w:p>
              </w:tc>
              <w:tc>
                <w:tcPr>
                  <w:tcW w:w="923" w:type="pct"/>
                  <w:tcBorders>
                    <w:tl2br w:val="nil"/>
                    <w:tr2bl w:val="nil"/>
                  </w:tcBorders>
                  <w:noWrap w:val="0"/>
                  <w:vAlign w:val="center"/>
                </w:tcPr>
                <w:p w14:paraId="077C9EB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90</w:t>
                  </w:r>
                </w:p>
              </w:tc>
              <w:tc>
                <w:tcPr>
                  <w:tcW w:w="923" w:type="pct"/>
                  <w:tcBorders>
                    <w:tl2br w:val="nil"/>
                    <w:tr2bl w:val="nil"/>
                  </w:tcBorders>
                  <w:noWrap w:val="0"/>
                  <w:vAlign w:val="center"/>
                </w:tcPr>
                <w:p w14:paraId="291D01AA">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120</w:t>
                  </w:r>
                </w:p>
              </w:tc>
              <w:tc>
                <w:tcPr>
                  <w:tcW w:w="928" w:type="pct"/>
                  <w:tcBorders>
                    <w:tl2br w:val="nil"/>
                    <w:tr2bl w:val="nil"/>
                  </w:tcBorders>
                  <w:noWrap w:val="0"/>
                  <w:vAlign w:val="center"/>
                </w:tcPr>
                <w:p w14:paraId="5221153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170</w:t>
                  </w:r>
                </w:p>
              </w:tc>
            </w:tr>
            <w:tr w14:paraId="12519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restart"/>
                  <w:tcBorders>
                    <w:tl2br w:val="nil"/>
                    <w:tr2bl w:val="nil"/>
                  </w:tcBorders>
                  <w:noWrap w:val="0"/>
                  <w:vAlign w:val="center"/>
                </w:tcPr>
                <w:p w14:paraId="15984DC8">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w:t>
                  </w:r>
                </w:p>
              </w:tc>
              <w:tc>
                <w:tcPr>
                  <w:tcW w:w="381" w:type="pct"/>
                  <w:vMerge w:val="restart"/>
                  <w:tcBorders>
                    <w:tl2br w:val="nil"/>
                    <w:tr2bl w:val="nil"/>
                  </w:tcBorders>
                  <w:noWrap w:val="0"/>
                  <w:vAlign w:val="center"/>
                </w:tcPr>
                <w:p w14:paraId="5CBEDA3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铬</w:t>
                  </w:r>
                </w:p>
              </w:tc>
              <w:tc>
                <w:tcPr>
                  <w:tcW w:w="516" w:type="pct"/>
                  <w:tcBorders>
                    <w:tl2br w:val="nil"/>
                    <w:tr2bl w:val="nil"/>
                  </w:tcBorders>
                  <w:noWrap w:val="0"/>
                  <w:vAlign w:val="center"/>
                </w:tcPr>
                <w:p w14:paraId="6EFDD33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水田</w:t>
                  </w:r>
                </w:p>
              </w:tc>
              <w:tc>
                <w:tcPr>
                  <w:tcW w:w="923" w:type="pct"/>
                  <w:tcBorders>
                    <w:tl2br w:val="nil"/>
                    <w:tr2bl w:val="nil"/>
                  </w:tcBorders>
                  <w:noWrap w:val="0"/>
                  <w:vAlign w:val="center"/>
                </w:tcPr>
                <w:p w14:paraId="7CA8917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250</w:t>
                  </w:r>
                </w:p>
              </w:tc>
              <w:tc>
                <w:tcPr>
                  <w:tcW w:w="923" w:type="pct"/>
                  <w:tcBorders>
                    <w:tl2br w:val="nil"/>
                    <w:tr2bl w:val="nil"/>
                  </w:tcBorders>
                  <w:noWrap w:val="0"/>
                  <w:vAlign w:val="center"/>
                </w:tcPr>
                <w:p w14:paraId="3333B22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250</w:t>
                  </w:r>
                </w:p>
              </w:tc>
              <w:tc>
                <w:tcPr>
                  <w:tcW w:w="923" w:type="pct"/>
                  <w:tcBorders>
                    <w:tl2br w:val="nil"/>
                    <w:tr2bl w:val="nil"/>
                  </w:tcBorders>
                  <w:noWrap w:val="0"/>
                  <w:vAlign w:val="center"/>
                </w:tcPr>
                <w:p w14:paraId="70695B5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300</w:t>
                  </w:r>
                </w:p>
              </w:tc>
              <w:tc>
                <w:tcPr>
                  <w:tcW w:w="928" w:type="pct"/>
                  <w:tcBorders>
                    <w:tl2br w:val="nil"/>
                    <w:tr2bl w:val="nil"/>
                  </w:tcBorders>
                  <w:noWrap w:val="0"/>
                  <w:vAlign w:val="center"/>
                </w:tcPr>
                <w:p w14:paraId="6727ABF1">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350</w:t>
                  </w:r>
                </w:p>
              </w:tc>
            </w:tr>
            <w:tr w14:paraId="44F362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continue"/>
                  <w:tcBorders>
                    <w:tl2br w:val="nil"/>
                    <w:tr2bl w:val="nil"/>
                  </w:tcBorders>
                  <w:noWrap w:val="0"/>
                  <w:vAlign w:val="center"/>
                </w:tcPr>
                <w:p w14:paraId="64134CE9">
                  <w:pPr>
                    <w:pStyle w:val="43"/>
                    <w:rPr>
                      <w:rFonts w:hint="default" w:ascii="Times New Roman" w:hAnsi="Times New Roman" w:cs="Times New Roman"/>
                      <w:b w:val="0"/>
                      <w:bCs w:val="0"/>
                      <w:color w:val="auto"/>
                      <w:sz w:val="18"/>
                      <w:szCs w:val="18"/>
                      <w:highlight w:val="none"/>
                    </w:rPr>
                  </w:pPr>
                </w:p>
              </w:tc>
              <w:tc>
                <w:tcPr>
                  <w:tcW w:w="381" w:type="pct"/>
                  <w:vMerge w:val="continue"/>
                  <w:tcBorders>
                    <w:tl2br w:val="nil"/>
                    <w:tr2bl w:val="nil"/>
                  </w:tcBorders>
                  <w:noWrap w:val="0"/>
                  <w:vAlign w:val="center"/>
                </w:tcPr>
                <w:p w14:paraId="0135C6AC">
                  <w:pPr>
                    <w:pStyle w:val="43"/>
                    <w:rPr>
                      <w:rFonts w:hint="default" w:ascii="Times New Roman" w:hAnsi="Times New Roman" w:cs="Times New Roman"/>
                      <w:b w:val="0"/>
                      <w:bCs w:val="0"/>
                      <w:color w:val="auto"/>
                      <w:sz w:val="18"/>
                      <w:szCs w:val="18"/>
                      <w:highlight w:val="none"/>
                    </w:rPr>
                  </w:pPr>
                </w:p>
              </w:tc>
              <w:tc>
                <w:tcPr>
                  <w:tcW w:w="516" w:type="pct"/>
                  <w:tcBorders>
                    <w:tl2br w:val="nil"/>
                    <w:tr2bl w:val="nil"/>
                  </w:tcBorders>
                  <w:noWrap w:val="0"/>
                  <w:vAlign w:val="center"/>
                </w:tcPr>
                <w:p w14:paraId="591E816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其他</w:t>
                  </w:r>
                </w:p>
              </w:tc>
              <w:tc>
                <w:tcPr>
                  <w:tcW w:w="923" w:type="pct"/>
                  <w:tcBorders>
                    <w:tl2br w:val="nil"/>
                    <w:tr2bl w:val="nil"/>
                  </w:tcBorders>
                  <w:noWrap w:val="0"/>
                  <w:vAlign w:val="center"/>
                </w:tcPr>
                <w:p w14:paraId="54EBE0F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150</w:t>
                  </w:r>
                </w:p>
              </w:tc>
              <w:tc>
                <w:tcPr>
                  <w:tcW w:w="923" w:type="pct"/>
                  <w:tcBorders>
                    <w:tl2br w:val="nil"/>
                    <w:tr2bl w:val="nil"/>
                  </w:tcBorders>
                  <w:noWrap w:val="0"/>
                  <w:vAlign w:val="center"/>
                </w:tcPr>
                <w:p w14:paraId="0390F67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150</w:t>
                  </w:r>
                </w:p>
              </w:tc>
              <w:tc>
                <w:tcPr>
                  <w:tcW w:w="923" w:type="pct"/>
                  <w:tcBorders>
                    <w:tl2br w:val="nil"/>
                    <w:tr2bl w:val="nil"/>
                  </w:tcBorders>
                  <w:noWrap w:val="0"/>
                  <w:vAlign w:val="center"/>
                </w:tcPr>
                <w:p w14:paraId="0403BC96">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w:t>
                  </w:r>
                </w:p>
              </w:tc>
              <w:tc>
                <w:tcPr>
                  <w:tcW w:w="928" w:type="pct"/>
                  <w:tcBorders>
                    <w:tl2br w:val="nil"/>
                    <w:tr2bl w:val="nil"/>
                  </w:tcBorders>
                  <w:noWrap w:val="0"/>
                  <w:vAlign w:val="center"/>
                </w:tcPr>
                <w:p w14:paraId="3260ADF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250</w:t>
                  </w:r>
                </w:p>
              </w:tc>
            </w:tr>
            <w:tr w14:paraId="5064E5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restart"/>
                  <w:tcBorders>
                    <w:tl2br w:val="nil"/>
                    <w:tr2bl w:val="nil"/>
                  </w:tcBorders>
                  <w:noWrap w:val="0"/>
                  <w:vAlign w:val="center"/>
                </w:tcPr>
                <w:p w14:paraId="4FB0AF7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w:t>
                  </w:r>
                </w:p>
              </w:tc>
              <w:tc>
                <w:tcPr>
                  <w:tcW w:w="381" w:type="pct"/>
                  <w:vMerge w:val="restart"/>
                  <w:tcBorders>
                    <w:tl2br w:val="nil"/>
                    <w:tr2bl w:val="nil"/>
                  </w:tcBorders>
                  <w:noWrap w:val="0"/>
                  <w:vAlign w:val="center"/>
                </w:tcPr>
                <w:p w14:paraId="2073DFE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铜</w:t>
                  </w:r>
                </w:p>
              </w:tc>
              <w:tc>
                <w:tcPr>
                  <w:tcW w:w="516" w:type="pct"/>
                  <w:tcBorders>
                    <w:tl2br w:val="nil"/>
                    <w:tr2bl w:val="nil"/>
                  </w:tcBorders>
                  <w:noWrap w:val="0"/>
                  <w:vAlign w:val="center"/>
                </w:tcPr>
                <w:p w14:paraId="5073D9E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水田</w:t>
                  </w:r>
                </w:p>
              </w:tc>
              <w:tc>
                <w:tcPr>
                  <w:tcW w:w="923" w:type="pct"/>
                  <w:tcBorders>
                    <w:tl2br w:val="nil"/>
                    <w:tr2bl w:val="nil"/>
                  </w:tcBorders>
                  <w:noWrap w:val="0"/>
                  <w:vAlign w:val="center"/>
                </w:tcPr>
                <w:p w14:paraId="135AD1C4">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150</w:t>
                  </w:r>
                </w:p>
              </w:tc>
              <w:tc>
                <w:tcPr>
                  <w:tcW w:w="923" w:type="pct"/>
                  <w:tcBorders>
                    <w:tl2br w:val="nil"/>
                    <w:tr2bl w:val="nil"/>
                  </w:tcBorders>
                  <w:noWrap w:val="0"/>
                  <w:vAlign w:val="center"/>
                </w:tcPr>
                <w:p w14:paraId="6E9752B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150</w:t>
                  </w:r>
                </w:p>
              </w:tc>
              <w:tc>
                <w:tcPr>
                  <w:tcW w:w="923" w:type="pct"/>
                  <w:tcBorders>
                    <w:tl2br w:val="nil"/>
                    <w:tr2bl w:val="nil"/>
                  </w:tcBorders>
                  <w:noWrap w:val="0"/>
                  <w:vAlign w:val="center"/>
                </w:tcPr>
                <w:p w14:paraId="5496533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w:t>
                  </w:r>
                </w:p>
              </w:tc>
              <w:tc>
                <w:tcPr>
                  <w:tcW w:w="928" w:type="pct"/>
                  <w:tcBorders>
                    <w:tl2br w:val="nil"/>
                    <w:tr2bl w:val="nil"/>
                  </w:tcBorders>
                  <w:noWrap w:val="0"/>
                  <w:vAlign w:val="center"/>
                </w:tcPr>
                <w:p w14:paraId="4868312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w:t>
                  </w:r>
                </w:p>
              </w:tc>
            </w:tr>
            <w:tr w14:paraId="4325F1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403" w:type="pct"/>
                  <w:vMerge w:val="continue"/>
                  <w:tcBorders>
                    <w:tl2br w:val="nil"/>
                    <w:tr2bl w:val="nil"/>
                  </w:tcBorders>
                  <w:noWrap w:val="0"/>
                  <w:vAlign w:val="center"/>
                </w:tcPr>
                <w:p w14:paraId="01A6E29C">
                  <w:pPr>
                    <w:pStyle w:val="43"/>
                    <w:rPr>
                      <w:rFonts w:hint="default" w:ascii="Times New Roman" w:hAnsi="Times New Roman" w:cs="Times New Roman"/>
                      <w:b w:val="0"/>
                      <w:bCs w:val="0"/>
                      <w:color w:val="auto"/>
                      <w:sz w:val="18"/>
                      <w:szCs w:val="18"/>
                      <w:highlight w:val="none"/>
                    </w:rPr>
                  </w:pPr>
                </w:p>
              </w:tc>
              <w:tc>
                <w:tcPr>
                  <w:tcW w:w="381" w:type="pct"/>
                  <w:vMerge w:val="continue"/>
                  <w:tcBorders>
                    <w:tl2br w:val="nil"/>
                    <w:tr2bl w:val="nil"/>
                  </w:tcBorders>
                  <w:noWrap w:val="0"/>
                  <w:vAlign w:val="center"/>
                </w:tcPr>
                <w:p w14:paraId="48917883">
                  <w:pPr>
                    <w:pStyle w:val="43"/>
                    <w:rPr>
                      <w:rFonts w:hint="default" w:ascii="Times New Roman" w:hAnsi="Times New Roman" w:cs="Times New Roman"/>
                      <w:b w:val="0"/>
                      <w:bCs w:val="0"/>
                      <w:color w:val="auto"/>
                      <w:sz w:val="18"/>
                      <w:szCs w:val="18"/>
                      <w:highlight w:val="none"/>
                    </w:rPr>
                  </w:pPr>
                </w:p>
              </w:tc>
              <w:tc>
                <w:tcPr>
                  <w:tcW w:w="516" w:type="pct"/>
                  <w:tcBorders>
                    <w:tl2br w:val="nil"/>
                    <w:tr2bl w:val="nil"/>
                  </w:tcBorders>
                  <w:noWrap w:val="0"/>
                  <w:vAlign w:val="center"/>
                </w:tcPr>
                <w:p w14:paraId="3557CA4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其他</w:t>
                  </w:r>
                </w:p>
              </w:tc>
              <w:tc>
                <w:tcPr>
                  <w:tcW w:w="923" w:type="pct"/>
                  <w:tcBorders>
                    <w:tl2br w:val="nil"/>
                    <w:tr2bl w:val="nil"/>
                  </w:tcBorders>
                  <w:noWrap w:val="0"/>
                  <w:vAlign w:val="center"/>
                </w:tcPr>
                <w:p w14:paraId="24AF3FC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50</w:t>
                  </w:r>
                </w:p>
              </w:tc>
              <w:tc>
                <w:tcPr>
                  <w:tcW w:w="923" w:type="pct"/>
                  <w:tcBorders>
                    <w:tl2br w:val="nil"/>
                    <w:tr2bl w:val="nil"/>
                  </w:tcBorders>
                  <w:noWrap w:val="0"/>
                  <w:vAlign w:val="center"/>
                </w:tcPr>
                <w:p w14:paraId="4352E73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50</w:t>
                  </w:r>
                </w:p>
              </w:tc>
              <w:tc>
                <w:tcPr>
                  <w:tcW w:w="923" w:type="pct"/>
                  <w:tcBorders>
                    <w:tl2br w:val="nil"/>
                    <w:tr2bl w:val="nil"/>
                  </w:tcBorders>
                  <w:noWrap w:val="0"/>
                  <w:vAlign w:val="center"/>
                </w:tcPr>
                <w:p w14:paraId="1E10E302">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100</w:t>
                  </w:r>
                </w:p>
              </w:tc>
              <w:tc>
                <w:tcPr>
                  <w:tcW w:w="928" w:type="pct"/>
                  <w:tcBorders>
                    <w:tl2br w:val="nil"/>
                    <w:tr2bl w:val="nil"/>
                  </w:tcBorders>
                  <w:noWrap w:val="0"/>
                  <w:vAlign w:val="center"/>
                </w:tcPr>
                <w:p w14:paraId="71CA499F">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100</w:t>
                  </w:r>
                </w:p>
              </w:tc>
            </w:tr>
            <w:tr w14:paraId="7E5A29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03" w:type="pct"/>
                  <w:tcBorders>
                    <w:tl2br w:val="nil"/>
                    <w:tr2bl w:val="nil"/>
                  </w:tcBorders>
                  <w:noWrap w:val="0"/>
                  <w:vAlign w:val="center"/>
                </w:tcPr>
                <w:p w14:paraId="59165339">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w:t>
                  </w:r>
                </w:p>
              </w:tc>
              <w:tc>
                <w:tcPr>
                  <w:tcW w:w="898" w:type="pct"/>
                  <w:gridSpan w:val="2"/>
                  <w:tcBorders>
                    <w:tl2br w:val="nil"/>
                    <w:tr2bl w:val="nil"/>
                  </w:tcBorders>
                  <w:noWrap w:val="0"/>
                  <w:vAlign w:val="center"/>
                </w:tcPr>
                <w:p w14:paraId="1C14D880">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镍</w:t>
                  </w:r>
                </w:p>
              </w:tc>
              <w:tc>
                <w:tcPr>
                  <w:tcW w:w="923" w:type="pct"/>
                  <w:tcBorders>
                    <w:tl2br w:val="nil"/>
                    <w:tr2bl w:val="nil"/>
                  </w:tcBorders>
                  <w:noWrap w:val="0"/>
                  <w:vAlign w:val="center"/>
                </w:tcPr>
                <w:p w14:paraId="7970DB1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60</w:t>
                  </w:r>
                </w:p>
              </w:tc>
              <w:tc>
                <w:tcPr>
                  <w:tcW w:w="923" w:type="pct"/>
                  <w:tcBorders>
                    <w:tl2br w:val="nil"/>
                    <w:tr2bl w:val="nil"/>
                  </w:tcBorders>
                  <w:noWrap w:val="0"/>
                  <w:vAlign w:val="center"/>
                </w:tcPr>
                <w:p w14:paraId="65235CD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70</w:t>
                  </w:r>
                </w:p>
              </w:tc>
              <w:tc>
                <w:tcPr>
                  <w:tcW w:w="923" w:type="pct"/>
                  <w:tcBorders>
                    <w:tl2br w:val="nil"/>
                    <w:tr2bl w:val="nil"/>
                  </w:tcBorders>
                  <w:noWrap w:val="0"/>
                  <w:vAlign w:val="center"/>
                </w:tcPr>
                <w:p w14:paraId="67E5D5D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100</w:t>
                  </w:r>
                </w:p>
              </w:tc>
              <w:tc>
                <w:tcPr>
                  <w:tcW w:w="928" w:type="pct"/>
                  <w:tcBorders>
                    <w:tl2br w:val="nil"/>
                    <w:tr2bl w:val="nil"/>
                  </w:tcBorders>
                  <w:noWrap w:val="0"/>
                  <w:vAlign w:val="center"/>
                </w:tcPr>
                <w:p w14:paraId="386D84C7">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190</w:t>
                  </w:r>
                </w:p>
              </w:tc>
            </w:tr>
            <w:tr w14:paraId="31B9C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l2br w:val="nil"/>
                    <w:tr2bl w:val="nil"/>
                  </w:tcBorders>
                  <w:noWrap w:val="0"/>
                  <w:vAlign w:val="center"/>
                </w:tcPr>
                <w:p w14:paraId="490D740C">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8</w:t>
                  </w:r>
                </w:p>
              </w:tc>
              <w:tc>
                <w:tcPr>
                  <w:tcW w:w="898" w:type="pct"/>
                  <w:gridSpan w:val="2"/>
                  <w:tcBorders>
                    <w:tl2br w:val="nil"/>
                    <w:tr2bl w:val="nil"/>
                  </w:tcBorders>
                  <w:noWrap w:val="0"/>
                  <w:vAlign w:val="center"/>
                </w:tcPr>
                <w:p w14:paraId="4549242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锌</w:t>
                  </w:r>
                </w:p>
              </w:tc>
              <w:tc>
                <w:tcPr>
                  <w:tcW w:w="923" w:type="pct"/>
                  <w:tcBorders>
                    <w:tl2br w:val="nil"/>
                    <w:tr2bl w:val="nil"/>
                  </w:tcBorders>
                  <w:noWrap w:val="0"/>
                  <w:vAlign w:val="center"/>
                </w:tcPr>
                <w:p w14:paraId="37094D9E">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w:t>
                  </w:r>
                </w:p>
              </w:tc>
              <w:tc>
                <w:tcPr>
                  <w:tcW w:w="923" w:type="pct"/>
                  <w:tcBorders>
                    <w:tl2br w:val="nil"/>
                    <w:tr2bl w:val="nil"/>
                  </w:tcBorders>
                  <w:noWrap w:val="0"/>
                  <w:vAlign w:val="center"/>
                </w:tcPr>
                <w:p w14:paraId="5B597983">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200</w:t>
                  </w:r>
                </w:p>
              </w:tc>
              <w:tc>
                <w:tcPr>
                  <w:tcW w:w="923" w:type="pct"/>
                  <w:tcBorders>
                    <w:tl2br w:val="nil"/>
                    <w:tr2bl w:val="nil"/>
                  </w:tcBorders>
                  <w:noWrap w:val="0"/>
                  <w:vAlign w:val="center"/>
                </w:tcPr>
                <w:p w14:paraId="7649C37B">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250</w:t>
                  </w:r>
                </w:p>
              </w:tc>
              <w:tc>
                <w:tcPr>
                  <w:tcW w:w="928" w:type="pct"/>
                  <w:tcBorders>
                    <w:tl2br w:val="nil"/>
                    <w:tr2bl w:val="nil"/>
                  </w:tcBorders>
                  <w:noWrap w:val="0"/>
                  <w:vAlign w:val="center"/>
                </w:tcPr>
                <w:p w14:paraId="3CB844B5">
                  <w:pPr>
                    <w:pStyle w:val="43"/>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300</w:t>
                  </w:r>
                </w:p>
              </w:tc>
            </w:tr>
            <w:tr w14:paraId="71101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l2br w:val="nil"/>
                    <w:tr2bl w:val="nil"/>
                  </w:tcBorders>
                  <w:noWrap w:val="0"/>
                  <w:vAlign w:val="center"/>
                </w:tcPr>
                <w:p w14:paraId="6D4034F2">
                  <w:pPr>
                    <w:pStyle w:val="43"/>
                    <w:jc w:val="lef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注：①重金属和类金属砷均按元素总量计。</w:t>
                  </w:r>
                </w:p>
                <w:p w14:paraId="7AB5338B">
                  <w:pPr>
                    <w:pStyle w:val="43"/>
                    <w:ind w:firstLine="360" w:firstLineChars="200"/>
                    <w:jc w:val="left"/>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②对于水旱轮作地，采用其中较严格的风险筛选值。</w:t>
                  </w:r>
                </w:p>
              </w:tc>
            </w:tr>
          </w:tbl>
          <w:p w14:paraId="144DC029">
            <w:pPr>
              <w:keepNext w:val="0"/>
              <w:keepLines w:val="0"/>
              <w:pageBreakBefore w:val="0"/>
              <w:widowControl w:val="0"/>
              <w:kinsoku/>
              <w:wordWrap/>
              <w:overflowPunct/>
              <w:topLinePunct w:val="0"/>
              <w:autoSpaceDE/>
              <w:autoSpaceDN/>
              <w:bidi w:val="0"/>
              <w:adjustRightInd/>
              <w:snapToGrid/>
              <w:spacing w:before="157" w:beforeLines="50" w:line="360" w:lineRule="auto"/>
              <w:ind w:firstLine="422" w:firstLineChars="200"/>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2、污染物排放控制标准</w:t>
            </w:r>
          </w:p>
          <w:p w14:paraId="0BB92467">
            <w:pPr>
              <w:spacing w:line="360" w:lineRule="auto"/>
              <w:ind w:firstLine="420" w:firstLineChars="200"/>
              <w:rPr>
                <w:b w:val="0"/>
                <w:bCs w:val="0"/>
                <w:color w:val="auto"/>
                <w:sz w:val="21"/>
                <w:szCs w:val="21"/>
                <w:highlight w:val="none"/>
              </w:rPr>
            </w:pPr>
            <w:r>
              <w:rPr>
                <w:rFonts w:hint="eastAsia"/>
                <w:b w:val="0"/>
                <w:bCs w:val="0"/>
                <w:color w:val="auto"/>
                <w:sz w:val="21"/>
                <w:szCs w:val="21"/>
                <w:highlight w:val="none"/>
                <w:lang w:eastAsia="zh-CN"/>
              </w:rPr>
              <w:t>（</w:t>
            </w:r>
            <w:r>
              <w:rPr>
                <w:rFonts w:hint="eastAsia"/>
                <w:b w:val="0"/>
                <w:bCs w:val="0"/>
                <w:color w:val="auto"/>
                <w:sz w:val="21"/>
                <w:szCs w:val="21"/>
                <w:highlight w:val="none"/>
                <w:lang w:val="en-US" w:eastAsia="zh-CN"/>
              </w:rPr>
              <w:t>1</w:t>
            </w:r>
            <w:r>
              <w:rPr>
                <w:rFonts w:hint="eastAsia"/>
                <w:b w:val="0"/>
                <w:bCs w:val="0"/>
                <w:color w:val="auto"/>
                <w:sz w:val="21"/>
                <w:szCs w:val="21"/>
                <w:highlight w:val="none"/>
                <w:lang w:eastAsia="zh-CN"/>
              </w:rPr>
              <w:t>）</w:t>
            </w:r>
            <w:r>
              <w:rPr>
                <w:b w:val="0"/>
                <w:bCs w:val="0"/>
                <w:color w:val="auto"/>
                <w:sz w:val="21"/>
                <w:szCs w:val="21"/>
                <w:highlight w:val="none"/>
              </w:rPr>
              <w:t>大气污染物排放标准</w:t>
            </w:r>
          </w:p>
          <w:p w14:paraId="51F8AA0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kern w:val="0"/>
                <w:sz w:val="21"/>
                <w:szCs w:val="21"/>
                <w:highlight w:val="none"/>
                <w:lang w:val="en-US" w:eastAsia="zh-CN" w:bidi="ar"/>
              </w:rPr>
            </w:pPr>
            <w:bookmarkStart w:id="7" w:name="OLE_LINK291"/>
            <w:r>
              <w:rPr>
                <w:rFonts w:hint="default" w:ascii="Times New Roman" w:hAnsi="Times New Roman" w:eastAsia="宋体" w:cs="Times New Roman"/>
                <w:color w:val="auto"/>
                <w:kern w:val="0"/>
                <w:sz w:val="21"/>
                <w:szCs w:val="21"/>
                <w:highlight w:val="none"/>
                <w:lang w:val="en-US" w:eastAsia="zh-CN" w:bidi="ar"/>
              </w:rPr>
              <w:t>施工期间施工扬尘执行</w:t>
            </w:r>
            <w:r>
              <w:rPr>
                <w:rFonts w:hint="default" w:ascii="Times New Roman" w:hAnsi="Times New Roman" w:eastAsia="宋体" w:cs="Times New Roman"/>
                <w:color w:val="auto"/>
                <w:sz w:val="21"/>
                <w:szCs w:val="21"/>
                <w:highlight w:val="none"/>
              </w:rPr>
              <w:t>《大气污染物综合排放标准》（GB16297-1996）无组织排放监控浓度限值</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运营期</w:t>
            </w:r>
            <w:r>
              <w:rPr>
                <w:rFonts w:hint="default" w:ascii="Times New Roman" w:hAnsi="Times New Roman" w:cs="Times New Roman"/>
                <w:color w:val="auto"/>
                <w:highlight w:val="none"/>
                <w:lang w:val="en-US" w:eastAsia="zh-CN"/>
              </w:rPr>
              <w:t>厂区内</w:t>
            </w:r>
            <w:r>
              <w:rPr>
                <w:rFonts w:hint="eastAsia" w:ascii="Times New Roman" w:hAnsi="Times New Roman" w:cs="Times New Roman"/>
                <w:color w:val="auto"/>
                <w:highlight w:val="none"/>
                <w:lang w:val="en-US" w:eastAsia="zh-CN"/>
              </w:rPr>
              <w:t>非甲烷总烃</w:t>
            </w:r>
            <w:r>
              <w:rPr>
                <w:rFonts w:hint="default" w:ascii="Times New Roman" w:hAnsi="Times New Roman" w:cs="Times New Roman"/>
                <w:color w:val="auto"/>
                <w:highlight w:val="none"/>
                <w:lang w:val="en-US" w:eastAsia="zh-CN"/>
              </w:rPr>
              <w:t>执行《挥发性有机物无组织排放控制标准》（GB37822—2019）</w:t>
            </w:r>
            <w:r>
              <w:rPr>
                <w:rFonts w:hint="eastAsia" w:ascii="Times New Roman" w:hAnsi="Times New Roman" w:cs="Times New Roman"/>
                <w:color w:val="auto"/>
                <w:highlight w:val="none"/>
                <w:lang w:val="en-US" w:eastAsia="zh-CN"/>
              </w:rPr>
              <w:t>限值，</w:t>
            </w:r>
            <w:r>
              <w:rPr>
                <w:rFonts w:hint="default" w:ascii="Times New Roman" w:hAnsi="Times New Roman" w:cs="Times New Roman"/>
                <w:color w:val="auto"/>
                <w:highlight w:val="none"/>
                <w:lang w:val="en-US" w:eastAsia="zh-CN"/>
              </w:rPr>
              <w:t>厂界执行《大气污染物综合排放标准》（GB 16297-1996）无组织</w:t>
            </w:r>
            <w:r>
              <w:rPr>
                <w:rFonts w:hint="eastAsia" w:ascii="Times New Roman" w:hAnsi="Times New Roman" w:cs="Times New Roman"/>
                <w:color w:val="auto"/>
                <w:highlight w:val="none"/>
                <w:lang w:val="en-US" w:eastAsia="zh-CN"/>
              </w:rPr>
              <w:t>排放</w:t>
            </w:r>
            <w:r>
              <w:rPr>
                <w:rFonts w:hint="default" w:ascii="Times New Roman" w:hAnsi="Times New Roman" w:cs="Times New Roman"/>
                <w:color w:val="auto"/>
                <w:highlight w:val="none"/>
                <w:lang w:val="en-US" w:eastAsia="zh-CN"/>
              </w:rPr>
              <w:t>监控</w:t>
            </w:r>
            <w:r>
              <w:rPr>
                <w:rFonts w:hint="eastAsia" w:ascii="Times New Roman" w:hAnsi="Times New Roman" w:cs="Times New Roman"/>
                <w:color w:val="auto"/>
                <w:highlight w:val="none"/>
                <w:lang w:val="en-US" w:eastAsia="zh-CN"/>
              </w:rPr>
              <w:t>浓度</w:t>
            </w:r>
            <w:r>
              <w:rPr>
                <w:rFonts w:hint="default" w:ascii="Times New Roman" w:hAnsi="Times New Roman" w:cs="Times New Roman"/>
                <w:color w:val="auto"/>
                <w:highlight w:val="none"/>
                <w:lang w:val="en-US" w:eastAsia="zh-CN"/>
              </w:rPr>
              <w:t>限值</w:t>
            </w:r>
            <w:r>
              <w:rPr>
                <w:rFonts w:hint="eastAsia" w:ascii="Times New Roman" w:hAnsi="Times New Roman" w:cs="Times New Roman"/>
                <w:color w:val="auto"/>
                <w:highlight w:val="none"/>
                <w:lang w:val="en-US" w:eastAsia="zh-CN"/>
              </w:rPr>
              <w:t>。</w:t>
            </w:r>
          </w:p>
          <w:p w14:paraId="5BB820A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
              </w:rPr>
              <w:t>项目废气排放具体标准值参见下表。</w:t>
            </w:r>
          </w:p>
          <w:p w14:paraId="141F64D1">
            <w:pPr>
              <w:keepNext w:val="0"/>
              <w:keepLines w:val="0"/>
              <w:widowControl/>
              <w:suppressLineNumbers w:val="0"/>
              <w:jc w:val="center"/>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表3-</w:t>
            </w:r>
            <w:r>
              <w:rPr>
                <w:rFonts w:hint="eastAsia" w:ascii="Times New Roman" w:hAnsi="Times New Roman" w:eastAsia="宋体" w:cs="Times New Roman"/>
                <w:b/>
                <w:bCs/>
                <w:color w:val="auto"/>
                <w:highlight w:val="none"/>
                <w:lang w:val="en-US" w:eastAsia="zh-CN"/>
              </w:rPr>
              <w:t>7</w:t>
            </w:r>
            <w:r>
              <w:rPr>
                <w:rFonts w:hint="default" w:ascii="Times New Roman" w:hAnsi="Times New Roman" w:eastAsia="宋体" w:cs="Times New Roman"/>
                <w:b/>
                <w:bCs/>
                <w:color w:val="auto"/>
                <w:highlight w:val="none"/>
                <w:lang w:val="en-US" w:eastAsia="zh-CN"/>
              </w:rPr>
              <w:t xml:space="preserve">    本项目废气污染物排放标准</w:t>
            </w:r>
          </w:p>
          <w:tbl>
            <w:tblPr>
              <w:tblStyle w:val="24"/>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81"/>
              <w:gridCol w:w="1263"/>
              <w:gridCol w:w="1397"/>
              <w:gridCol w:w="903"/>
              <w:gridCol w:w="2490"/>
            </w:tblGrid>
            <w:tr w14:paraId="2F1AA8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3" w:type="pct"/>
                  <w:vMerge w:val="restart"/>
                  <w:tcBorders>
                    <w:tl2br w:val="nil"/>
                    <w:tr2bl w:val="nil"/>
                  </w:tcBorders>
                  <w:noWrap w:val="0"/>
                  <w:vAlign w:val="center"/>
                </w:tcPr>
                <w:p w14:paraId="4CC1B9FD">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污染源</w:t>
                  </w:r>
                </w:p>
              </w:tc>
              <w:tc>
                <w:tcPr>
                  <w:tcW w:w="786" w:type="pct"/>
                  <w:vMerge w:val="restart"/>
                  <w:tcBorders>
                    <w:tl2br w:val="nil"/>
                    <w:tr2bl w:val="nil"/>
                  </w:tcBorders>
                  <w:noWrap w:val="0"/>
                  <w:vAlign w:val="center"/>
                </w:tcPr>
                <w:p w14:paraId="0F41703A">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污染因子</w:t>
                  </w:r>
                </w:p>
              </w:tc>
              <w:tc>
                <w:tcPr>
                  <w:tcW w:w="1431" w:type="pct"/>
                  <w:gridSpan w:val="2"/>
                  <w:tcBorders>
                    <w:tl2br w:val="nil"/>
                    <w:tr2bl w:val="nil"/>
                  </w:tcBorders>
                  <w:noWrap w:val="0"/>
                  <w:vAlign w:val="center"/>
                </w:tcPr>
                <w:p w14:paraId="5E2FF6DA">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标准值</w:t>
                  </w:r>
                </w:p>
              </w:tc>
              <w:tc>
                <w:tcPr>
                  <w:tcW w:w="1549" w:type="pct"/>
                  <w:vMerge w:val="restart"/>
                  <w:tcBorders>
                    <w:tl2br w:val="nil"/>
                    <w:tr2bl w:val="nil"/>
                  </w:tcBorders>
                  <w:noWrap w:val="0"/>
                  <w:vAlign w:val="center"/>
                </w:tcPr>
                <w:p w14:paraId="698A52CB">
                  <w:pPr>
                    <w:overflowPunct w:val="0"/>
                    <w:autoSpaceDE w:val="0"/>
                    <w:autoSpaceDN w:val="0"/>
                    <w:adjustRightInd w:val="0"/>
                    <w:snapToGrid w:val="0"/>
                    <w:jc w:val="center"/>
                    <w:rPr>
                      <w:color w:val="auto"/>
                      <w:sz w:val="18"/>
                      <w:szCs w:val="18"/>
                      <w:highlight w:val="none"/>
                    </w:rPr>
                  </w:pPr>
                  <w:r>
                    <w:rPr>
                      <w:rFonts w:hint="eastAsia"/>
                      <w:color w:val="auto"/>
                      <w:sz w:val="18"/>
                      <w:szCs w:val="18"/>
                      <w:highlight w:val="none"/>
                    </w:rPr>
                    <w:t>标准来源</w:t>
                  </w:r>
                </w:p>
              </w:tc>
            </w:tr>
            <w:tr w14:paraId="614258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3" w:type="pct"/>
                  <w:vMerge w:val="continue"/>
                  <w:tcBorders>
                    <w:tl2br w:val="nil"/>
                    <w:tr2bl w:val="nil"/>
                  </w:tcBorders>
                  <w:noWrap w:val="0"/>
                  <w:vAlign w:val="center"/>
                </w:tcPr>
                <w:p w14:paraId="73D70910">
                  <w:pPr>
                    <w:overflowPunct w:val="0"/>
                    <w:autoSpaceDE w:val="0"/>
                    <w:autoSpaceDN w:val="0"/>
                    <w:adjustRightInd w:val="0"/>
                    <w:snapToGrid w:val="0"/>
                    <w:jc w:val="center"/>
                    <w:rPr>
                      <w:rFonts w:hint="eastAsia"/>
                      <w:color w:val="auto"/>
                      <w:sz w:val="18"/>
                      <w:szCs w:val="18"/>
                      <w:highlight w:val="none"/>
                    </w:rPr>
                  </w:pPr>
                </w:p>
              </w:tc>
              <w:tc>
                <w:tcPr>
                  <w:tcW w:w="786" w:type="pct"/>
                  <w:vMerge w:val="continue"/>
                  <w:tcBorders>
                    <w:tl2br w:val="nil"/>
                    <w:tr2bl w:val="nil"/>
                  </w:tcBorders>
                  <w:noWrap w:val="0"/>
                  <w:vAlign w:val="center"/>
                </w:tcPr>
                <w:p w14:paraId="11AA924F">
                  <w:pPr>
                    <w:overflowPunct w:val="0"/>
                    <w:autoSpaceDE w:val="0"/>
                    <w:autoSpaceDN w:val="0"/>
                    <w:adjustRightInd w:val="0"/>
                    <w:snapToGrid w:val="0"/>
                    <w:jc w:val="center"/>
                    <w:rPr>
                      <w:rFonts w:hint="eastAsia"/>
                      <w:color w:val="auto"/>
                      <w:sz w:val="18"/>
                      <w:szCs w:val="18"/>
                      <w:highlight w:val="none"/>
                    </w:rPr>
                  </w:pPr>
                </w:p>
              </w:tc>
              <w:tc>
                <w:tcPr>
                  <w:tcW w:w="869" w:type="pct"/>
                  <w:tcBorders>
                    <w:tl2br w:val="nil"/>
                    <w:tr2bl w:val="nil"/>
                  </w:tcBorders>
                  <w:noWrap w:val="0"/>
                  <w:vAlign w:val="center"/>
                </w:tcPr>
                <w:p w14:paraId="3EDDF2F1">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单位</w:t>
                  </w:r>
                </w:p>
              </w:tc>
              <w:tc>
                <w:tcPr>
                  <w:tcW w:w="561" w:type="pct"/>
                  <w:tcBorders>
                    <w:tl2br w:val="nil"/>
                    <w:tr2bl w:val="nil"/>
                  </w:tcBorders>
                  <w:noWrap w:val="0"/>
                  <w:vAlign w:val="center"/>
                </w:tcPr>
                <w:p w14:paraId="4866F6E2">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数值</w:t>
                  </w:r>
                </w:p>
              </w:tc>
              <w:tc>
                <w:tcPr>
                  <w:tcW w:w="1549" w:type="pct"/>
                  <w:vMerge w:val="continue"/>
                  <w:tcBorders>
                    <w:tl2br w:val="nil"/>
                    <w:tr2bl w:val="nil"/>
                  </w:tcBorders>
                  <w:noWrap w:val="0"/>
                  <w:vAlign w:val="center"/>
                </w:tcPr>
                <w:p w14:paraId="5E65648C">
                  <w:pPr>
                    <w:overflowPunct w:val="0"/>
                    <w:autoSpaceDE w:val="0"/>
                    <w:autoSpaceDN w:val="0"/>
                    <w:adjustRightInd w:val="0"/>
                    <w:snapToGrid w:val="0"/>
                    <w:jc w:val="center"/>
                    <w:rPr>
                      <w:rFonts w:hint="eastAsia"/>
                      <w:color w:val="auto"/>
                      <w:sz w:val="18"/>
                      <w:szCs w:val="18"/>
                      <w:highlight w:val="none"/>
                    </w:rPr>
                  </w:pPr>
                </w:p>
              </w:tc>
            </w:tr>
            <w:tr w14:paraId="4ED37E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3" w:type="pct"/>
                  <w:tcBorders>
                    <w:tl2br w:val="nil"/>
                    <w:tr2bl w:val="nil"/>
                  </w:tcBorders>
                  <w:noWrap w:val="0"/>
                  <w:vAlign w:val="center"/>
                </w:tcPr>
                <w:p w14:paraId="616DD879">
                  <w:pPr>
                    <w:overflowPunct w:val="0"/>
                    <w:autoSpaceDE w:val="0"/>
                    <w:autoSpaceDN w:val="0"/>
                    <w:adjustRightInd w:val="0"/>
                    <w:snapToGrid w:val="0"/>
                    <w:jc w:val="center"/>
                    <w:rPr>
                      <w:color w:val="auto"/>
                      <w:sz w:val="18"/>
                      <w:szCs w:val="18"/>
                      <w:highlight w:val="none"/>
                    </w:rPr>
                  </w:pPr>
                  <w:r>
                    <w:rPr>
                      <w:rFonts w:hint="eastAsia"/>
                      <w:color w:val="auto"/>
                      <w:sz w:val="18"/>
                      <w:szCs w:val="18"/>
                      <w:highlight w:val="none"/>
                    </w:rPr>
                    <w:t>施工期周界外浓度最高点</w:t>
                  </w:r>
                </w:p>
              </w:tc>
              <w:tc>
                <w:tcPr>
                  <w:tcW w:w="786" w:type="pct"/>
                  <w:tcBorders>
                    <w:tl2br w:val="nil"/>
                    <w:tr2bl w:val="nil"/>
                  </w:tcBorders>
                  <w:noWrap w:val="0"/>
                  <w:vAlign w:val="center"/>
                </w:tcPr>
                <w:p w14:paraId="31D6665D">
                  <w:pPr>
                    <w:overflowPunct w:val="0"/>
                    <w:autoSpaceDE w:val="0"/>
                    <w:autoSpaceDN w:val="0"/>
                    <w:adjustRightInd w:val="0"/>
                    <w:snapToGrid w:val="0"/>
                    <w:jc w:val="center"/>
                    <w:rPr>
                      <w:color w:val="auto"/>
                      <w:sz w:val="18"/>
                      <w:szCs w:val="18"/>
                      <w:highlight w:val="none"/>
                    </w:rPr>
                  </w:pPr>
                  <w:r>
                    <w:rPr>
                      <w:rFonts w:hint="eastAsia"/>
                      <w:color w:val="auto"/>
                      <w:sz w:val="18"/>
                      <w:szCs w:val="18"/>
                      <w:highlight w:val="none"/>
                    </w:rPr>
                    <w:t>颗粒物</w:t>
                  </w:r>
                </w:p>
              </w:tc>
              <w:tc>
                <w:tcPr>
                  <w:tcW w:w="869" w:type="pct"/>
                  <w:tcBorders>
                    <w:tl2br w:val="nil"/>
                    <w:tr2bl w:val="nil"/>
                  </w:tcBorders>
                  <w:noWrap w:val="0"/>
                  <w:vAlign w:val="center"/>
                </w:tcPr>
                <w:p w14:paraId="6D7C83E9">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mg/m</w:t>
                  </w:r>
                  <w:r>
                    <w:rPr>
                      <w:rFonts w:hint="eastAsia"/>
                      <w:color w:val="auto"/>
                      <w:sz w:val="18"/>
                      <w:szCs w:val="18"/>
                      <w:highlight w:val="none"/>
                      <w:vertAlign w:val="superscript"/>
                    </w:rPr>
                    <w:t>3</w:t>
                  </w:r>
                </w:p>
              </w:tc>
              <w:tc>
                <w:tcPr>
                  <w:tcW w:w="561" w:type="pct"/>
                  <w:tcBorders>
                    <w:tl2br w:val="nil"/>
                    <w:tr2bl w:val="nil"/>
                  </w:tcBorders>
                  <w:noWrap w:val="0"/>
                  <w:vAlign w:val="center"/>
                </w:tcPr>
                <w:p w14:paraId="412D57AC">
                  <w:pPr>
                    <w:overflowPunct w:val="0"/>
                    <w:autoSpaceDE w:val="0"/>
                    <w:autoSpaceDN w:val="0"/>
                    <w:adjustRightInd w:val="0"/>
                    <w:snapToGrid w:val="0"/>
                    <w:jc w:val="center"/>
                    <w:rPr>
                      <w:color w:val="auto"/>
                      <w:sz w:val="18"/>
                      <w:szCs w:val="18"/>
                      <w:highlight w:val="none"/>
                    </w:rPr>
                  </w:pPr>
                  <w:r>
                    <w:rPr>
                      <w:rFonts w:hint="eastAsia"/>
                      <w:color w:val="auto"/>
                      <w:sz w:val="18"/>
                      <w:szCs w:val="18"/>
                      <w:highlight w:val="none"/>
                    </w:rPr>
                    <w:t>1.0</w:t>
                  </w:r>
                </w:p>
              </w:tc>
              <w:tc>
                <w:tcPr>
                  <w:tcW w:w="1549" w:type="pct"/>
                  <w:tcBorders>
                    <w:tl2br w:val="nil"/>
                    <w:tr2bl w:val="nil"/>
                  </w:tcBorders>
                  <w:noWrap w:val="0"/>
                  <w:vAlign w:val="center"/>
                </w:tcPr>
                <w:p w14:paraId="70F110BE">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《大气污染物综合排放标准》（GB16297-1996）</w:t>
                  </w:r>
                </w:p>
              </w:tc>
            </w:tr>
            <w:tr w14:paraId="464056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233" w:type="pct"/>
                  <w:vMerge w:val="restart"/>
                  <w:tcBorders>
                    <w:tl2br w:val="nil"/>
                    <w:tr2bl w:val="nil"/>
                  </w:tcBorders>
                  <w:noWrap w:val="0"/>
                  <w:vAlign w:val="center"/>
                </w:tcPr>
                <w:p w14:paraId="0572C1DD">
                  <w:pPr>
                    <w:overflowPunct w:val="0"/>
                    <w:autoSpaceDE w:val="0"/>
                    <w:autoSpaceDN w:val="0"/>
                    <w:adjustRightInd w:val="0"/>
                    <w:snapToGrid w:val="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运营期危废库外</w:t>
                  </w:r>
                </w:p>
              </w:tc>
              <w:tc>
                <w:tcPr>
                  <w:tcW w:w="786" w:type="pct"/>
                  <w:vMerge w:val="restart"/>
                  <w:tcBorders>
                    <w:tl2br w:val="nil"/>
                    <w:tr2bl w:val="nil"/>
                  </w:tcBorders>
                  <w:noWrap w:val="0"/>
                  <w:vAlign w:val="center"/>
                </w:tcPr>
                <w:p w14:paraId="2C0F72C6">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lang w:val="en-US" w:eastAsia="zh-CN"/>
                    </w:rPr>
                    <w:t>非甲烷总烃</w:t>
                  </w:r>
                </w:p>
              </w:tc>
              <w:tc>
                <w:tcPr>
                  <w:tcW w:w="869" w:type="pct"/>
                  <w:vMerge w:val="restart"/>
                  <w:tcBorders>
                    <w:tl2br w:val="nil"/>
                    <w:tr2bl w:val="nil"/>
                  </w:tcBorders>
                  <w:noWrap w:val="0"/>
                  <w:vAlign w:val="center"/>
                </w:tcPr>
                <w:p w14:paraId="56E7D77E">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mg/m</w:t>
                  </w:r>
                  <w:r>
                    <w:rPr>
                      <w:rFonts w:hint="eastAsia"/>
                      <w:color w:val="auto"/>
                      <w:sz w:val="18"/>
                      <w:szCs w:val="18"/>
                      <w:highlight w:val="none"/>
                      <w:vertAlign w:val="superscript"/>
                    </w:rPr>
                    <w:t>3</w:t>
                  </w:r>
                </w:p>
              </w:tc>
              <w:tc>
                <w:tcPr>
                  <w:tcW w:w="561" w:type="pct"/>
                  <w:tcBorders>
                    <w:tl2br w:val="nil"/>
                    <w:tr2bl w:val="nil"/>
                  </w:tcBorders>
                  <w:noWrap w:val="0"/>
                  <w:vAlign w:val="center"/>
                </w:tcPr>
                <w:p w14:paraId="786F097F">
                  <w:pPr>
                    <w:overflowPunct w:val="0"/>
                    <w:autoSpaceDE w:val="0"/>
                    <w:autoSpaceDN w:val="0"/>
                    <w:adjustRightInd w:val="0"/>
                    <w:snapToGrid w:val="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10</w:t>
                  </w:r>
                </w:p>
              </w:tc>
              <w:tc>
                <w:tcPr>
                  <w:tcW w:w="1549" w:type="pct"/>
                  <w:vMerge w:val="restart"/>
                  <w:tcBorders>
                    <w:tl2br w:val="nil"/>
                    <w:tr2bl w:val="nil"/>
                  </w:tcBorders>
                  <w:noWrap w:val="0"/>
                  <w:vAlign w:val="center"/>
                </w:tcPr>
                <w:p w14:paraId="122E2725">
                  <w:pPr>
                    <w:overflowPunct w:val="0"/>
                    <w:autoSpaceDE w:val="0"/>
                    <w:autoSpaceDN w:val="0"/>
                    <w:adjustRightInd w:val="0"/>
                    <w:snapToGrid w:val="0"/>
                    <w:jc w:val="center"/>
                    <w:rPr>
                      <w:rFonts w:hint="eastAsia"/>
                      <w:color w:val="auto"/>
                      <w:sz w:val="18"/>
                      <w:szCs w:val="18"/>
                      <w:highlight w:val="none"/>
                    </w:rPr>
                  </w:pPr>
                  <w:r>
                    <w:rPr>
                      <w:rFonts w:hint="default" w:ascii="Times New Roman" w:hAnsi="Times New Roman" w:cs="Times New Roman"/>
                      <w:color w:val="auto"/>
                      <w:sz w:val="18"/>
                      <w:szCs w:val="18"/>
                      <w:highlight w:val="none"/>
                      <w:lang w:val="en-US" w:eastAsia="zh-CN"/>
                    </w:rPr>
                    <w:t>《挥发性有机物无组织排放控制标准》（GB37822—2019）</w:t>
                  </w:r>
                </w:p>
              </w:tc>
            </w:tr>
            <w:tr w14:paraId="39FBE9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33" w:type="pct"/>
                  <w:vMerge w:val="continue"/>
                  <w:tcBorders>
                    <w:tl2br w:val="nil"/>
                    <w:tr2bl w:val="nil"/>
                  </w:tcBorders>
                  <w:noWrap w:val="0"/>
                  <w:vAlign w:val="center"/>
                </w:tcPr>
                <w:p w14:paraId="67D3EE44">
                  <w:pPr>
                    <w:overflowPunct w:val="0"/>
                    <w:autoSpaceDE w:val="0"/>
                    <w:autoSpaceDN w:val="0"/>
                    <w:adjustRightInd w:val="0"/>
                    <w:snapToGrid w:val="0"/>
                    <w:jc w:val="center"/>
                    <w:rPr>
                      <w:rFonts w:hint="eastAsia"/>
                      <w:color w:val="auto"/>
                      <w:sz w:val="18"/>
                      <w:szCs w:val="18"/>
                      <w:highlight w:val="none"/>
                      <w:lang w:val="en-US" w:eastAsia="zh-CN"/>
                    </w:rPr>
                  </w:pPr>
                </w:p>
              </w:tc>
              <w:tc>
                <w:tcPr>
                  <w:tcW w:w="786" w:type="pct"/>
                  <w:vMerge w:val="continue"/>
                  <w:tcBorders>
                    <w:tl2br w:val="nil"/>
                    <w:tr2bl w:val="nil"/>
                  </w:tcBorders>
                  <w:noWrap w:val="0"/>
                  <w:vAlign w:val="center"/>
                </w:tcPr>
                <w:p w14:paraId="3504E7A0">
                  <w:pPr>
                    <w:overflowPunct w:val="0"/>
                    <w:autoSpaceDE w:val="0"/>
                    <w:autoSpaceDN w:val="0"/>
                    <w:adjustRightInd w:val="0"/>
                    <w:snapToGrid w:val="0"/>
                    <w:jc w:val="center"/>
                    <w:rPr>
                      <w:rFonts w:hint="eastAsia"/>
                      <w:color w:val="auto"/>
                      <w:sz w:val="18"/>
                      <w:szCs w:val="18"/>
                      <w:highlight w:val="none"/>
                      <w:lang w:val="en-US" w:eastAsia="zh-CN"/>
                    </w:rPr>
                  </w:pPr>
                </w:p>
              </w:tc>
              <w:tc>
                <w:tcPr>
                  <w:tcW w:w="869" w:type="pct"/>
                  <w:vMerge w:val="continue"/>
                  <w:tcBorders>
                    <w:tl2br w:val="nil"/>
                    <w:tr2bl w:val="nil"/>
                  </w:tcBorders>
                  <w:noWrap w:val="0"/>
                  <w:vAlign w:val="center"/>
                </w:tcPr>
                <w:p w14:paraId="21722DE4">
                  <w:pPr>
                    <w:overflowPunct w:val="0"/>
                    <w:autoSpaceDE w:val="0"/>
                    <w:autoSpaceDN w:val="0"/>
                    <w:adjustRightInd w:val="0"/>
                    <w:snapToGrid w:val="0"/>
                    <w:jc w:val="center"/>
                    <w:rPr>
                      <w:rFonts w:hint="eastAsia"/>
                      <w:color w:val="auto"/>
                      <w:sz w:val="18"/>
                      <w:szCs w:val="18"/>
                      <w:highlight w:val="none"/>
                    </w:rPr>
                  </w:pPr>
                </w:p>
              </w:tc>
              <w:tc>
                <w:tcPr>
                  <w:tcW w:w="561" w:type="pct"/>
                  <w:tcBorders>
                    <w:tl2br w:val="nil"/>
                    <w:tr2bl w:val="nil"/>
                  </w:tcBorders>
                  <w:noWrap w:val="0"/>
                  <w:vAlign w:val="center"/>
                </w:tcPr>
                <w:p w14:paraId="6F819170">
                  <w:pPr>
                    <w:overflowPunct w:val="0"/>
                    <w:autoSpaceDE w:val="0"/>
                    <w:autoSpaceDN w:val="0"/>
                    <w:adjustRightInd w:val="0"/>
                    <w:snapToGrid w:val="0"/>
                    <w:jc w:val="center"/>
                    <w:rPr>
                      <w:rFonts w:hint="default"/>
                      <w:color w:val="auto"/>
                      <w:sz w:val="18"/>
                      <w:szCs w:val="18"/>
                      <w:highlight w:val="none"/>
                      <w:lang w:val="en-US" w:eastAsia="zh-CN"/>
                    </w:rPr>
                  </w:pPr>
                  <w:r>
                    <w:rPr>
                      <w:rFonts w:hint="eastAsia"/>
                      <w:color w:val="auto"/>
                      <w:sz w:val="18"/>
                      <w:szCs w:val="18"/>
                      <w:highlight w:val="none"/>
                      <w:lang w:val="en-US" w:eastAsia="zh-CN"/>
                    </w:rPr>
                    <w:t>30</w:t>
                  </w:r>
                </w:p>
              </w:tc>
              <w:tc>
                <w:tcPr>
                  <w:tcW w:w="1549" w:type="pct"/>
                  <w:vMerge w:val="continue"/>
                  <w:tcBorders>
                    <w:tl2br w:val="nil"/>
                    <w:tr2bl w:val="nil"/>
                  </w:tcBorders>
                  <w:noWrap w:val="0"/>
                  <w:vAlign w:val="center"/>
                </w:tcPr>
                <w:p w14:paraId="64814E4F">
                  <w:pPr>
                    <w:overflowPunct w:val="0"/>
                    <w:autoSpaceDE w:val="0"/>
                    <w:autoSpaceDN w:val="0"/>
                    <w:adjustRightInd w:val="0"/>
                    <w:snapToGrid w:val="0"/>
                    <w:jc w:val="center"/>
                    <w:rPr>
                      <w:rFonts w:hint="default" w:ascii="Times New Roman" w:hAnsi="Times New Roman" w:cs="Times New Roman"/>
                      <w:color w:val="auto"/>
                      <w:sz w:val="18"/>
                      <w:szCs w:val="18"/>
                      <w:highlight w:val="none"/>
                      <w:lang w:val="en-US" w:eastAsia="zh-CN"/>
                    </w:rPr>
                  </w:pPr>
                </w:p>
              </w:tc>
            </w:tr>
            <w:tr w14:paraId="51418B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3" w:type="pct"/>
                  <w:tcBorders>
                    <w:tl2br w:val="nil"/>
                    <w:tr2bl w:val="nil"/>
                  </w:tcBorders>
                  <w:noWrap w:val="0"/>
                  <w:vAlign w:val="center"/>
                </w:tcPr>
                <w:p w14:paraId="7EABFA36">
                  <w:pPr>
                    <w:overflowPunct w:val="0"/>
                    <w:autoSpaceDE w:val="0"/>
                    <w:autoSpaceDN w:val="0"/>
                    <w:adjustRightInd w:val="0"/>
                    <w:snapToGrid w:val="0"/>
                    <w:jc w:val="center"/>
                    <w:rPr>
                      <w:rFonts w:hint="default"/>
                      <w:color w:val="auto"/>
                      <w:sz w:val="18"/>
                      <w:szCs w:val="18"/>
                      <w:highlight w:val="none"/>
                      <w:lang w:val="en-US" w:eastAsia="zh-CN"/>
                    </w:rPr>
                  </w:pPr>
                  <w:r>
                    <w:rPr>
                      <w:rFonts w:hint="eastAsia"/>
                      <w:color w:val="auto"/>
                      <w:sz w:val="18"/>
                      <w:szCs w:val="18"/>
                      <w:highlight w:val="none"/>
                      <w:lang w:val="en-US" w:eastAsia="zh-CN"/>
                    </w:rPr>
                    <w:t>厂界</w:t>
                  </w:r>
                </w:p>
              </w:tc>
              <w:tc>
                <w:tcPr>
                  <w:tcW w:w="786" w:type="pct"/>
                  <w:tcBorders>
                    <w:tl2br w:val="nil"/>
                    <w:tr2bl w:val="nil"/>
                  </w:tcBorders>
                  <w:noWrap w:val="0"/>
                  <w:vAlign w:val="center"/>
                </w:tcPr>
                <w:p w14:paraId="3A034C42">
                  <w:pPr>
                    <w:overflowPunct w:val="0"/>
                    <w:autoSpaceDE w:val="0"/>
                    <w:autoSpaceDN w:val="0"/>
                    <w:adjustRightInd w:val="0"/>
                    <w:snapToGrid w:val="0"/>
                    <w:jc w:val="center"/>
                    <w:rPr>
                      <w:rFonts w:hint="eastAsia"/>
                      <w:color w:val="auto"/>
                      <w:sz w:val="18"/>
                      <w:szCs w:val="18"/>
                      <w:highlight w:val="none"/>
                      <w:lang w:val="en-US" w:eastAsia="zh-CN"/>
                    </w:rPr>
                  </w:pPr>
                  <w:r>
                    <w:rPr>
                      <w:rFonts w:hint="eastAsia"/>
                      <w:color w:val="auto"/>
                      <w:sz w:val="18"/>
                      <w:szCs w:val="18"/>
                      <w:highlight w:val="none"/>
                      <w:lang w:val="en-US" w:eastAsia="zh-CN"/>
                    </w:rPr>
                    <w:t>非甲烷总烃</w:t>
                  </w:r>
                </w:p>
              </w:tc>
              <w:tc>
                <w:tcPr>
                  <w:tcW w:w="869" w:type="pct"/>
                  <w:tcBorders>
                    <w:tl2br w:val="nil"/>
                    <w:tr2bl w:val="nil"/>
                  </w:tcBorders>
                  <w:noWrap w:val="0"/>
                  <w:vAlign w:val="center"/>
                </w:tcPr>
                <w:p w14:paraId="52BC69C4">
                  <w:pPr>
                    <w:overflowPunct w:val="0"/>
                    <w:autoSpaceDE w:val="0"/>
                    <w:autoSpaceDN w:val="0"/>
                    <w:adjustRightInd w:val="0"/>
                    <w:snapToGrid w:val="0"/>
                    <w:jc w:val="center"/>
                    <w:rPr>
                      <w:rFonts w:hint="eastAsia"/>
                      <w:color w:val="auto"/>
                      <w:sz w:val="18"/>
                      <w:szCs w:val="18"/>
                      <w:highlight w:val="none"/>
                    </w:rPr>
                  </w:pPr>
                  <w:r>
                    <w:rPr>
                      <w:rFonts w:hint="eastAsia"/>
                      <w:color w:val="auto"/>
                      <w:sz w:val="18"/>
                      <w:szCs w:val="18"/>
                      <w:highlight w:val="none"/>
                    </w:rPr>
                    <w:t>mg/m</w:t>
                  </w:r>
                  <w:r>
                    <w:rPr>
                      <w:rFonts w:hint="eastAsia"/>
                      <w:color w:val="auto"/>
                      <w:sz w:val="18"/>
                      <w:szCs w:val="18"/>
                      <w:highlight w:val="none"/>
                      <w:vertAlign w:val="superscript"/>
                    </w:rPr>
                    <w:t>3</w:t>
                  </w:r>
                </w:p>
              </w:tc>
              <w:tc>
                <w:tcPr>
                  <w:tcW w:w="561" w:type="pct"/>
                  <w:tcBorders>
                    <w:tl2br w:val="nil"/>
                    <w:tr2bl w:val="nil"/>
                  </w:tcBorders>
                  <w:noWrap w:val="0"/>
                  <w:vAlign w:val="center"/>
                </w:tcPr>
                <w:p w14:paraId="7C214D45">
                  <w:pPr>
                    <w:overflowPunct w:val="0"/>
                    <w:autoSpaceDE w:val="0"/>
                    <w:autoSpaceDN w:val="0"/>
                    <w:adjustRightInd w:val="0"/>
                    <w:snapToGrid w:val="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4.0</w:t>
                  </w:r>
                </w:p>
              </w:tc>
              <w:tc>
                <w:tcPr>
                  <w:tcW w:w="1549" w:type="pct"/>
                  <w:tcBorders>
                    <w:tl2br w:val="nil"/>
                    <w:tr2bl w:val="nil"/>
                  </w:tcBorders>
                  <w:noWrap w:val="0"/>
                  <w:vAlign w:val="center"/>
                </w:tcPr>
                <w:p w14:paraId="0A82E07F">
                  <w:pPr>
                    <w:overflowPunct w:val="0"/>
                    <w:autoSpaceDE w:val="0"/>
                    <w:autoSpaceDN w:val="0"/>
                    <w:adjustRightInd w:val="0"/>
                    <w:snapToGrid w:val="0"/>
                    <w:jc w:val="center"/>
                    <w:rPr>
                      <w:rFonts w:hint="default" w:ascii="Times New Roman" w:hAnsi="Times New Roman" w:cs="Times New Roman"/>
                      <w:color w:val="auto"/>
                      <w:sz w:val="18"/>
                      <w:szCs w:val="18"/>
                      <w:highlight w:val="none"/>
                      <w:lang w:val="en-US" w:eastAsia="zh-CN"/>
                    </w:rPr>
                  </w:pPr>
                  <w:r>
                    <w:rPr>
                      <w:rFonts w:hint="default" w:ascii="Times New Roman" w:hAnsi="Times New Roman" w:cs="Times New Roman"/>
                      <w:color w:val="auto"/>
                      <w:sz w:val="18"/>
                      <w:szCs w:val="18"/>
                      <w:highlight w:val="none"/>
                      <w:lang w:val="en-US" w:eastAsia="zh-CN"/>
                    </w:rPr>
                    <w:t>《大气污染物综合排放标准》（GB 16297-1996）</w:t>
                  </w:r>
                  <w:r>
                    <w:rPr>
                      <w:rFonts w:hint="eastAsia" w:ascii="Times New Roman" w:hAnsi="Times New Roman" w:cs="Times New Roman"/>
                      <w:color w:val="auto"/>
                      <w:sz w:val="18"/>
                      <w:szCs w:val="18"/>
                      <w:highlight w:val="none"/>
                      <w:lang w:val="en-US" w:eastAsia="zh-CN"/>
                    </w:rPr>
                    <w:t>无组织排放监控浓度限值</w:t>
                  </w:r>
                </w:p>
              </w:tc>
            </w:tr>
            <w:bookmarkEnd w:id="7"/>
          </w:tbl>
          <w:p w14:paraId="0DCFCA19">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（2）废水排放标准</w:t>
            </w:r>
          </w:p>
          <w:p w14:paraId="273B83B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kern w:val="0"/>
                <w:sz w:val="21"/>
                <w:szCs w:val="21"/>
                <w:highlight w:val="none"/>
                <w:lang w:val="en-US" w:eastAsia="zh-CN" w:bidi="ar"/>
              </w:rPr>
              <w:t>循环水站废水及火炬系统废水收集后经管道送</w:t>
            </w:r>
            <w:r>
              <w:rPr>
                <w:rFonts w:hint="eastAsia" w:ascii="Times New Roman" w:hAnsi="Times New Roman" w:cs="Times New Roman"/>
                <w:color w:val="auto"/>
                <w:szCs w:val="21"/>
                <w:highlight w:val="none"/>
                <w:u w:val="none"/>
                <w:lang w:val="en-US" w:eastAsia="zh-CN"/>
              </w:rPr>
              <w:t>中煤鄂尔多斯能源化工有限公司</w:t>
            </w:r>
            <w:r>
              <w:rPr>
                <w:rFonts w:hint="eastAsia" w:ascii="Times New Roman" w:hAnsi="Times New Roman" w:eastAsia="宋体" w:cs="Times New Roman"/>
                <w:color w:val="auto"/>
                <w:kern w:val="0"/>
                <w:sz w:val="21"/>
                <w:szCs w:val="21"/>
                <w:highlight w:val="none"/>
                <w:lang w:val="en-US" w:eastAsia="zh-CN" w:bidi="ar"/>
              </w:rPr>
              <w:t>厂区污水处理系统处理；</w:t>
            </w:r>
            <w:r>
              <w:rPr>
                <w:rFonts w:hint="default" w:ascii="Times New Roman" w:hAnsi="Times New Roman" w:eastAsia="宋体" w:cs="Times New Roman"/>
                <w:color w:val="auto"/>
                <w:kern w:val="0"/>
                <w:sz w:val="21"/>
                <w:szCs w:val="21"/>
                <w:highlight w:val="none"/>
                <w:lang w:val="en-US" w:eastAsia="zh-CN" w:bidi="ar"/>
              </w:rPr>
              <w:t>生活污水排入化粪池收集，定期由清污罐车拉运至</w:t>
            </w:r>
            <w:r>
              <w:rPr>
                <w:rFonts w:hint="eastAsia" w:ascii="Times New Roman" w:hAnsi="Times New Roman" w:eastAsia="宋体" w:cs="Times New Roman"/>
                <w:color w:val="auto"/>
                <w:kern w:val="0"/>
                <w:sz w:val="21"/>
                <w:szCs w:val="21"/>
                <w:highlight w:val="none"/>
                <w:lang w:val="en-US" w:eastAsia="zh-CN" w:bidi="ar"/>
              </w:rPr>
              <w:t>园区</w:t>
            </w:r>
            <w:r>
              <w:rPr>
                <w:rFonts w:hint="default" w:ascii="Times New Roman" w:hAnsi="Times New Roman" w:eastAsia="宋体" w:cs="Times New Roman"/>
                <w:color w:val="auto"/>
                <w:kern w:val="0"/>
                <w:sz w:val="21"/>
                <w:szCs w:val="21"/>
                <w:highlight w:val="none"/>
                <w:lang w:val="en-US" w:eastAsia="zh-CN" w:bidi="ar"/>
              </w:rPr>
              <w:t>污水处理厂处理。生活污水水质</w:t>
            </w:r>
            <w:r>
              <w:rPr>
                <w:rFonts w:hint="eastAsia" w:ascii="Times New Roman" w:hAnsi="Times New Roman" w:eastAsia="宋体" w:cs="Times New Roman"/>
                <w:color w:val="auto"/>
                <w:kern w:val="0"/>
                <w:sz w:val="21"/>
                <w:szCs w:val="21"/>
                <w:highlight w:val="none"/>
                <w:lang w:val="en-US" w:eastAsia="zh-CN" w:bidi="ar"/>
              </w:rPr>
              <w:t>满足</w:t>
            </w:r>
            <w:r>
              <w:rPr>
                <w:rFonts w:hint="default" w:ascii="Times New Roman" w:hAnsi="Times New Roman" w:eastAsia="宋体" w:cs="Times New Roman"/>
                <w:color w:val="auto"/>
                <w:kern w:val="0"/>
                <w:sz w:val="21"/>
                <w:szCs w:val="21"/>
                <w:highlight w:val="none"/>
                <w:lang w:val="en-US" w:eastAsia="zh-CN" w:bidi="ar"/>
              </w:rPr>
              <w:t>《污水排入城镇下水道水质标准》（GB/T</w:t>
            </w:r>
            <w:r>
              <w:rPr>
                <w:rFonts w:hint="eastAsia" w:ascii="Times New Roman" w:hAnsi="Times New Roman" w:eastAsia="宋体" w:cs="Times New Roman"/>
                <w:color w:val="auto"/>
                <w:kern w:val="0"/>
                <w:sz w:val="21"/>
                <w:szCs w:val="21"/>
                <w:highlight w:val="none"/>
                <w:lang w:val="en-US" w:eastAsia="zh-CN" w:bidi="ar"/>
              </w:rPr>
              <w:t xml:space="preserve"> </w:t>
            </w:r>
            <w:r>
              <w:rPr>
                <w:rFonts w:hint="default" w:ascii="Times New Roman" w:hAnsi="Times New Roman" w:eastAsia="宋体" w:cs="Times New Roman"/>
                <w:color w:val="auto"/>
                <w:kern w:val="0"/>
                <w:sz w:val="21"/>
                <w:szCs w:val="21"/>
                <w:highlight w:val="none"/>
                <w:lang w:val="en-US" w:eastAsia="zh-CN" w:bidi="ar"/>
              </w:rPr>
              <w:t>31962-2015）</w:t>
            </w:r>
            <w:r>
              <w:rPr>
                <w:rFonts w:hint="eastAsia" w:ascii="Times New Roman" w:hAnsi="Times New Roman" w:eastAsia="宋体" w:cs="Times New Roman"/>
                <w:color w:val="auto"/>
                <w:kern w:val="0"/>
                <w:sz w:val="21"/>
                <w:szCs w:val="21"/>
                <w:highlight w:val="none"/>
                <w:lang w:val="en-US" w:eastAsia="zh-CN" w:bidi="ar"/>
              </w:rPr>
              <w:t>B级限值，排入园区生活污水处理厂（根据规划环评，园区生活污水处理厂接管水质要求为</w:t>
            </w:r>
            <w:r>
              <w:rPr>
                <w:rFonts w:hint="default" w:ascii="Times New Roman" w:hAnsi="Times New Roman" w:eastAsia="宋体" w:cs="Times New Roman"/>
                <w:color w:val="auto"/>
                <w:kern w:val="0"/>
                <w:sz w:val="21"/>
                <w:szCs w:val="21"/>
                <w:highlight w:val="none"/>
                <w:lang w:val="en-US" w:eastAsia="zh-CN" w:bidi="ar"/>
              </w:rPr>
              <w:t>《污水排入城镇下水道水质标准》（GB/T3 1962-2015）</w:t>
            </w:r>
            <w:r>
              <w:rPr>
                <w:rFonts w:hint="eastAsia" w:ascii="Times New Roman" w:hAnsi="Times New Roman" w:eastAsia="宋体" w:cs="Times New Roman"/>
                <w:color w:val="auto"/>
                <w:kern w:val="0"/>
                <w:sz w:val="21"/>
                <w:szCs w:val="21"/>
                <w:highlight w:val="none"/>
                <w:lang w:val="en-US" w:eastAsia="zh-CN" w:bidi="ar"/>
              </w:rPr>
              <w:t>B级限值）。</w:t>
            </w:r>
          </w:p>
          <w:p w14:paraId="14E91EF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rPr>
            </w:pPr>
            <w:r>
              <w:rPr>
                <w:rFonts w:hint="eastAsia" w:ascii="Times New Roman" w:hAnsi="Times New Roman" w:eastAsia="宋体" w:cs="Times New Roman"/>
                <w:b w:val="0"/>
                <w:bCs w:val="0"/>
                <w:color w:val="auto"/>
                <w:sz w:val="21"/>
                <w:szCs w:val="21"/>
                <w:highlight w:val="none"/>
                <w:lang w:val="en-US" w:eastAsia="zh-CN"/>
              </w:rPr>
              <w:t>生活污水排放标准</w:t>
            </w:r>
            <w:r>
              <w:rPr>
                <w:rFonts w:hint="eastAsia" w:ascii="Times New Roman" w:hAnsi="Times New Roman" w:eastAsia="宋体" w:cs="Times New Roman"/>
                <w:b w:val="0"/>
                <w:bCs w:val="0"/>
                <w:color w:val="auto"/>
                <w:kern w:val="0"/>
                <w:sz w:val="21"/>
                <w:szCs w:val="21"/>
                <w:highlight w:val="none"/>
                <w:lang w:val="en-US" w:eastAsia="zh-CN" w:bidi="ar"/>
              </w:rPr>
              <w:t>见表3-8。</w:t>
            </w:r>
          </w:p>
          <w:p w14:paraId="05F419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cs="Times New Roman"/>
                <w:b/>
                <w:color w:val="auto"/>
                <w:sz w:val="21"/>
                <w:szCs w:val="21"/>
                <w:highlight w:val="none"/>
                <w:lang w:val="zh-CN"/>
              </w:rPr>
            </w:pPr>
            <w:r>
              <w:rPr>
                <w:rFonts w:ascii="Times New Roman" w:hAnsi="Times New Roman" w:eastAsia="宋体" w:cs="Times New Roman"/>
                <w:b/>
                <w:color w:val="auto"/>
                <w:sz w:val="21"/>
                <w:szCs w:val="21"/>
                <w:highlight w:val="none"/>
                <w:lang w:val="zh-CN"/>
              </w:rPr>
              <w:t>表</w:t>
            </w:r>
            <w:r>
              <w:rPr>
                <w:rFonts w:hint="eastAsia" w:ascii="Times New Roman" w:hAnsi="Times New Roman" w:eastAsia="宋体" w:cs="Times New Roman"/>
                <w:b/>
                <w:color w:val="auto"/>
                <w:sz w:val="21"/>
                <w:szCs w:val="21"/>
                <w:highlight w:val="none"/>
                <w:lang w:val="en-US" w:eastAsia="zh-CN"/>
              </w:rPr>
              <w:t>3-8</w:t>
            </w:r>
            <w:r>
              <w:rPr>
                <w:rFonts w:ascii="Times New Roman" w:hAnsi="Times New Roman" w:eastAsia="宋体" w:cs="Times New Roman"/>
                <w:b/>
                <w:color w:val="auto"/>
                <w:sz w:val="21"/>
                <w:szCs w:val="21"/>
                <w:highlight w:val="none"/>
                <w:lang w:val="zh-CN"/>
              </w:rPr>
              <w:t xml:space="preserve">    </w:t>
            </w:r>
            <w:r>
              <w:rPr>
                <w:rFonts w:hint="eastAsia" w:ascii="Times New Roman" w:hAnsi="Times New Roman" w:eastAsia="宋体" w:cs="Times New Roman"/>
                <w:b/>
                <w:color w:val="auto"/>
                <w:sz w:val="21"/>
                <w:szCs w:val="21"/>
                <w:highlight w:val="none"/>
                <w:lang w:val="en-US" w:eastAsia="zh-CN"/>
              </w:rPr>
              <w:t>生活污水</w:t>
            </w:r>
            <w:r>
              <w:rPr>
                <w:rFonts w:ascii="Times New Roman" w:hAnsi="Times New Roman" w:eastAsia="宋体" w:cs="Times New Roman"/>
                <w:b/>
                <w:color w:val="auto"/>
                <w:sz w:val="21"/>
                <w:szCs w:val="21"/>
                <w:highlight w:val="none"/>
                <w:lang w:val="zh-CN"/>
              </w:rPr>
              <w:t>排放标准一览表(单位：mg/L,pH除外）</w:t>
            </w:r>
          </w:p>
          <w:tbl>
            <w:tblPr>
              <w:tblStyle w:val="24"/>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3277"/>
              <w:gridCol w:w="1230"/>
              <w:gridCol w:w="2590"/>
            </w:tblGrid>
            <w:tr w14:paraId="659141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34FF7FBB">
                  <w:pPr>
                    <w:jc w:val="center"/>
                    <w:rPr>
                      <w:color w:val="auto"/>
                      <w:sz w:val="18"/>
                      <w:szCs w:val="18"/>
                      <w:highlight w:val="none"/>
                    </w:rPr>
                  </w:pPr>
                  <w:r>
                    <w:rPr>
                      <w:color w:val="auto"/>
                      <w:sz w:val="18"/>
                      <w:szCs w:val="18"/>
                      <w:highlight w:val="none"/>
                    </w:rPr>
                    <w:t>序号</w:t>
                  </w:r>
                </w:p>
              </w:tc>
              <w:tc>
                <w:tcPr>
                  <w:tcW w:w="2039" w:type="pct"/>
                  <w:tcBorders>
                    <w:tl2br w:val="nil"/>
                    <w:tr2bl w:val="nil"/>
                  </w:tcBorders>
                  <w:noWrap w:val="0"/>
                  <w:vAlign w:val="center"/>
                </w:tcPr>
                <w:p w14:paraId="36D823F7">
                  <w:pPr>
                    <w:jc w:val="center"/>
                    <w:rPr>
                      <w:color w:val="auto"/>
                      <w:sz w:val="18"/>
                      <w:szCs w:val="18"/>
                      <w:highlight w:val="none"/>
                    </w:rPr>
                  </w:pPr>
                  <w:r>
                    <w:rPr>
                      <w:color w:val="auto"/>
                      <w:sz w:val="18"/>
                      <w:szCs w:val="18"/>
                      <w:highlight w:val="none"/>
                    </w:rPr>
                    <w:t>污染物</w:t>
                  </w:r>
                </w:p>
              </w:tc>
              <w:tc>
                <w:tcPr>
                  <w:tcW w:w="765" w:type="pct"/>
                  <w:tcBorders>
                    <w:tl2br w:val="nil"/>
                    <w:tr2bl w:val="nil"/>
                  </w:tcBorders>
                  <w:noWrap w:val="0"/>
                  <w:vAlign w:val="center"/>
                </w:tcPr>
                <w:p w14:paraId="2F453881">
                  <w:pPr>
                    <w:tabs>
                      <w:tab w:val="left" w:pos="488"/>
                      <w:tab w:val="center" w:pos="824"/>
                    </w:tabs>
                    <w:jc w:val="center"/>
                    <w:rPr>
                      <w:rFonts w:hint="eastAsia"/>
                      <w:color w:val="auto"/>
                      <w:sz w:val="18"/>
                      <w:szCs w:val="18"/>
                      <w:highlight w:val="none"/>
                      <w:lang w:val="en-US" w:eastAsia="zh-CN"/>
                    </w:rPr>
                  </w:pPr>
                  <w:r>
                    <w:rPr>
                      <w:rFonts w:hint="eastAsia"/>
                      <w:color w:val="auto"/>
                      <w:sz w:val="18"/>
                      <w:szCs w:val="18"/>
                      <w:highlight w:val="none"/>
                      <w:lang w:val="en-US" w:eastAsia="zh-CN"/>
                    </w:rPr>
                    <w:t>限值</w:t>
                  </w:r>
                </w:p>
              </w:tc>
              <w:tc>
                <w:tcPr>
                  <w:tcW w:w="1611" w:type="pct"/>
                  <w:tcBorders>
                    <w:tl2br w:val="nil"/>
                    <w:tr2bl w:val="nil"/>
                  </w:tcBorders>
                  <w:noWrap w:val="0"/>
                  <w:vAlign w:val="center"/>
                </w:tcPr>
                <w:p w14:paraId="27F2FDB7">
                  <w:pPr>
                    <w:tabs>
                      <w:tab w:val="left" w:pos="488"/>
                      <w:tab w:val="center" w:pos="824"/>
                    </w:tabs>
                    <w:jc w:val="center"/>
                    <w:rPr>
                      <w:rFonts w:hint="eastAsia"/>
                      <w:color w:val="auto"/>
                      <w:sz w:val="18"/>
                      <w:szCs w:val="18"/>
                      <w:highlight w:val="none"/>
                      <w:lang w:val="en-US" w:eastAsia="zh-CN"/>
                    </w:rPr>
                  </w:pPr>
                  <w:r>
                    <w:rPr>
                      <w:color w:val="auto"/>
                      <w:sz w:val="18"/>
                      <w:szCs w:val="18"/>
                      <w:highlight w:val="none"/>
                    </w:rPr>
                    <w:t>标准来源</w:t>
                  </w:r>
                </w:p>
              </w:tc>
            </w:tr>
            <w:tr w14:paraId="7AC5E3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6EB0EDC9">
                  <w:pPr>
                    <w:jc w:val="center"/>
                    <w:rPr>
                      <w:color w:val="auto"/>
                      <w:sz w:val="18"/>
                      <w:szCs w:val="18"/>
                      <w:highlight w:val="none"/>
                    </w:rPr>
                  </w:pPr>
                  <w:r>
                    <w:rPr>
                      <w:color w:val="auto"/>
                      <w:sz w:val="18"/>
                      <w:szCs w:val="18"/>
                      <w:highlight w:val="none"/>
                    </w:rPr>
                    <w:t>1</w:t>
                  </w:r>
                </w:p>
              </w:tc>
              <w:tc>
                <w:tcPr>
                  <w:tcW w:w="2039" w:type="pct"/>
                  <w:tcBorders>
                    <w:tl2br w:val="nil"/>
                    <w:tr2bl w:val="nil"/>
                  </w:tcBorders>
                  <w:noWrap w:val="0"/>
                  <w:vAlign w:val="center"/>
                </w:tcPr>
                <w:p w14:paraId="190F64A8">
                  <w:pPr>
                    <w:jc w:val="center"/>
                    <w:rPr>
                      <w:color w:val="auto"/>
                      <w:sz w:val="18"/>
                      <w:szCs w:val="18"/>
                      <w:highlight w:val="none"/>
                    </w:rPr>
                  </w:pPr>
                  <w:r>
                    <w:rPr>
                      <w:color w:val="auto"/>
                      <w:sz w:val="18"/>
                      <w:szCs w:val="18"/>
                      <w:highlight w:val="none"/>
                    </w:rPr>
                    <w:t>pH</w:t>
                  </w:r>
                </w:p>
              </w:tc>
              <w:tc>
                <w:tcPr>
                  <w:tcW w:w="765" w:type="pct"/>
                  <w:tcBorders>
                    <w:tl2br w:val="nil"/>
                    <w:tr2bl w:val="nil"/>
                  </w:tcBorders>
                  <w:noWrap w:val="0"/>
                  <w:vAlign w:val="center"/>
                </w:tcPr>
                <w:p w14:paraId="212A6C12">
                  <w:pPr>
                    <w:jc w:val="center"/>
                    <w:rPr>
                      <w:rFonts w:hint="default"/>
                      <w:color w:val="auto"/>
                      <w:sz w:val="18"/>
                      <w:szCs w:val="18"/>
                      <w:highlight w:val="none"/>
                      <w:lang w:val="en-US" w:eastAsia="zh-CN"/>
                    </w:rPr>
                  </w:pPr>
                  <w:r>
                    <w:rPr>
                      <w:rFonts w:hint="eastAsia"/>
                      <w:color w:val="auto"/>
                      <w:sz w:val="18"/>
                      <w:szCs w:val="18"/>
                      <w:highlight w:val="none"/>
                      <w:lang w:val="en-US" w:eastAsia="zh-CN"/>
                    </w:rPr>
                    <w:t>6.5-9.5</w:t>
                  </w:r>
                </w:p>
              </w:tc>
              <w:tc>
                <w:tcPr>
                  <w:tcW w:w="1611" w:type="pct"/>
                  <w:vMerge w:val="restart"/>
                  <w:tcBorders>
                    <w:tl2br w:val="nil"/>
                    <w:tr2bl w:val="nil"/>
                  </w:tcBorders>
                  <w:noWrap w:val="0"/>
                  <w:vAlign w:val="center"/>
                </w:tcPr>
                <w:p w14:paraId="7C79A268">
                  <w:pPr>
                    <w:jc w:val="center"/>
                    <w:rPr>
                      <w:color w:val="auto"/>
                      <w:sz w:val="18"/>
                      <w:szCs w:val="18"/>
                      <w:highlight w:val="none"/>
                    </w:rPr>
                  </w:pPr>
                  <w:r>
                    <w:rPr>
                      <w:rFonts w:hint="default" w:ascii="Times New Roman" w:hAnsi="Times New Roman" w:eastAsia="宋体" w:cs="Times New Roman"/>
                      <w:color w:val="auto"/>
                      <w:kern w:val="0"/>
                      <w:sz w:val="18"/>
                      <w:szCs w:val="18"/>
                      <w:highlight w:val="none"/>
                      <w:lang w:val="en-US" w:eastAsia="zh-CN" w:bidi="ar"/>
                    </w:rPr>
                    <w:t>《污水排入城镇下水道水质标准》（GB/T3 1962-2015）</w:t>
                  </w:r>
                  <w:r>
                    <w:rPr>
                      <w:rFonts w:hint="eastAsia" w:ascii="Times New Roman" w:hAnsi="Times New Roman" w:eastAsia="宋体" w:cs="Times New Roman"/>
                      <w:color w:val="auto"/>
                      <w:kern w:val="0"/>
                      <w:sz w:val="18"/>
                      <w:szCs w:val="18"/>
                      <w:highlight w:val="none"/>
                      <w:lang w:val="en-US" w:eastAsia="zh-CN" w:bidi="ar"/>
                    </w:rPr>
                    <w:t>B级限值</w:t>
                  </w:r>
                </w:p>
              </w:tc>
            </w:tr>
            <w:tr w14:paraId="06BF24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2192D8D1">
                  <w:pPr>
                    <w:jc w:val="center"/>
                    <w:rPr>
                      <w:color w:val="auto"/>
                      <w:sz w:val="18"/>
                      <w:szCs w:val="18"/>
                      <w:highlight w:val="none"/>
                    </w:rPr>
                  </w:pPr>
                  <w:r>
                    <w:rPr>
                      <w:color w:val="auto"/>
                      <w:sz w:val="18"/>
                      <w:szCs w:val="18"/>
                      <w:highlight w:val="none"/>
                    </w:rPr>
                    <w:t>2</w:t>
                  </w:r>
                </w:p>
              </w:tc>
              <w:tc>
                <w:tcPr>
                  <w:tcW w:w="2039" w:type="pct"/>
                  <w:tcBorders>
                    <w:tl2br w:val="nil"/>
                    <w:tr2bl w:val="nil"/>
                  </w:tcBorders>
                  <w:noWrap w:val="0"/>
                  <w:vAlign w:val="center"/>
                </w:tcPr>
                <w:p w14:paraId="0CDE9057">
                  <w:pPr>
                    <w:jc w:val="center"/>
                    <w:rPr>
                      <w:color w:val="auto"/>
                      <w:sz w:val="18"/>
                      <w:szCs w:val="18"/>
                      <w:highlight w:val="none"/>
                    </w:rPr>
                  </w:pPr>
                  <w:r>
                    <w:rPr>
                      <w:color w:val="auto"/>
                      <w:sz w:val="18"/>
                      <w:szCs w:val="18"/>
                      <w:highlight w:val="none"/>
                    </w:rPr>
                    <w:t>悬浮物</w:t>
                  </w:r>
                </w:p>
              </w:tc>
              <w:tc>
                <w:tcPr>
                  <w:tcW w:w="765" w:type="pct"/>
                  <w:tcBorders>
                    <w:tl2br w:val="nil"/>
                    <w:tr2bl w:val="nil"/>
                  </w:tcBorders>
                  <w:noWrap w:val="0"/>
                  <w:vAlign w:val="center"/>
                </w:tcPr>
                <w:p w14:paraId="70A227D0">
                  <w:pPr>
                    <w:jc w:val="center"/>
                    <w:rPr>
                      <w:rFonts w:hint="default"/>
                      <w:color w:val="auto"/>
                      <w:sz w:val="18"/>
                      <w:szCs w:val="18"/>
                      <w:highlight w:val="none"/>
                      <w:lang w:val="en-US" w:eastAsia="zh-CN"/>
                    </w:rPr>
                  </w:pPr>
                  <w:r>
                    <w:rPr>
                      <w:rFonts w:hint="eastAsia"/>
                      <w:color w:val="auto"/>
                      <w:sz w:val="18"/>
                      <w:szCs w:val="18"/>
                      <w:highlight w:val="none"/>
                      <w:lang w:val="en-US" w:eastAsia="zh-CN"/>
                    </w:rPr>
                    <w:t>400</w:t>
                  </w:r>
                </w:p>
              </w:tc>
              <w:tc>
                <w:tcPr>
                  <w:tcW w:w="1611" w:type="pct"/>
                  <w:vMerge w:val="continue"/>
                  <w:tcBorders>
                    <w:tl2br w:val="nil"/>
                    <w:tr2bl w:val="nil"/>
                  </w:tcBorders>
                  <w:noWrap w:val="0"/>
                  <w:vAlign w:val="center"/>
                </w:tcPr>
                <w:p w14:paraId="01674044">
                  <w:pPr>
                    <w:ind w:firstLine="826" w:firstLineChars="459"/>
                    <w:rPr>
                      <w:rFonts w:hint="eastAsia"/>
                      <w:color w:val="auto"/>
                      <w:sz w:val="18"/>
                      <w:szCs w:val="18"/>
                      <w:highlight w:val="none"/>
                      <w:lang w:val="en-US" w:eastAsia="zh-CN"/>
                    </w:rPr>
                  </w:pPr>
                </w:p>
              </w:tc>
            </w:tr>
            <w:tr w14:paraId="59933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3F741BB6">
                  <w:pPr>
                    <w:jc w:val="center"/>
                    <w:rPr>
                      <w:color w:val="auto"/>
                      <w:sz w:val="18"/>
                      <w:szCs w:val="18"/>
                      <w:highlight w:val="none"/>
                    </w:rPr>
                  </w:pPr>
                  <w:r>
                    <w:rPr>
                      <w:color w:val="auto"/>
                      <w:sz w:val="18"/>
                      <w:szCs w:val="18"/>
                      <w:highlight w:val="none"/>
                    </w:rPr>
                    <w:t>3</w:t>
                  </w:r>
                </w:p>
              </w:tc>
              <w:tc>
                <w:tcPr>
                  <w:tcW w:w="2039" w:type="pct"/>
                  <w:tcBorders>
                    <w:tl2br w:val="nil"/>
                    <w:tr2bl w:val="nil"/>
                  </w:tcBorders>
                  <w:noWrap w:val="0"/>
                  <w:vAlign w:val="center"/>
                </w:tcPr>
                <w:p w14:paraId="305FFA1A">
                  <w:pPr>
                    <w:jc w:val="center"/>
                    <w:rPr>
                      <w:color w:val="auto"/>
                      <w:sz w:val="18"/>
                      <w:szCs w:val="18"/>
                      <w:highlight w:val="none"/>
                    </w:rPr>
                  </w:pPr>
                  <w:r>
                    <w:rPr>
                      <w:color w:val="auto"/>
                      <w:sz w:val="18"/>
                      <w:szCs w:val="18"/>
                      <w:highlight w:val="none"/>
                    </w:rPr>
                    <w:t>COD</w:t>
                  </w:r>
                </w:p>
              </w:tc>
              <w:tc>
                <w:tcPr>
                  <w:tcW w:w="765" w:type="pct"/>
                  <w:tcBorders>
                    <w:tl2br w:val="nil"/>
                    <w:tr2bl w:val="nil"/>
                  </w:tcBorders>
                  <w:noWrap w:val="0"/>
                  <w:vAlign w:val="center"/>
                </w:tcPr>
                <w:p w14:paraId="0D40B8BF">
                  <w:pPr>
                    <w:jc w:val="center"/>
                    <w:rPr>
                      <w:rFonts w:hint="default"/>
                      <w:color w:val="auto"/>
                      <w:sz w:val="18"/>
                      <w:szCs w:val="18"/>
                      <w:highlight w:val="none"/>
                      <w:lang w:val="en-US" w:eastAsia="zh-CN"/>
                    </w:rPr>
                  </w:pPr>
                  <w:r>
                    <w:rPr>
                      <w:rFonts w:hint="eastAsia"/>
                      <w:color w:val="auto"/>
                      <w:sz w:val="18"/>
                      <w:szCs w:val="18"/>
                      <w:highlight w:val="none"/>
                      <w:lang w:val="en-US" w:eastAsia="zh-CN"/>
                    </w:rPr>
                    <w:t>500</w:t>
                  </w:r>
                </w:p>
              </w:tc>
              <w:tc>
                <w:tcPr>
                  <w:tcW w:w="1611" w:type="pct"/>
                  <w:vMerge w:val="continue"/>
                  <w:tcBorders>
                    <w:tl2br w:val="nil"/>
                    <w:tr2bl w:val="nil"/>
                  </w:tcBorders>
                  <w:noWrap w:val="0"/>
                  <w:vAlign w:val="center"/>
                </w:tcPr>
                <w:p w14:paraId="2A561083">
                  <w:pPr>
                    <w:jc w:val="center"/>
                    <w:rPr>
                      <w:color w:val="auto"/>
                      <w:sz w:val="18"/>
                      <w:szCs w:val="18"/>
                      <w:highlight w:val="none"/>
                    </w:rPr>
                  </w:pPr>
                </w:p>
              </w:tc>
            </w:tr>
            <w:tr w14:paraId="178AEF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1FFAD1A0">
                  <w:pPr>
                    <w:jc w:val="center"/>
                    <w:rPr>
                      <w:color w:val="auto"/>
                      <w:sz w:val="18"/>
                      <w:szCs w:val="18"/>
                      <w:highlight w:val="none"/>
                    </w:rPr>
                  </w:pPr>
                  <w:r>
                    <w:rPr>
                      <w:color w:val="auto"/>
                      <w:sz w:val="18"/>
                      <w:szCs w:val="18"/>
                      <w:highlight w:val="none"/>
                    </w:rPr>
                    <w:t>4</w:t>
                  </w:r>
                </w:p>
              </w:tc>
              <w:tc>
                <w:tcPr>
                  <w:tcW w:w="2039" w:type="pct"/>
                  <w:tcBorders>
                    <w:tl2br w:val="nil"/>
                    <w:tr2bl w:val="nil"/>
                  </w:tcBorders>
                  <w:noWrap w:val="0"/>
                  <w:vAlign w:val="center"/>
                </w:tcPr>
                <w:p w14:paraId="1D60D90B">
                  <w:pPr>
                    <w:jc w:val="center"/>
                    <w:rPr>
                      <w:color w:val="auto"/>
                      <w:sz w:val="18"/>
                      <w:szCs w:val="18"/>
                      <w:highlight w:val="none"/>
                    </w:rPr>
                  </w:pPr>
                  <w:r>
                    <w:rPr>
                      <w:color w:val="auto"/>
                      <w:sz w:val="18"/>
                      <w:szCs w:val="18"/>
                      <w:highlight w:val="none"/>
                    </w:rPr>
                    <w:t>BOD</w:t>
                  </w:r>
                  <w:r>
                    <w:rPr>
                      <w:color w:val="auto"/>
                      <w:sz w:val="18"/>
                      <w:szCs w:val="18"/>
                      <w:highlight w:val="none"/>
                      <w:vertAlign w:val="subscript"/>
                    </w:rPr>
                    <w:t>5</w:t>
                  </w:r>
                </w:p>
              </w:tc>
              <w:tc>
                <w:tcPr>
                  <w:tcW w:w="765" w:type="pct"/>
                  <w:tcBorders>
                    <w:tl2br w:val="nil"/>
                    <w:tr2bl w:val="nil"/>
                  </w:tcBorders>
                  <w:noWrap w:val="0"/>
                  <w:vAlign w:val="center"/>
                </w:tcPr>
                <w:p w14:paraId="06B5D454">
                  <w:pPr>
                    <w:jc w:val="center"/>
                    <w:rPr>
                      <w:rFonts w:hint="default"/>
                      <w:color w:val="auto"/>
                      <w:sz w:val="18"/>
                      <w:szCs w:val="18"/>
                      <w:highlight w:val="none"/>
                      <w:lang w:val="en-US" w:eastAsia="zh-CN"/>
                    </w:rPr>
                  </w:pPr>
                  <w:r>
                    <w:rPr>
                      <w:rFonts w:hint="eastAsia"/>
                      <w:color w:val="auto"/>
                      <w:sz w:val="18"/>
                      <w:szCs w:val="18"/>
                      <w:highlight w:val="none"/>
                      <w:lang w:val="en-US" w:eastAsia="zh-CN"/>
                    </w:rPr>
                    <w:t>350</w:t>
                  </w:r>
                </w:p>
              </w:tc>
              <w:tc>
                <w:tcPr>
                  <w:tcW w:w="1611" w:type="pct"/>
                  <w:vMerge w:val="continue"/>
                  <w:tcBorders>
                    <w:tl2br w:val="nil"/>
                    <w:tr2bl w:val="nil"/>
                  </w:tcBorders>
                  <w:noWrap w:val="0"/>
                  <w:vAlign w:val="center"/>
                </w:tcPr>
                <w:p w14:paraId="0B94D243">
                  <w:pPr>
                    <w:jc w:val="center"/>
                    <w:rPr>
                      <w:color w:val="auto"/>
                      <w:sz w:val="18"/>
                      <w:szCs w:val="18"/>
                      <w:highlight w:val="none"/>
                    </w:rPr>
                  </w:pPr>
                </w:p>
              </w:tc>
            </w:tr>
            <w:tr w14:paraId="032EA6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3591F0CB">
                  <w:pPr>
                    <w:jc w:val="center"/>
                    <w:rPr>
                      <w:color w:val="auto"/>
                      <w:sz w:val="18"/>
                      <w:szCs w:val="18"/>
                      <w:highlight w:val="none"/>
                    </w:rPr>
                  </w:pPr>
                  <w:r>
                    <w:rPr>
                      <w:color w:val="auto"/>
                      <w:sz w:val="18"/>
                      <w:szCs w:val="18"/>
                      <w:highlight w:val="none"/>
                    </w:rPr>
                    <w:t>5</w:t>
                  </w:r>
                </w:p>
              </w:tc>
              <w:tc>
                <w:tcPr>
                  <w:tcW w:w="2039" w:type="pct"/>
                  <w:tcBorders>
                    <w:tl2br w:val="nil"/>
                    <w:tr2bl w:val="nil"/>
                  </w:tcBorders>
                  <w:noWrap w:val="0"/>
                  <w:vAlign w:val="center"/>
                </w:tcPr>
                <w:p w14:paraId="1BAB9A8C">
                  <w:pPr>
                    <w:jc w:val="center"/>
                    <w:rPr>
                      <w:color w:val="auto"/>
                      <w:sz w:val="18"/>
                      <w:szCs w:val="18"/>
                      <w:highlight w:val="none"/>
                    </w:rPr>
                  </w:pPr>
                  <w:r>
                    <w:rPr>
                      <w:color w:val="auto"/>
                      <w:sz w:val="18"/>
                      <w:szCs w:val="18"/>
                      <w:highlight w:val="none"/>
                    </w:rPr>
                    <w:t>氨氮</w:t>
                  </w:r>
                  <w:r>
                    <w:rPr>
                      <w:rFonts w:hint="eastAsia"/>
                      <w:color w:val="auto"/>
                      <w:sz w:val="18"/>
                      <w:szCs w:val="18"/>
                      <w:highlight w:val="none"/>
                      <w:lang w:val="en-US" w:eastAsia="zh-CN"/>
                    </w:rPr>
                    <w:t>以N计）</w:t>
                  </w:r>
                </w:p>
              </w:tc>
              <w:tc>
                <w:tcPr>
                  <w:tcW w:w="765" w:type="pct"/>
                  <w:tcBorders>
                    <w:tl2br w:val="nil"/>
                    <w:tr2bl w:val="nil"/>
                  </w:tcBorders>
                  <w:noWrap w:val="0"/>
                  <w:vAlign w:val="center"/>
                </w:tcPr>
                <w:p w14:paraId="68F48F4B">
                  <w:pPr>
                    <w:jc w:val="center"/>
                    <w:rPr>
                      <w:rFonts w:hint="default"/>
                      <w:color w:val="auto"/>
                      <w:sz w:val="18"/>
                      <w:szCs w:val="18"/>
                      <w:highlight w:val="none"/>
                      <w:lang w:val="en-US" w:eastAsia="zh-CN"/>
                    </w:rPr>
                  </w:pPr>
                  <w:r>
                    <w:rPr>
                      <w:rFonts w:hint="eastAsia"/>
                      <w:color w:val="auto"/>
                      <w:sz w:val="18"/>
                      <w:szCs w:val="18"/>
                      <w:highlight w:val="none"/>
                      <w:lang w:val="en-US" w:eastAsia="zh-CN"/>
                    </w:rPr>
                    <w:t>45</w:t>
                  </w:r>
                </w:p>
              </w:tc>
              <w:tc>
                <w:tcPr>
                  <w:tcW w:w="1611" w:type="pct"/>
                  <w:vMerge w:val="continue"/>
                  <w:tcBorders>
                    <w:tl2br w:val="nil"/>
                    <w:tr2bl w:val="nil"/>
                  </w:tcBorders>
                  <w:noWrap w:val="0"/>
                  <w:vAlign w:val="center"/>
                </w:tcPr>
                <w:p w14:paraId="19B48ACA">
                  <w:pPr>
                    <w:jc w:val="center"/>
                    <w:rPr>
                      <w:color w:val="auto"/>
                      <w:sz w:val="18"/>
                      <w:szCs w:val="18"/>
                      <w:highlight w:val="none"/>
                    </w:rPr>
                  </w:pPr>
                </w:p>
              </w:tc>
            </w:tr>
            <w:tr w14:paraId="750C11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240B1995">
                  <w:pPr>
                    <w:jc w:val="center"/>
                    <w:rPr>
                      <w:color w:val="auto"/>
                      <w:sz w:val="18"/>
                      <w:szCs w:val="18"/>
                      <w:highlight w:val="none"/>
                    </w:rPr>
                  </w:pPr>
                  <w:r>
                    <w:rPr>
                      <w:color w:val="auto"/>
                      <w:sz w:val="18"/>
                      <w:szCs w:val="18"/>
                      <w:highlight w:val="none"/>
                    </w:rPr>
                    <w:t>6</w:t>
                  </w:r>
                </w:p>
              </w:tc>
              <w:tc>
                <w:tcPr>
                  <w:tcW w:w="2039" w:type="pct"/>
                  <w:tcBorders>
                    <w:tl2br w:val="nil"/>
                    <w:tr2bl w:val="nil"/>
                  </w:tcBorders>
                  <w:noWrap w:val="0"/>
                  <w:vAlign w:val="center"/>
                </w:tcPr>
                <w:p w14:paraId="7BC66C50">
                  <w:pP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总氮（以N计）</w:t>
                  </w:r>
                </w:p>
              </w:tc>
              <w:tc>
                <w:tcPr>
                  <w:tcW w:w="765" w:type="pct"/>
                  <w:tcBorders>
                    <w:tl2br w:val="nil"/>
                    <w:tr2bl w:val="nil"/>
                  </w:tcBorders>
                  <w:noWrap w:val="0"/>
                  <w:vAlign w:val="center"/>
                </w:tcPr>
                <w:p w14:paraId="1E55579C">
                  <w:pPr>
                    <w:jc w:val="center"/>
                    <w:rPr>
                      <w:rFonts w:hint="default"/>
                      <w:color w:val="auto"/>
                      <w:sz w:val="18"/>
                      <w:szCs w:val="18"/>
                      <w:highlight w:val="none"/>
                      <w:lang w:val="en-US" w:eastAsia="zh-CN"/>
                    </w:rPr>
                  </w:pPr>
                  <w:r>
                    <w:rPr>
                      <w:rFonts w:hint="eastAsia"/>
                      <w:color w:val="auto"/>
                      <w:sz w:val="18"/>
                      <w:szCs w:val="18"/>
                      <w:highlight w:val="none"/>
                      <w:lang w:val="en-US" w:eastAsia="zh-CN"/>
                    </w:rPr>
                    <w:t>70</w:t>
                  </w:r>
                </w:p>
              </w:tc>
              <w:tc>
                <w:tcPr>
                  <w:tcW w:w="1611" w:type="pct"/>
                  <w:vMerge w:val="continue"/>
                  <w:tcBorders>
                    <w:tl2br w:val="nil"/>
                    <w:tr2bl w:val="nil"/>
                  </w:tcBorders>
                  <w:noWrap w:val="0"/>
                  <w:vAlign w:val="center"/>
                </w:tcPr>
                <w:p w14:paraId="6B1F1BB9">
                  <w:pPr>
                    <w:jc w:val="center"/>
                    <w:rPr>
                      <w:color w:val="auto"/>
                      <w:sz w:val="18"/>
                      <w:szCs w:val="18"/>
                      <w:highlight w:val="none"/>
                    </w:rPr>
                  </w:pPr>
                </w:p>
              </w:tc>
            </w:tr>
            <w:tr w14:paraId="43F17E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3" w:type="pct"/>
                  <w:tcBorders>
                    <w:tl2br w:val="nil"/>
                    <w:tr2bl w:val="nil"/>
                  </w:tcBorders>
                  <w:noWrap w:val="0"/>
                  <w:vAlign w:val="center"/>
                </w:tcPr>
                <w:p w14:paraId="00076C51">
                  <w:pPr>
                    <w:jc w:val="center"/>
                    <w:rPr>
                      <w:color w:val="auto"/>
                      <w:sz w:val="18"/>
                      <w:szCs w:val="18"/>
                      <w:highlight w:val="none"/>
                    </w:rPr>
                  </w:pPr>
                </w:p>
              </w:tc>
              <w:tc>
                <w:tcPr>
                  <w:tcW w:w="2039" w:type="pct"/>
                  <w:tcBorders>
                    <w:tl2br w:val="nil"/>
                    <w:tr2bl w:val="nil"/>
                  </w:tcBorders>
                  <w:noWrap w:val="0"/>
                  <w:vAlign w:val="center"/>
                </w:tcPr>
                <w:p w14:paraId="23DD8769">
                  <w:pPr>
                    <w:jc w:val="center"/>
                    <w:rPr>
                      <w:rFonts w:hint="default"/>
                      <w:color w:val="auto"/>
                      <w:sz w:val="18"/>
                      <w:szCs w:val="18"/>
                      <w:highlight w:val="none"/>
                      <w:lang w:val="en-US" w:eastAsia="zh-CN"/>
                    </w:rPr>
                  </w:pPr>
                  <w:r>
                    <w:rPr>
                      <w:rFonts w:hint="eastAsia"/>
                      <w:color w:val="auto"/>
                      <w:sz w:val="18"/>
                      <w:szCs w:val="18"/>
                      <w:highlight w:val="none"/>
                      <w:lang w:val="en-US" w:eastAsia="zh-CN"/>
                    </w:rPr>
                    <w:t>动植物油</w:t>
                  </w:r>
                </w:p>
              </w:tc>
              <w:tc>
                <w:tcPr>
                  <w:tcW w:w="765" w:type="pct"/>
                  <w:tcBorders>
                    <w:tl2br w:val="nil"/>
                    <w:tr2bl w:val="nil"/>
                  </w:tcBorders>
                  <w:noWrap w:val="0"/>
                  <w:vAlign w:val="center"/>
                </w:tcPr>
                <w:p w14:paraId="3F048F9B">
                  <w:pPr>
                    <w:jc w:val="center"/>
                    <w:rPr>
                      <w:rFonts w:hint="default"/>
                      <w:color w:val="auto"/>
                      <w:sz w:val="18"/>
                      <w:szCs w:val="18"/>
                      <w:highlight w:val="none"/>
                      <w:lang w:val="en-US" w:eastAsia="zh-CN"/>
                    </w:rPr>
                  </w:pPr>
                  <w:r>
                    <w:rPr>
                      <w:rFonts w:hint="eastAsia"/>
                      <w:color w:val="auto"/>
                      <w:sz w:val="18"/>
                      <w:szCs w:val="18"/>
                      <w:highlight w:val="none"/>
                      <w:lang w:val="en-US" w:eastAsia="zh-CN"/>
                    </w:rPr>
                    <w:t>100</w:t>
                  </w:r>
                </w:p>
              </w:tc>
              <w:tc>
                <w:tcPr>
                  <w:tcW w:w="1611" w:type="pct"/>
                  <w:vMerge w:val="continue"/>
                  <w:tcBorders>
                    <w:tl2br w:val="nil"/>
                    <w:tr2bl w:val="nil"/>
                  </w:tcBorders>
                  <w:noWrap w:val="0"/>
                  <w:vAlign w:val="center"/>
                </w:tcPr>
                <w:p w14:paraId="2B0A4BD6">
                  <w:pPr>
                    <w:jc w:val="center"/>
                    <w:rPr>
                      <w:color w:val="auto"/>
                      <w:sz w:val="18"/>
                      <w:szCs w:val="18"/>
                      <w:highlight w:val="none"/>
                    </w:rPr>
                  </w:pPr>
                </w:p>
              </w:tc>
            </w:tr>
          </w:tbl>
          <w:p w14:paraId="4A30D03D">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textAlignment w:val="auto"/>
              <w:rPr>
                <w:b w:val="0"/>
                <w:bCs w:val="0"/>
                <w:color w:val="auto"/>
                <w:sz w:val="21"/>
                <w:szCs w:val="21"/>
                <w:highlight w:val="none"/>
              </w:rPr>
            </w:pPr>
            <w:r>
              <w:rPr>
                <w:rFonts w:hint="eastAsia"/>
                <w:b w:val="0"/>
                <w:bCs w:val="0"/>
                <w:color w:val="auto"/>
                <w:sz w:val="21"/>
                <w:szCs w:val="21"/>
                <w:highlight w:val="none"/>
                <w:lang w:val="en-US" w:eastAsia="zh-CN"/>
              </w:rPr>
              <w:t>（3）</w:t>
            </w:r>
            <w:r>
              <w:rPr>
                <w:b w:val="0"/>
                <w:bCs w:val="0"/>
                <w:color w:val="auto"/>
                <w:sz w:val="21"/>
                <w:szCs w:val="21"/>
                <w:highlight w:val="none"/>
              </w:rPr>
              <w:t>噪声排放标准</w:t>
            </w:r>
          </w:p>
          <w:p w14:paraId="6C8452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 w:val="21"/>
                <w:szCs w:val="21"/>
                <w:highlight w:val="none"/>
              </w:rPr>
            </w:pPr>
            <w:r>
              <w:rPr>
                <w:rFonts w:hint="eastAsia"/>
                <w:color w:val="auto"/>
                <w:sz w:val="21"/>
                <w:szCs w:val="21"/>
                <w:highlight w:val="none"/>
              </w:rPr>
              <w:t>运营期</w:t>
            </w:r>
            <w:r>
              <w:rPr>
                <w:color w:val="auto"/>
                <w:sz w:val="21"/>
                <w:szCs w:val="21"/>
                <w:highlight w:val="none"/>
              </w:rPr>
              <w:t>厂界噪声执行《工业企业厂界环境噪声排放标准》（GB12348-2008）</w:t>
            </w:r>
            <w:r>
              <w:rPr>
                <w:rFonts w:hint="eastAsia"/>
                <w:color w:val="auto"/>
                <w:sz w:val="21"/>
                <w:szCs w:val="21"/>
                <w:highlight w:val="none"/>
                <w:lang w:val="en-US" w:eastAsia="zh-CN"/>
              </w:rPr>
              <w:t>3</w:t>
            </w:r>
            <w:r>
              <w:rPr>
                <w:color w:val="auto"/>
                <w:sz w:val="21"/>
                <w:szCs w:val="21"/>
                <w:highlight w:val="none"/>
              </w:rPr>
              <w:t>类标准，</w:t>
            </w:r>
            <w:r>
              <w:rPr>
                <w:rFonts w:hint="eastAsia"/>
                <w:color w:val="auto"/>
                <w:sz w:val="21"/>
                <w:szCs w:val="21"/>
                <w:highlight w:val="none"/>
              </w:rPr>
              <w:t>施工期</w:t>
            </w:r>
            <w:r>
              <w:rPr>
                <w:color w:val="auto"/>
                <w:sz w:val="21"/>
                <w:szCs w:val="21"/>
                <w:highlight w:val="none"/>
              </w:rPr>
              <w:t>噪声执行《建筑施工场界环境噪声排放标准》（GB12523-2011），</w:t>
            </w:r>
            <w:r>
              <w:rPr>
                <w:rFonts w:hint="eastAsia"/>
                <w:color w:val="auto"/>
                <w:sz w:val="21"/>
                <w:szCs w:val="21"/>
                <w:highlight w:val="none"/>
                <w:lang w:val="en-US" w:eastAsia="zh-CN"/>
              </w:rPr>
              <w:t>具体</w:t>
            </w:r>
            <w:r>
              <w:rPr>
                <w:color w:val="auto"/>
                <w:sz w:val="21"/>
                <w:szCs w:val="21"/>
                <w:highlight w:val="none"/>
              </w:rPr>
              <w:t>见</w:t>
            </w:r>
            <w:r>
              <w:rPr>
                <w:rFonts w:hint="eastAsia"/>
                <w:color w:val="auto"/>
                <w:sz w:val="21"/>
                <w:szCs w:val="21"/>
                <w:highlight w:val="none"/>
                <w:lang w:val="en-US" w:eastAsia="zh-CN"/>
              </w:rPr>
              <w:t>下表</w:t>
            </w:r>
            <w:r>
              <w:rPr>
                <w:color w:val="auto"/>
                <w:sz w:val="21"/>
                <w:szCs w:val="21"/>
                <w:highlight w:val="none"/>
              </w:rPr>
              <w:t xml:space="preserve">。 </w:t>
            </w:r>
          </w:p>
          <w:p w14:paraId="62AB5F57">
            <w:pPr>
              <w:spacing w:line="360" w:lineRule="auto"/>
              <w:jc w:val="center"/>
              <w:rPr>
                <w:rFonts w:hint="eastAsia"/>
                <w:b/>
                <w:color w:val="auto"/>
                <w:sz w:val="21"/>
                <w:szCs w:val="21"/>
                <w:highlight w:val="none"/>
                <w:lang w:val="en-US" w:eastAsia="zh-CN"/>
              </w:rPr>
            </w:pPr>
            <w:r>
              <w:rPr>
                <w:b/>
                <w:color w:val="auto"/>
                <w:sz w:val="21"/>
                <w:szCs w:val="21"/>
                <w:highlight w:val="none"/>
                <w:lang w:val="zh-CN"/>
              </w:rPr>
              <w:t>表</w:t>
            </w:r>
            <w:r>
              <w:rPr>
                <w:rFonts w:hint="eastAsia"/>
                <w:b/>
                <w:color w:val="auto"/>
                <w:sz w:val="21"/>
                <w:szCs w:val="21"/>
                <w:highlight w:val="none"/>
                <w:lang w:val="en-US" w:eastAsia="zh-CN"/>
              </w:rPr>
              <w:t xml:space="preserve">3-9   </w:t>
            </w:r>
            <w:r>
              <w:rPr>
                <w:b/>
                <w:color w:val="auto"/>
                <w:sz w:val="21"/>
                <w:szCs w:val="21"/>
                <w:highlight w:val="none"/>
              </w:rPr>
              <w:t xml:space="preserve"> </w:t>
            </w:r>
            <w:r>
              <w:rPr>
                <w:rFonts w:hint="eastAsia"/>
                <w:b/>
                <w:color w:val="auto"/>
                <w:sz w:val="21"/>
                <w:szCs w:val="21"/>
                <w:highlight w:val="none"/>
                <w:lang w:val="en-US" w:eastAsia="zh-CN"/>
              </w:rPr>
              <w:t>本项目噪声排放标准</w:t>
            </w:r>
          </w:p>
          <w:tbl>
            <w:tblPr>
              <w:tblStyle w:val="24"/>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036"/>
              <w:gridCol w:w="841"/>
              <w:gridCol w:w="873"/>
              <w:gridCol w:w="690"/>
              <w:gridCol w:w="665"/>
              <w:gridCol w:w="3039"/>
            </w:tblGrid>
            <w:tr w14:paraId="024997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7" w:type="dxa"/>
                  <w:tcBorders>
                    <w:tl2br w:val="nil"/>
                    <w:tr2bl w:val="nil"/>
                  </w:tcBorders>
                  <w:noWrap w:val="0"/>
                  <w:vAlign w:val="center"/>
                </w:tcPr>
                <w:p w14:paraId="27D0F261">
                  <w:pPr>
                    <w:jc w:val="center"/>
                    <w:rPr>
                      <w:color w:val="auto"/>
                      <w:sz w:val="18"/>
                      <w:szCs w:val="18"/>
                      <w:highlight w:val="none"/>
                    </w:rPr>
                  </w:pPr>
                  <w:r>
                    <w:rPr>
                      <w:color w:val="auto"/>
                      <w:sz w:val="18"/>
                      <w:szCs w:val="18"/>
                      <w:highlight w:val="none"/>
                    </w:rPr>
                    <w:t>污染源</w:t>
                  </w:r>
                </w:p>
              </w:tc>
              <w:tc>
                <w:tcPr>
                  <w:tcW w:w="1126" w:type="dxa"/>
                  <w:tcBorders>
                    <w:tl2br w:val="nil"/>
                    <w:tr2bl w:val="nil"/>
                  </w:tcBorders>
                  <w:noWrap w:val="0"/>
                  <w:vAlign w:val="center"/>
                </w:tcPr>
                <w:p w14:paraId="57E9FD55">
                  <w:pPr>
                    <w:jc w:val="center"/>
                    <w:rPr>
                      <w:color w:val="auto"/>
                      <w:sz w:val="18"/>
                      <w:szCs w:val="18"/>
                      <w:highlight w:val="none"/>
                    </w:rPr>
                  </w:pPr>
                  <w:r>
                    <w:rPr>
                      <w:color w:val="auto"/>
                      <w:sz w:val="18"/>
                      <w:szCs w:val="18"/>
                      <w:highlight w:val="none"/>
                    </w:rPr>
                    <w:t>污染因子</w:t>
                  </w:r>
                </w:p>
              </w:tc>
              <w:tc>
                <w:tcPr>
                  <w:tcW w:w="903" w:type="dxa"/>
                  <w:tcBorders>
                    <w:tl2br w:val="nil"/>
                    <w:tr2bl w:val="nil"/>
                  </w:tcBorders>
                  <w:noWrap w:val="0"/>
                  <w:vAlign w:val="center"/>
                </w:tcPr>
                <w:p w14:paraId="3BE0A597">
                  <w:pPr>
                    <w:jc w:val="center"/>
                    <w:rPr>
                      <w:color w:val="auto"/>
                      <w:sz w:val="18"/>
                      <w:szCs w:val="18"/>
                      <w:highlight w:val="none"/>
                    </w:rPr>
                  </w:pPr>
                  <w:r>
                    <w:rPr>
                      <w:color w:val="auto"/>
                      <w:sz w:val="18"/>
                      <w:szCs w:val="18"/>
                      <w:highlight w:val="none"/>
                    </w:rPr>
                    <w:t>时间段</w:t>
                  </w:r>
                </w:p>
              </w:tc>
              <w:tc>
                <w:tcPr>
                  <w:tcW w:w="901" w:type="dxa"/>
                  <w:tcBorders>
                    <w:tl2br w:val="nil"/>
                    <w:tr2bl w:val="nil"/>
                  </w:tcBorders>
                  <w:noWrap w:val="0"/>
                  <w:vAlign w:val="center"/>
                </w:tcPr>
                <w:p w14:paraId="32611F3C">
                  <w:pPr>
                    <w:jc w:val="center"/>
                    <w:rPr>
                      <w:color w:val="auto"/>
                      <w:sz w:val="18"/>
                      <w:szCs w:val="18"/>
                      <w:highlight w:val="none"/>
                    </w:rPr>
                  </w:pPr>
                  <w:r>
                    <w:rPr>
                      <w:color w:val="auto"/>
                      <w:sz w:val="18"/>
                      <w:szCs w:val="18"/>
                      <w:highlight w:val="none"/>
                    </w:rPr>
                    <w:t>单位</w:t>
                  </w:r>
                </w:p>
              </w:tc>
              <w:tc>
                <w:tcPr>
                  <w:tcW w:w="1434" w:type="dxa"/>
                  <w:gridSpan w:val="2"/>
                  <w:tcBorders>
                    <w:tl2br w:val="nil"/>
                    <w:tr2bl w:val="nil"/>
                  </w:tcBorders>
                  <w:noWrap w:val="0"/>
                  <w:vAlign w:val="center"/>
                </w:tcPr>
                <w:p w14:paraId="11A3552C">
                  <w:pPr>
                    <w:jc w:val="center"/>
                    <w:rPr>
                      <w:color w:val="auto"/>
                      <w:sz w:val="18"/>
                      <w:szCs w:val="18"/>
                      <w:highlight w:val="none"/>
                    </w:rPr>
                  </w:pPr>
                  <w:r>
                    <w:rPr>
                      <w:color w:val="auto"/>
                      <w:sz w:val="18"/>
                      <w:szCs w:val="18"/>
                      <w:highlight w:val="none"/>
                    </w:rPr>
                    <w:t>标准值</w:t>
                  </w:r>
                </w:p>
              </w:tc>
              <w:tc>
                <w:tcPr>
                  <w:tcW w:w="3201" w:type="dxa"/>
                  <w:tcBorders>
                    <w:tl2br w:val="nil"/>
                    <w:tr2bl w:val="nil"/>
                  </w:tcBorders>
                  <w:noWrap w:val="0"/>
                  <w:vAlign w:val="center"/>
                </w:tcPr>
                <w:p w14:paraId="4F130037">
                  <w:pPr>
                    <w:jc w:val="center"/>
                    <w:rPr>
                      <w:color w:val="auto"/>
                      <w:sz w:val="18"/>
                      <w:szCs w:val="18"/>
                      <w:highlight w:val="none"/>
                    </w:rPr>
                  </w:pPr>
                  <w:r>
                    <w:rPr>
                      <w:rFonts w:hint="eastAsia"/>
                      <w:color w:val="auto"/>
                      <w:sz w:val="18"/>
                      <w:szCs w:val="18"/>
                      <w:highlight w:val="none"/>
                    </w:rPr>
                    <w:t>标准来源</w:t>
                  </w:r>
                </w:p>
              </w:tc>
            </w:tr>
            <w:tr w14:paraId="44646F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57" w:type="dxa"/>
                  <w:vMerge w:val="restart"/>
                  <w:tcBorders>
                    <w:tl2br w:val="nil"/>
                    <w:tr2bl w:val="nil"/>
                  </w:tcBorders>
                  <w:noWrap w:val="0"/>
                  <w:vAlign w:val="center"/>
                </w:tcPr>
                <w:p w14:paraId="48BC46C3">
                  <w:pPr>
                    <w:jc w:val="center"/>
                    <w:rPr>
                      <w:color w:val="auto"/>
                      <w:sz w:val="18"/>
                      <w:szCs w:val="18"/>
                      <w:highlight w:val="none"/>
                    </w:rPr>
                  </w:pPr>
                  <w:r>
                    <w:rPr>
                      <w:color w:val="auto"/>
                      <w:sz w:val="18"/>
                      <w:szCs w:val="18"/>
                      <w:highlight w:val="none"/>
                    </w:rPr>
                    <w:t>噪声</w:t>
                  </w:r>
                </w:p>
              </w:tc>
              <w:tc>
                <w:tcPr>
                  <w:tcW w:w="1126" w:type="dxa"/>
                  <w:vMerge w:val="restart"/>
                  <w:tcBorders>
                    <w:tl2br w:val="nil"/>
                    <w:tr2bl w:val="nil"/>
                  </w:tcBorders>
                  <w:noWrap w:val="0"/>
                  <w:vAlign w:val="center"/>
                </w:tcPr>
                <w:p w14:paraId="4CD3E28B">
                  <w:pPr>
                    <w:jc w:val="center"/>
                    <w:rPr>
                      <w:color w:val="auto"/>
                      <w:sz w:val="18"/>
                      <w:szCs w:val="18"/>
                      <w:highlight w:val="none"/>
                    </w:rPr>
                  </w:pPr>
                  <w:r>
                    <w:rPr>
                      <w:color w:val="auto"/>
                      <w:sz w:val="18"/>
                      <w:szCs w:val="18"/>
                      <w:highlight w:val="none"/>
                    </w:rPr>
                    <w:t>等效连续A声级</w:t>
                  </w:r>
                </w:p>
              </w:tc>
              <w:tc>
                <w:tcPr>
                  <w:tcW w:w="903" w:type="dxa"/>
                  <w:vMerge w:val="restart"/>
                  <w:tcBorders>
                    <w:tl2br w:val="nil"/>
                    <w:tr2bl w:val="nil"/>
                  </w:tcBorders>
                  <w:noWrap w:val="0"/>
                  <w:vAlign w:val="center"/>
                </w:tcPr>
                <w:p w14:paraId="431F42D1">
                  <w:pPr>
                    <w:jc w:val="center"/>
                    <w:rPr>
                      <w:color w:val="auto"/>
                      <w:sz w:val="18"/>
                      <w:szCs w:val="18"/>
                      <w:highlight w:val="none"/>
                    </w:rPr>
                  </w:pPr>
                  <w:r>
                    <w:rPr>
                      <w:color w:val="auto"/>
                      <w:sz w:val="18"/>
                      <w:szCs w:val="18"/>
                      <w:highlight w:val="none"/>
                    </w:rPr>
                    <w:t>施工期</w:t>
                  </w:r>
                </w:p>
              </w:tc>
              <w:tc>
                <w:tcPr>
                  <w:tcW w:w="901" w:type="dxa"/>
                  <w:vMerge w:val="restart"/>
                  <w:tcBorders>
                    <w:tl2br w:val="nil"/>
                    <w:tr2bl w:val="nil"/>
                  </w:tcBorders>
                  <w:noWrap w:val="0"/>
                  <w:vAlign w:val="center"/>
                </w:tcPr>
                <w:p w14:paraId="1F345027">
                  <w:pPr>
                    <w:jc w:val="center"/>
                    <w:rPr>
                      <w:color w:val="auto"/>
                      <w:sz w:val="18"/>
                      <w:szCs w:val="18"/>
                      <w:highlight w:val="none"/>
                    </w:rPr>
                  </w:pPr>
                  <w:r>
                    <w:rPr>
                      <w:color w:val="auto"/>
                      <w:sz w:val="18"/>
                      <w:szCs w:val="18"/>
                      <w:highlight w:val="none"/>
                    </w:rPr>
                    <w:t>dB(A)</w:t>
                  </w:r>
                </w:p>
              </w:tc>
              <w:tc>
                <w:tcPr>
                  <w:tcW w:w="731" w:type="dxa"/>
                  <w:tcBorders>
                    <w:tl2br w:val="nil"/>
                    <w:tr2bl w:val="nil"/>
                  </w:tcBorders>
                  <w:noWrap w:val="0"/>
                  <w:vAlign w:val="center"/>
                </w:tcPr>
                <w:p w14:paraId="5C817C19">
                  <w:pPr>
                    <w:jc w:val="center"/>
                    <w:rPr>
                      <w:color w:val="auto"/>
                      <w:sz w:val="18"/>
                      <w:szCs w:val="18"/>
                      <w:highlight w:val="none"/>
                    </w:rPr>
                  </w:pPr>
                  <w:r>
                    <w:rPr>
                      <w:color w:val="auto"/>
                      <w:sz w:val="18"/>
                      <w:szCs w:val="18"/>
                      <w:highlight w:val="none"/>
                    </w:rPr>
                    <w:t>昼间</w:t>
                  </w:r>
                </w:p>
              </w:tc>
              <w:tc>
                <w:tcPr>
                  <w:tcW w:w="703" w:type="dxa"/>
                  <w:tcBorders>
                    <w:tl2br w:val="nil"/>
                    <w:tr2bl w:val="nil"/>
                  </w:tcBorders>
                  <w:noWrap w:val="0"/>
                  <w:vAlign w:val="center"/>
                </w:tcPr>
                <w:p w14:paraId="22080641">
                  <w:pPr>
                    <w:jc w:val="center"/>
                    <w:rPr>
                      <w:color w:val="auto"/>
                      <w:sz w:val="18"/>
                      <w:szCs w:val="18"/>
                      <w:highlight w:val="none"/>
                    </w:rPr>
                  </w:pPr>
                  <w:r>
                    <w:rPr>
                      <w:color w:val="auto"/>
                      <w:sz w:val="18"/>
                      <w:szCs w:val="18"/>
                      <w:highlight w:val="none"/>
                    </w:rPr>
                    <w:t>夜间</w:t>
                  </w:r>
                </w:p>
              </w:tc>
              <w:tc>
                <w:tcPr>
                  <w:tcW w:w="3201" w:type="dxa"/>
                  <w:vMerge w:val="restart"/>
                  <w:tcBorders>
                    <w:tl2br w:val="nil"/>
                    <w:tr2bl w:val="nil"/>
                  </w:tcBorders>
                  <w:noWrap w:val="0"/>
                  <w:vAlign w:val="center"/>
                </w:tcPr>
                <w:p w14:paraId="1A9F1967">
                  <w:pPr>
                    <w:jc w:val="center"/>
                    <w:rPr>
                      <w:color w:val="auto"/>
                      <w:sz w:val="18"/>
                      <w:szCs w:val="18"/>
                      <w:highlight w:val="none"/>
                    </w:rPr>
                  </w:pPr>
                  <w:r>
                    <w:rPr>
                      <w:color w:val="auto"/>
                      <w:sz w:val="18"/>
                      <w:szCs w:val="18"/>
                      <w:highlight w:val="none"/>
                    </w:rPr>
                    <w:t>《建筑施工场界环境噪声排放标准》（GB12523-2011）。</w:t>
                  </w:r>
                </w:p>
              </w:tc>
            </w:tr>
            <w:tr w14:paraId="644F80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57" w:type="dxa"/>
                  <w:vMerge w:val="continue"/>
                  <w:tcBorders>
                    <w:tl2br w:val="nil"/>
                    <w:tr2bl w:val="nil"/>
                  </w:tcBorders>
                  <w:noWrap w:val="0"/>
                  <w:vAlign w:val="center"/>
                </w:tcPr>
                <w:p w14:paraId="57CA6DD8">
                  <w:pPr>
                    <w:jc w:val="center"/>
                    <w:rPr>
                      <w:color w:val="auto"/>
                      <w:sz w:val="18"/>
                      <w:szCs w:val="18"/>
                      <w:highlight w:val="none"/>
                    </w:rPr>
                  </w:pPr>
                </w:p>
              </w:tc>
              <w:tc>
                <w:tcPr>
                  <w:tcW w:w="1126" w:type="dxa"/>
                  <w:vMerge w:val="continue"/>
                  <w:tcBorders>
                    <w:tl2br w:val="nil"/>
                    <w:tr2bl w:val="nil"/>
                  </w:tcBorders>
                  <w:noWrap w:val="0"/>
                  <w:vAlign w:val="center"/>
                </w:tcPr>
                <w:p w14:paraId="2553F362">
                  <w:pPr>
                    <w:jc w:val="center"/>
                    <w:rPr>
                      <w:color w:val="auto"/>
                      <w:sz w:val="18"/>
                      <w:szCs w:val="18"/>
                      <w:highlight w:val="none"/>
                    </w:rPr>
                  </w:pPr>
                </w:p>
              </w:tc>
              <w:tc>
                <w:tcPr>
                  <w:tcW w:w="903" w:type="dxa"/>
                  <w:vMerge w:val="continue"/>
                  <w:tcBorders>
                    <w:tl2br w:val="nil"/>
                    <w:tr2bl w:val="nil"/>
                  </w:tcBorders>
                  <w:noWrap w:val="0"/>
                  <w:vAlign w:val="center"/>
                </w:tcPr>
                <w:p w14:paraId="43F211CA">
                  <w:pPr>
                    <w:jc w:val="center"/>
                    <w:rPr>
                      <w:color w:val="auto"/>
                      <w:sz w:val="18"/>
                      <w:szCs w:val="18"/>
                      <w:highlight w:val="none"/>
                    </w:rPr>
                  </w:pPr>
                </w:p>
              </w:tc>
              <w:tc>
                <w:tcPr>
                  <w:tcW w:w="901" w:type="dxa"/>
                  <w:vMerge w:val="continue"/>
                  <w:tcBorders>
                    <w:tl2br w:val="nil"/>
                    <w:tr2bl w:val="nil"/>
                  </w:tcBorders>
                  <w:noWrap w:val="0"/>
                  <w:vAlign w:val="center"/>
                </w:tcPr>
                <w:p w14:paraId="39E40CBD">
                  <w:pPr>
                    <w:jc w:val="center"/>
                    <w:rPr>
                      <w:color w:val="auto"/>
                      <w:sz w:val="18"/>
                      <w:szCs w:val="18"/>
                      <w:highlight w:val="none"/>
                    </w:rPr>
                  </w:pPr>
                </w:p>
              </w:tc>
              <w:tc>
                <w:tcPr>
                  <w:tcW w:w="731" w:type="dxa"/>
                  <w:tcBorders>
                    <w:tl2br w:val="nil"/>
                    <w:tr2bl w:val="nil"/>
                  </w:tcBorders>
                  <w:noWrap w:val="0"/>
                  <w:vAlign w:val="center"/>
                </w:tcPr>
                <w:p w14:paraId="454FB10E">
                  <w:pPr>
                    <w:jc w:val="center"/>
                    <w:rPr>
                      <w:color w:val="auto"/>
                      <w:sz w:val="18"/>
                      <w:szCs w:val="18"/>
                      <w:highlight w:val="none"/>
                    </w:rPr>
                  </w:pPr>
                  <w:r>
                    <w:rPr>
                      <w:color w:val="auto"/>
                      <w:sz w:val="18"/>
                      <w:szCs w:val="18"/>
                      <w:highlight w:val="none"/>
                    </w:rPr>
                    <w:t>70</w:t>
                  </w:r>
                </w:p>
              </w:tc>
              <w:tc>
                <w:tcPr>
                  <w:tcW w:w="703" w:type="dxa"/>
                  <w:tcBorders>
                    <w:tl2br w:val="nil"/>
                    <w:tr2bl w:val="nil"/>
                  </w:tcBorders>
                  <w:noWrap w:val="0"/>
                  <w:vAlign w:val="center"/>
                </w:tcPr>
                <w:p w14:paraId="5525948C">
                  <w:pPr>
                    <w:jc w:val="center"/>
                    <w:rPr>
                      <w:color w:val="auto"/>
                      <w:sz w:val="18"/>
                      <w:szCs w:val="18"/>
                      <w:highlight w:val="none"/>
                    </w:rPr>
                  </w:pPr>
                  <w:r>
                    <w:rPr>
                      <w:color w:val="auto"/>
                      <w:sz w:val="18"/>
                      <w:szCs w:val="18"/>
                      <w:highlight w:val="none"/>
                    </w:rPr>
                    <w:t>55</w:t>
                  </w:r>
                </w:p>
              </w:tc>
              <w:tc>
                <w:tcPr>
                  <w:tcW w:w="3201" w:type="dxa"/>
                  <w:vMerge w:val="continue"/>
                  <w:tcBorders>
                    <w:tl2br w:val="nil"/>
                    <w:tr2bl w:val="nil"/>
                  </w:tcBorders>
                  <w:noWrap w:val="0"/>
                  <w:vAlign w:val="center"/>
                </w:tcPr>
                <w:p w14:paraId="1BC2DAE5">
                  <w:pPr>
                    <w:jc w:val="center"/>
                    <w:rPr>
                      <w:color w:val="auto"/>
                      <w:sz w:val="18"/>
                      <w:szCs w:val="18"/>
                      <w:highlight w:val="none"/>
                    </w:rPr>
                  </w:pPr>
                </w:p>
              </w:tc>
            </w:tr>
            <w:tr w14:paraId="4EE2B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957" w:type="dxa"/>
                  <w:vMerge w:val="continue"/>
                  <w:tcBorders>
                    <w:tl2br w:val="nil"/>
                    <w:tr2bl w:val="nil"/>
                  </w:tcBorders>
                  <w:noWrap w:val="0"/>
                  <w:vAlign w:val="center"/>
                </w:tcPr>
                <w:p w14:paraId="0CAF6585">
                  <w:pPr>
                    <w:jc w:val="center"/>
                    <w:rPr>
                      <w:color w:val="auto"/>
                      <w:sz w:val="18"/>
                      <w:szCs w:val="18"/>
                      <w:highlight w:val="none"/>
                    </w:rPr>
                  </w:pPr>
                </w:p>
              </w:tc>
              <w:tc>
                <w:tcPr>
                  <w:tcW w:w="1126" w:type="dxa"/>
                  <w:vMerge w:val="continue"/>
                  <w:tcBorders>
                    <w:tl2br w:val="nil"/>
                    <w:tr2bl w:val="nil"/>
                  </w:tcBorders>
                  <w:noWrap w:val="0"/>
                  <w:vAlign w:val="center"/>
                </w:tcPr>
                <w:p w14:paraId="62D1C748">
                  <w:pPr>
                    <w:jc w:val="center"/>
                    <w:rPr>
                      <w:color w:val="auto"/>
                      <w:sz w:val="18"/>
                      <w:szCs w:val="18"/>
                      <w:highlight w:val="none"/>
                    </w:rPr>
                  </w:pPr>
                </w:p>
              </w:tc>
              <w:tc>
                <w:tcPr>
                  <w:tcW w:w="903" w:type="dxa"/>
                  <w:tcBorders>
                    <w:tl2br w:val="nil"/>
                    <w:tr2bl w:val="nil"/>
                  </w:tcBorders>
                  <w:noWrap w:val="0"/>
                  <w:vAlign w:val="center"/>
                </w:tcPr>
                <w:p w14:paraId="732784E4">
                  <w:pPr>
                    <w:jc w:val="center"/>
                    <w:rPr>
                      <w:color w:val="auto"/>
                      <w:sz w:val="18"/>
                      <w:szCs w:val="18"/>
                      <w:highlight w:val="none"/>
                    </w:rPr>
                  </w:pPr>
                  <w:r>
                    <w:rPr>
                      <w:color w:val="auto"/>
                      <w:sz w:val="18"/>
                      <w:szCs w:val="18"/>
                      <w:highlight w:val="none"/>
                    </w:rPr>
                    <w:t>运营期</w:t>
                  </w:r>
                </w:p>
              </w:tc>
              <w:tc>
                <w:tcPr>
                  <w:tcW w:w="901" w:type="dxa"/>
                  <w:tcBorders>
                    <w:tl2br w:val="nil"/>
                    <w:tr2bl w:val="nil"/>
                  </w:tcBorders>
                  <w:noWrap w:val="0"/>
                  <w:vAlign w:val="center"/>
                </w:tcPr>
                <w:p w14:paraId="5AE3DA03">
                  <w:pPr>
                    <w:jc w:val="center"/>
                    <w:rPr>
                      <w:color w:val="auto"/>
                      <w:sz w:val="18"/>
                      <w:szCs w:val="18"/>
                      <w:highlight w:val="none"/>
                    </w:rPr>
                  </w:pPr>
                  <w:r>
                    <w:rPr>
                      <w:color w:val="auto"/>
                      <w:sz w:val="18"/>
                      <w:szCs w:val="18"/>
                      <w:highlight w:val="none"/>
                    </w:rPr>
                    <w:t>dB(A</w:t>
                  </w:r>
                </w:p>
              </w:tc>
              <w:tc>
                <w:tcPr>
                  <w:tcW w:w="731" w:type="dxa"/>
                  <w:tcBorders>
                    <w:tl2br w:val="nil"/>
                    <w:tr2bl w:val="nil"/>
                  </w:tcBorders>
                  <w:noWrap w:val="0"/>
                  <w:vAlign w:val="center"/>
                </w:tcPr>
                <w:p w14:paraId="0BC725B4">
                  <w:pPr>
                    <w:jc w:val="center"/>
                    <w:rPr>
                      <w:rFonts w:hint="eastAsia" w:eastAsia="宋体"/>
                      <w:color w:val="auto"/>
                      <w:sz w:val="18"/>
                      <w:szCs w:val="18"/>
                      <w:highlight w:val="none"/>
                      <w:lang w:eastAsia="zh-CN"/>
                    </w:rPr>
                  </w:pPr>
                  <w:r>
                    <w:rPr>
                      <w:color w:val="auto"/>
                      <w:sz w:val="18"/>
                      <w:szCs w:val="18"/>
                      <w:highlight w:val="none"/>
                    </w:rPr>
                    <w:t>6</w:t>
                  </w:r>
                  <w:r>
                    <w:rPr>
                      <w:rFonts w:hint="eastAsia"/>
                      <w:color w:val="auto"/>
                      <w:sz w:val="18"/>
                      <w:szCs w:val="18"/>
                      <w:highlight w:val="none"/>
                      <w:lang w:val="en-US" w:eastAsia="zh-CN"/>
                    </w:rPr>
                    <w:t>5</w:t>
                  </w:r>
                </w:p>
              </w:tc>
              <w:tc>
                <w:tcPr>
                  <w:tcW w:w="703" w:type="dxa"/>
                  <w:tcBorders>
                    <w:tl2br w:val="nil"/>
                    <w:tr2bl w:val="nil"/>
                  </w:tcBorders>
                  <w:noWrap w:val="0"/>
                  <w:vAlign w:val="center"/>
                </w:tcPr>
                <w:p w14:paraId="1520FE67">
                  <w:pPr>
                    <w:jc w:val="center"/>
                    <w:rPr>
                      <w:rFonts w:hint="eastAsia" w:eastAsia="宋体"/>
                      <w:color w:val="auto"/>
                      <w:sz w:val="18"/>
                      <w:szCs w:val="18"/>
                      <w:highlight w:val="none"/>
                      <w:lang w:eastAsia="zh-CN"/>
                    </w:rPr>
                  </w:pPr>
                  <w:r>
                    <w:rPr>
                      <w:color w:val="auto"/>
                      <w:sz w:val="18"/>
                      <w:szCs w:val="18"/>
                      <w:highlight w:val="none"/>
                    </w:rPr>
                    <w:t>5</w:t>
                  </w:r>
                  <w:r>
                    <w:rPr>
                      <w:rFonts w:hint="eastAsia"/>
                      <w:color w:val="auto"/>
                      <w:sz w:val="18"/>
                      <w:szCs w:val="18"/>
                      <w:highlight w:val="none"/>
                      <w:lang w:val="en-US" w:eastAsia="zh-CN"/>
                    </w:rPr>
                    <w:t>5</w:t>
                  </w:r>
                </w:p>
              </w:tc>
              <w:tc>
                <w:tcPr>
                  <w:tcW w:w="3201" w:type="dxa"/>
                  <w:tcBorders>
                    <w:tl2br w:val="nil"/>
                    <w:tr2bl w:val="nil"/>
                  </w:tcBorders>
                  <w:noWrap w:val="0"/>
                  <w:vAlign w:val="center"/>
                </w:tcPr>
                <w:p w14:paraId="4233F89C">
                  <w:pPr>
                    <w:jc w:val="center"/>
                    <w:rPr>
                      <w:color w:val="auto"/>
                      <w:sz w:val="18"/>
                      <w:szCs w:val="18"/>
                      <w:highlight w:val="none"/>
                    </w:rPr>
                  </w:pPr>
                  <w:r>
                    <w:rPr>
                      <w:color w:val="auto"/>
                      <w:sz w:val="18"/>
                      <w:szCs w:val="18"/>
                      <w:highlight w:val="none"/>
                    </w:rPr>
                    <w:t>《</w:t>
                  </w:r>
                  <w:r>
                    <w:rPr>
                      <w:bCs/>
                      <w:color w:val="auto"/>
                      <w:sz w:val="18"/>
                      <w:szCs w:val="18"/>
                      <w:highlight w:val="none"/>
                    </w:rPr>
                    <w:t>工业企业厂界环境噪声排放标准</w:t>
                  </w:r>
                  <w:r>
                    <w:rPr>
                      <w:color w:val="auto"/>
                      <w:sz w:val="18"/>
                      <w:szCs w:val="18"/>
                      <w:highlight w:val="none"/>
                    </w:rPr>
                    <w:t>》（GB12348-2008）</w:t>
                  </w:r>
                  <w:r>
                    <w:rPr>
                      <w:rFonts w:hint="eastAsia"/>
                      <w:color w:val="auto"/>
                      <w:sz w:val="18"/>
                      <w:szCs w:val="18"/>
                      <w:highlight w:val="none"/>
                      <w:lang w:val="en-US" w:eastAsia="zh-CN"/>
                    </w:rPr>
                    <w:t>3</w:t>
                  </w:r>
                  <w:r>
                    <w:rPr>
                      <w:color w:val="auto"/>
                      <w:sz w:val="18"/>
                      <w:szCs w:val="18"/>
                      <w:highlight w:val="none"/>
                    </w:rPr>
                    <w:t>类标准。</w:t>
                  </w:r>
                </w:p>
              </w:tc>
            </w:tr>
          </w:tbl>
          <w:p w14:paraId="21BD0524">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textAlignment w:val="auto"/>
              <w:rPr>
                <w:rFonts w:hint="default" w:ascii="Times New Roman" w:hAnsi="Times New Roman" w:eastAsia="宋体" w:cs="Times New Roman"/>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固体废物污染控制标准</w:t>
            </w:r>
          </w:p>
          <w:p w14:paraId="68E7E95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kern w:val="0"/>
                <w:sz w:val="21"/>
                <w:szCs w:val="21"/>
                <w:highlight w:val="none"/>
                <w:lang w:val="en-US" w:eastAsia="zh-CN" w:bidi="ar"/>
              </w:rPr>
              <w:t>一般固体废物</w:t>
            </w:r>
            <w:r>
              <w:rPr>
                <w:rFonts w:hint="eastAsia" w:ascii="Times New Roman" w:hAnsi="Times New Roman" w:eastAsia="宋体" w:cs="Times New Roman"/>
                <w:b w:val="0"/>
                <w:bCs w:val="0"/>
                <w:color w:val="auto"/>
                <w:kern w:val="0"/>
                <w:sz w:val="21"/>
                <w:szCs w:val="21"/>
                <w:highlight w:val="none"/>
                <w:lang w:val="en-US" w:eastAsia="zh-CN" w:bidi="ar"/>
              </w:rPr>
              <w:t>和危险废物应按照《</w:t>
            </w:r>
            <w:r>
              <w:rPr>
                <w:rStyle w:val="27"/>
                <w:rFonts w:hint="default" w:ascii="Times New Roman" w:hAnsi="Times New Roman" w:eastAsia="宋体" w:cs="Times New Roman"/>
                <w:b w:val="0"/>
                <w:bCs w:val="0"/>
                <w:i w:val="0"/>
                <w:iCs w:val="0"/>
                <w:caps w:val="0"/>
                <w:color w:val="auto"/>
                <w:spacing w:val="0"/>
                <w:sz w:val="21"/>
                <w:szCs w:val="21"/>
                <w:highlight w:val="none"/>
                <w:shd w:val="clear" w:color="auto" w:fill="FFFFFF"/>
              </w:rPr>
              <w:t>中华人民共和国固体废物污染环境防治法</w:t>
            </w:r>
            <w:r>
              <w:rPr>
                <w:rFonts w:hint="eastAsia" w:ascii="Times New Roman" w:hAnsi="Times New Roman" w:eastAsia="宋体" w:cs="Times New Roman"/>
                <w:b w:val="0"/>
                <w:bCs w:val="0"/>
                <w:color w:val="auto"/>
                <w:kern w:val="0"/>
                <w:sz w:val="21"/>
                <w:szCs w:val="21"/>
                <w:highlight w:val="none"/>
                <w:lang w:val="en-US" w:eastAsia="zh-CN" w:bidi="ar"/>
              </w:rPr>
              <w:t>》的要求处理处置；</w:t>
            </w:r>
            <w:r>
              <w:rPr>
                <w:rFonts w:hint="default" w:ascii="Times New Roman" w:hAnsi="Times New Roman" w:eastAsia="宋体" w:cs="Times New Roman"/>
                <w:b w:val="0"/>
                <w:bCs w:val="0"/>
                <w:color w:val="auto"/>
                <w:sz w:val="21"/>
                <w:szCs w:val="21"/>
                <w:highlight w:val="none"/>
              </w:rPr>
              <w:t>危险废物</w:t>
            </w:r>
            <w:r>
              <w:rPr>
                <w:rFonts w:hint="eastAsia" w:ascii="Times New Roman" w:hAnsi="Times New Roman" w:eastAsia="宋体" w:cs="Times New Roman"/>
                <w:b w:val="0"/>
                <w:bCs w:val="0"/>
                <w:color w:val="auto"/>
                <w:sz w:val="21"/>
                <w:szCs w:val="21"/>
                <w:highlight w:val="none"/>
                <w:lang w:val="en-US" w:eastAsia="zh-CN"/>
              </w:rPr>
              <w:t>贮存设施</w:t>
            </w:r>
            <w:r>
              <w:rPr>
                <w:rFonts w:hint="default" w:ascii="Times New Roman" w:hAnsi="Times New Roman" w:eastAsia="宋体" w:cs="Times New Roman"/>
                <w:b w:val="0"/>
                <w:bCs w:val="0"/>
                <w:color w:val="auto"/>
                <w:sz w:val="21"/>
                <w:szCs w:val="21"/>
                <w:highlight w:val="none"/>
              </w:rPr>
              <w:t>执行《危险废物贮存污染控制标准》（GB18597-2023）要求。</w:t>
            </w:r>
          </w:p>
          <w:p w14:paraId="05EF9F5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rPr>
            </w:pPr>
          </w:p>
          <w:p w14:paraId="38DCE08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rPr>
            </w:pPr>
          </w:p>
        </w:tc>
      </w:tr>
      <w:tr w14:paraId="11657E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904" w:type="dxa"/>
            <w:noWrap w:val="0"/>
            <w:vAlign w:val="center"/>
          </w:tcPr>
          <w:p w14:paraId="5F7BB055">
            <w:pPr>
              <w:adjustRightInd w:val="0"/>
              <w:snapToGrid w:val="0"/>
              <w:jc w:val="center"/>
              <w:rPr>
                <w:rFonts w:hint="eastAsia" w:ascii="宋体" w:hAnsi="宋体" w:cs="宋体"/>
                <w:color w:val="auto"/>
                <w:kern w:val="0"/>
                <w:szCs w:val="21"/>
                <w:highlight w:val="none"/>
              </w:rPr>
            </w:pPr>
          </w:p>
          <w:p w14:paraId="36E3BC49">
            <w:pPr>
              <w:adjustRightInd w:val="0"/>
              <w:snapToGrid w:val="0"/>
              <w:jc w:val="center"/>
              <w:rPr>
                <w:rFonts w:hint="eastAsia" w:ascii="宋体" w:hAnsi="宋体" w:cs="宋体"/>
                <w:color w:val="auto"/>
                <w:kern w:val="0"/>
                <w:szCs w:val="21"/>
                <w:highlight w:val="none"/>
              </w:rPr>
            </w:pPr>
          </w:p>
          <w:p w14:paraId="14D9EAF1">
            <w:pPr>
              <w:adjustRightInd w:val="0"/>
              <w:snapToGrid w:val="0"/>
              <w:jc w:val="center"/>
              <w:rPr>
                <w:rFonts w:hint="eastAsia" w:ascii="宋体" w:hAnsi="宋体" w:cs="宋体"/>
                <w:color w:val="auto"/>
                <w:kern w:val="0"/>
                <w:szCs w:val="21"/>
                <w:highlight w:val="none"/>
              </w:rPr>
            </w:pPr>
          </w:p>
          <w:p w14:paraId="2C02D3E9">
            <w:pPr>
              <w:adjustRightInd w:val="0"/>
              <w:snapToGrid w:val="0"/>
              <w:jc w:val="center"/>
              <w:rPr>
                <w:rFonts w:hint="eastAsia" w:ascii="宋体" w:hAnsi="宋体" w:cs="宋体"/>
                <w:color w:val="auto"/>
                <w:kern w:val="0"/>
                <w:szCs w:val="21"/>
                <w:highlight w:val="none"/>
              </w:rPr>
            </w:pPr>
          </w:p>
          <w:p w14:paraId="13DAB0D1">
            <w:pPr>
              <w:adjustRightInd w:val="0"/>
              <w:snapToGrid w:val="0"/>
              <w:jc w:val="center"/>
              <w:rPr>
                <w:rFonts w:hint="eastAsia" w:ascii="宋体" w:hAnsi="宋体" w:cs="宋体"/>
                <w:color w:val="auto"/>
                <w:kern w:val="0"/>
                <w:szCs w:val="21"/>
                <w:highlight w:val="none"/>
              </w:rPr>
            </w:pPr>
          </w:p>
          <w:p w14:paraId="2F6DEE59">
            <w:pPr>
              <w:adjustRightInd w:val="0"/>
              <w:snapToGrid w:val="0"/>
              <w:jc w:val="center"/>
              <w:rPr>
                <w:rFonts w:hint="eastAsia" w:ascii="宋体" w:hAnsi="宋体" w:cs="宋体"/>
                <w:color w:val="auto"/>
                <w:kern w:val="0"/>
                <w:szCs w:val="21"/>
                <w:highlight w:val="none"/>
              </w:rPr>
            </w:pPr>
          </w:p>
          <w:p w14:paraId="08816C6B">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其他</w:t>
            </w:r>
          </w:p>
          <w:p w14:paraId="1EECB03F">
            <w:pPr>
              <w:adjustRightInd w:val="0"/>
              <w:snapToGrid w:val="0"/>
              <w:jc w:val="center"/>
              <w:rPr>
                <w:rFonts w:hint="eastAsia" w:ascii="宋体" w:hAnsi="宋体" w:cs="宋体"/>
                <w:color w:val="auto"/>
                <w:kern w:val="0"/>
                <w:szCs w:val="21"/>
                <w:highlight w:val="none"/>
              </w:rPr>
            </w:pPr>
          </w:p>
          <w:p w14:paraId="7D427838">
            <w:pPr>
              <w:adjustRightInd w:val="0"/>
              <w:snapToGrid w:val="0"/>
              <w:jc w:val="center"/>
              <w:rPr>
                <w:rFonts w:hint="eastAsia" w:ascii="宋体" w:hAnsi="宋体" w:cs="宋体"/>
                <w:color w:val="auto"/>
                <w:kern w:val="0"/>
                <w:szCs w:val="21"/>
                <w:highlight w:val="none"/>
              </w:rPr>
            </w:pPr>
          </w:p>
          <w:p w14:paraId="4797B45D">
            <w:pPr>
              <w:adjustRightInd w:val="0"/>
              <w:snapToGrid w:val="0"/>
              <w:jc w:val="center"/>
              <w:rPr>
                <w:rFonts w:hint="eastAsia" w:ascii="宋体" w:hAnsi="宋体" w:cs="宋体"/>
                <w:color w:val="auto"/>
                <w:kern w:val="0"/>
                <w:szCs w:val="21"/>
                <w:highlight w:val="none"/>
              </w:rPr>
            </w:pPr>
          </w:p>
          <w:p w14:paraId="318985CE">
            <w:pPr>
              <w:adjustRightInd w:val="0"/>
              <w:snapToGrid w:val="0"/>
              <w:jc w:val="center"/>
              <w:rPr>
                <w:rFonts w:hint="eastAsia" w:ascii="宋体" w:hAnsi="宋体" w:cs="宋体"/>
                <w:color w:val="auto"/>
                <w:kern w:val="0"/>
                <w:szCs w:val="21"/>
                <w:highlight w:val="none"/>
              </w:rPr>
            </w:pPr>
          </w:p>
          <w:p w14:paraId="374FADE4">
            <w:pPr>
              <w:adjustRightInd w:val="0"/>
              <w:snapToGrid w:val="0"/>
              <w:jc w:val="center"/>
              <w:rPr>
                <w:rFonts w:hint="eastAsia" w:ascii="宋体" w:hAnsi="宋体" w:cs="宋体"/>
                <w:color w:val="auto"/>
                <w:kern w:val="0"/>
                <w:szCs w:val="21"/>
                <w:highlight w:val="none"/>
              </w:rPr>
            </w:pPr>
          </w:p>
          <w:p w14:paraId="1586D74E">
            <w:pPr>
              <w:adjustRightInd w:val="0"/>
              <w:snapToGrid w:val="0"/>
              <w:jc w:val="center"/>
              <w:rPr>
                <w:rFonts w:hint="eastAsia" w:ascii="宋体" w:hAnsi="宋体" w:cs="宋体"/>
                <w:color w:val="auto"/>
                <w:kern w:val="0"/>
                <w:szCs w:val="21"/>
                <w:highlight w:val="none"/>
              </w:rPr>
            </w:pPr>
          </w:p>
        </w:tc>
        <w:tc>
          <w:tcPr>
            <w:tcW w:w="8253" w:type="dxa"/>
            <w:noWrap w:val="0"/>
            <w:vAlign w:val="top"/>
          </w:tcPr>
          <w:p w14:paraId="4C30D62D">
            <w:pPr>
              <w:adjustRightInd w:val="0"/>
              <w:snapToGrid w:val="0"/>
              <w:jc w:val="center"/>
              <w:rPr>
                <w:rFonts w:hint="eastAsia" w:ascii="宋体" w:hAnsi="宋体" w:cs="宋体"/>
                <w:color w:val="auto"/>
                <w:kern w:val="0"/>
                <w:szCs w:val="21"/>
                <w:highlight w:val="none"/>
                <w:lang w:val="en-US" w:eastAsia="zh-CN"/>
              </w:rPr>
            </w:pPr>
          </w:p>
          <w:p w14:paraId="0E9D144F">
            <w:pPr>
              <w:adjustRightInd w:val="0"/>
              <w:snapToGrid w:val="0"/>
              <w:jc w:val="center"/>
              <w:rPr>
                <w:rFonts w:hint="eastAsia" w:ascii="宋体" w:hAnsi="宋体" w:cs="宋体"/>
                <w:color w:val="auto"/>
                <w:kern w:val="0"/>
                <w:szCs w:val="21"/>
                <w:highlight w:val="none"/>
                <w:lang w:val="en-US" w:eastAsia="zh-CN"/>
              </w:rPr>
            </w:pPr>
          </w:p>
          <w:p w14:paraId="0F785331">
            <w:pPr>
              <w:adjustRightInd w:val="0"/>
              <w:snapToGrid w:val="0"/>
              <w:jc w:val="center"/>
              <w:rPr>
                <w:rFonts w:hint="eastAsia" w:ascii="宋体" w:hAnsi="宋体" w:cs="宋体"/>
                <w:color w:val="auto"/>
                <w:kern w:val="0"/>
                <w:szCs w:val="21"/>
                <w:highlight w:val="none"/>
                <w:lang w:val="en-US" w:eastAsia="zh-CN"/>
              </w:rPr>
            </w:pPr>
          </w:p>
          <w:p w14:paraId="581C1A21">
            <w:pPr>
              <w:adjustRightInd w:val="0"/>
              <w:snapToGrid w:val="0"/>
              <w:jc w:val="center"/>
              <w:rPr>
                <w:rFonts w:hint="eastAsia" w:ascii="宋体" w:hAnsi="宋体" w:cs="宋体"/>
                <w:color w:val="auto"/>
                <w:kern w:val="0"/>
                <w:szCs w:val="21"/>
                <w:highlight w:val="none"/>
                <w:lang w:val="en-US" w:eastAsia="zh-CN"/>
              </w:rPr>
            </w:pPr>
          </w:p>
          <w:p w14:paraId="7D9FE357">
            <w:pPr>
              <w:adjustRightInd w:val="0"/>
              <w:snapToGrid w:val="0"/>
              <w:jc w:val="center"/>
              <w:rPr>
                <w:rFonts w:hint="eastAsia" w:ascii="宋体" w:hAnsi="宋体" w:cs="宋体"/>
                <w:color w:val="auto"/>
                <w:kern w:val="0"/>
                <w:szCs w:val="21"/>
                <w:highlight w:val="none"/>
                <w:lang w:val="en-US" w:eastAsia="zh-CN"/>
              </w:rPr>
            </w:pPr>
          </w:p>
          <w:p w14:paraId="486E974D">
            <w:pPr>
              <w:adjustRightInd w:val="0"/>
              <w:snapToGrid w:val="0"/>
              <w:jc w:val="center"/>
              <w:rPr>
                <w:rFonts w:hint="eastAsia" w:ascii="宋体" w:hAnsi="宋体" w:cs="宋体"/>
                <w:color w:val="auto"/>
                <w:kern w:val="0"/>
                <w:szCs w:val="21"/>
                <w:highlight w:val="none"/>
                <w:lang w:val="en-US" w:eastAsia="zh-CN"/>
              </w:rPr>
            </w:pPr>
          </w:p>
          <w:p w14:paraId="0ED9A0A8">
            <w:pPr>
              <w:adjustRightInd w:val="0"/>
              <w:snapToGrid w:val="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不涉及总量控制指标</w:t>
            </w:r>
          </w:p>
        </w:tc>
      </w:tr>
    </w:tbl>
    <w:p w14:paraId="10100178">
      <w:pPr>
        <w:bidi w:val="0"/>
        <w:rPr>
          <w:color w:val="auto"/>
          <w:highlight w:val="none"/>
        </w:rPr>
      </w:pPr>
    </w:p>
    <w:p w14:paraId="6379ADA4">
      <w:pPr>
        <w:pStyle w:val="20"/>
        <w:jc w:val="center"/>
        <w:outlineLvl w:val="0"/>
        <w:rPr>
          <w:rFonts w:ascii="黑体" w:hAnsi="黑体" w:eastAsia="黑体"/>
          <w:snapToGrid w:val="0"/>
          <w:color w:val="auto"/>
          <w:sz w:val="30"/>
          <w:szCs w:val="30"/>
          <w:highlight w:val="none"/>
        </w:rPr>
      </w:pPr>
      <w:r>
        <w:rPr>
          <w:rFonts w:ascii="黑体" w:hAnsi="黑体" w:eastAsia="黑体"/>
          <w:snapToGrid w:val="0"/>
          <w:color w:val="auto"/>
          <w:kern w:val="2"/>
          <w:sz w:val="36"/>
          <w:szCs w:val="36"/>
          <w:highlight w:val="none"/>
        </w:rPr>
        <w:br w:type="page"/>
      </w:r>
      <w:r>
        <w:rPr>
          <w:rFonts w:hint="eastAsia" w:ascii="黑体" w:hAnsi="黑体" w:eastAsia="黑体"/>
          <w:snapToGrid w:val="0"/>
          <w:color w:val="auto"/>
          <w:sz w:val="30"/>
          <w:szCs w:val="30"/>
          <w:highlight w:val="none"/>
        </w:rPr>
        <w:t>四、生态环境影响分析</w:t>
      </w:r>
    </w:p>
    <w:tbl>
      <w:tblPr>
        <w:tblStyle w:val="24"/>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363"/>
      </w:tblGrid>
      <w:tr w14:paraId="213E3C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noWrap w:val="0"/>
            <w:tcMar>
              <w:left w:w="28" w:type="dxa"/>
              <w:right w:w="28" w:type="dxa"/>
            </w:tcMar>
            <w:vAlign w:val="center"/>
          </w:tcPr>
          <w:p w14:paraId="0C7A53DD">
            <w:pPr>
              <w:pStyle w:val="20"/>
              <w:adjustRightInd w:val="0"/>
              <w:snapToGrid w:val="0"/>
              <w:spacing w:before="0" w:beforeAutospacing="0" w:after="0" w:afterAutospacing="0"/>
              <w:jc w:val="center"/>
              <w:rPr>
                <w:rFonts w:cs="宋体"/>
                <w:bCs/>
                <w:color w:val="auto"/>
                <w:kern w:val="2"/>
                <w:sz w:val="21"/>
                <w:szCs w:val="21"/>
                <w:highlight w:val="none"/>
              </w:rPr>
            </w:pPr>
            <w:bookmarkStart w:id="8" w:name="_Hlk49796138"/>
            <w:r>
              <w:rPr>
                <w:rFonts w:hint="eastAsia" w:cs="宋体"/>
                <w:bCs/>
                <w:color w:val="auto"/>
                <w:spacing w:val="10"/>
                <w:kern w:val="2"/>
                <w:sz w:val="21"/>
                <w:szCs w:val="21"/>
                <w:highlight w:val="none"/>
              </w:rPr>
              <w:t>施工期生态环境影响分析</w:t>
            </w:r>
            <w:bookmarkEnd w:id="8"/>
          </w:p>
        </w:tc>
        <w:tc>
          <w:tcPr>
            <w:tcW w:w="8363" w:type="dxa"/>
            <w:noWrap w:val="0"/>
            <w:vAlign w:val="top"/>
          </w:tcPr>
          <w:p w14:paraId="672AB6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本项目施工期由中试基地内基础设施工程和外部配套管廊工程组成。施工期生态环境影响分析如下：</w:t>
            </w:r>
          </w:p>
          <w:p w14:paraId="246C776D">
            <w:pPr>
              <w:pStyle w:val="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auto"/>
                <w:kern w:val="21"/>
                <w:sz w:val="21"/>
                <w:szCs w:val="21"/>
                <w:highlight w:val="none"/>
                <w:lang w:val="en-US" w:eastAsia="zh-CN"/>
              </w:rPr>
            </w:pPr>
            <w:r>
              <w:rPr>
                <w:rFonts w:hint="eastAsia" w:ascii="Times New Roman" w:hAnsi="Times New Roman" w:eastAsia="宋体" w:cs="Times New Roman"/>
                <w:b/>
                <w:bCs/>
                <w:color w:val="auto"/>
                <w:kern w:val="21"/>
                <w:sz w:val="21"/>
                <w:szCs w:val="21"/>
                <w:highlight w:val="none"/>
                <w:lang w:val="en-US" w:eastAsia="zh-CN"/>
              </w:rPr>
              <w:t>1、生态影响</w:t>
            </w:r>
          </w:p>
          <w:p w14:paraId="32D999E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b w:val="0"/>
                <w:bCs w:val="0"/>
                <w:color w:val="auto"/>
                <w:sz w:val="21"/>
                <w:szCs w:val="21"/>
                <w:highlight w:val="none"/>
                <w:lang w:val="en-US" w:eastAsia="zh-CN"/>
              </w:rPr>
              <w:t>本项目中试基地位于图克工业项目区，项目占地为规划建设用地，属于Ⅲ工业用地。占地范围内现状为牧草地。</w:t>
            </w:r>
            <w:r>
              <w:rPr>
                <w:rFonts w:hint="default" w:ascii="Times New Roman" w:hAnsi="Times New Roman" w:eastAsia="宋体" w:cs="Times New Roman"/>
                <w:color w:val="auto"/>
                <w:kern w:val="0"/>
                <w:sz w:val="21"/>
                <w:szCs w:val="21"/>
                <w:highlight w:val="none"/>
                <w:lang w:val="en-US" w:eastAsia="zh-CN" w:bidi="ar"/>
              </w:rPr>
              <w:t>施工期主要因场地平整、厂房建设扰动表层土壤（约</w:t>
            </w:r>
            <w:r>
              <w:rPr>
                <w:rFonts w:hint="default" w:ascii="Times New Roman" w:hAnsi="Times New Roman" w:cs="Times New Roman"/>
                <w:color w:val="auto"/>
                <w:sz w:val="21"/>
                <w:szCs w:val="21"/>
                <w:highlight w:val="none"/>
                <w:lang w:val="en-US" w:eastAsia="zh-CN"/>
              </w:rPr>
              <w:t>194532m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eastAsia="宋体" w:cs="Times New Roman"/>
                <w:color w:val="auto"/>
                <w:kern w:val="0"/>
                <w:sz w:val="21"/>
                <w:szCs w:val="21"/>
                <w:highlight w:val="none"/>
                <w:lang w:val="en-US" w:eastAsia="zh-CN" w:bidi="ar"/>
              </w:rPr>
              <w:t>），导致局部植被清除、地表裸露，短期可能加剧水土流失风险，同时扬尘、机械噪声对周边草本群落及小型动物（如</w:t>
            </w:r>
            <w:r>
              <w:rPr>
                <w:rFonts w:hint="eastAsia" w:ascii="Times New Roman" w:hAnsi="Times New Roman" w:eastAsia="宋体" w:cs="Times New Roman"/>
                <w:color w:val="auto"/>
                <w:kern w:val="0"/>
                <w:sz w:val="21"/>
                <w:szCs w:val="21"/>
                <w:highlight w:val="none"/>
                <w:lang w:val="en-US" w:eastAsia="zh-CN" w:bidi="ar"/>
              </w:rPr>
              <w:t>蜥蜴、蛙类</w:t>
            </w:r>
            <w:r>
              <w:rPr>
                <w:rFonts w:hint="default" w:ascii="Times New Roman" w:hAnsi="Times New Roman" w:eastAsia="宋体" w:cs="Times New Roman"/>
                <w:color w:val="auto"/>
                <w:kern w:val="0"/>
                <w:sz w:val="21"/>
                <w:szCs w:val="21"/>
                <w:highlight w:val="none"/>
                <w:lang w:val="en-US" w:eastAsia="zh-CN" w:bidi="ar"/>
              </w:rPr>
              <w:t>、昆虫）栖息产生短暂干扰。</w:t>
            </w:r>
          </w:p>
          <w:p w14:paraId="1FC7EC2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color w:val="auto"/>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bidi="ar"/>
              </w:rPr>
              <w:t>外部管廊工程总长度215.5m，跨越园区道路和两侧绿化带，不涉及敏感区和敏感目标，占地仅管廊支架基础占用少量土地，基本不会改变管廊沿线植被现状</w:t>
            </w:r>
            <w:r>
              <w:rPr>
                <w:rFonts w:hint="eastAsia" w:ascii="Times New Roman" w:hAnsi="Times New Roman" w:eastAsia="宋体" w:cs="Times New Roman"/>
                <w:color w:val="auto"/>
                <w:kern w:val="0"/>
                <w:sz w:val="21"/>
                <w:szCs w:val="21"/>
                <w:highlight w:val="none"/>
                <w:lang w:val="en-US" w:eastAsia="zh-CN" w:bidi="ar"/>
              </w:rPr>
              <w:t>。</w:t>
            </w:r>
          </w:p>
          <w:p w14:paraId="6A6D4105">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综上，施工期生态影响小，可接受。</w:t>
            </w:r>
          </w:p>
          <w:p w14:paraId="3A963929">
            <w:pPr>
              <w:pStyle w:val="22"/>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施工期废气</w:t>
            </w:r>
          </w:p>
          <w:p w14:paraId="69ECDAC8">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在施工建设过程中，大气</w:t>
            </w:r>
            <w:r>
              <w:rPr>
                <w:rFonts w:hint="eastAsia" w:ascii="Times New Roman" w:hAnsi="Times New Roman" w:eastAsia="宋体" w:cs="Times New Roman"/>
                <w:color w:val="auto"/>
                <w:sz w:val="21"/>
                <w:szCs w:val="21"/>
                <w:highlight w:val="none"/>
                <w:lang w:val="en-US" w:eastAsia="zh-CN"/>
              </w:rPr>
              <w:t>污染主要来自</w:t>
            </w:r>
            <w:r>
              <w:rPr>
                <w:rFonts w:hint="default" w:ascii="Times New Roman" w:hAnsi="Times New Roman" w:eastAsia="宋体" w:cs="Times New Roman"/>
                <w:color w:val="auto"/>
                <w:sz w:val="21"/>
                <w:szCs w:val="21"/>
                <w:highlight w:val="none"/>
              </w:rPr>
              <w:t>：施工扬尘、施工过程中施工机械和运输车辆所产生的燃油废气以及</w:t>
            </w:r>
            <w:r>
              <w:rPr>
                <w:rFonts w:hint="eastAsia" w:ascii="Times New Roman" w:hAnsi="Times New Roman" w:eastAsia="宋体" w:cs="Times New Roman"/>
                <w:color w:val="auto"/>
                <w:sz w:val="21"/>
                <w:szCs w:val="21"/>
                <w:highlight w:val="none"/>
                <w:lang w:val="en-US" w:eastAsia="zh-CN"/>
              </w:rPr>
              <w:t>管廊、管道焊接烟尘</w:t>
            </w:r>
            <w:r>
              <w:rPr>
                <w:rFonts w:hint="default" w:ascii="Times New Roman" w:hAnsi="Times New Roman" w:eastAsia="宋体" w:cs="Times New Roman"/>
                <w:color w:val="auto"/>
                <w:sz w:val="21"/>
                <w:szCs w:val="21"/>
                <w:highlight w:val="none"/>
              </w:rPr>
              <w:t>。施工扬尘主要来自场地平整、打桩等工序产生的粉尘，砂石料堆存过程中的风蚀起尘以及施工运输车辆行驶产生的扬尘。</w:t>
            </w:r>
            <w:r>
              <w:rPr>
                <w:rFonts w:hint="eastAsia" w:ascii="Times New Roman" w:hAnsi="Times New Roman" w:eastAsia="宋体" w:cs="Times New Roman"/>
                <w:color w:val="auto"/>
                <w:sz w:val="21"/>
                <w:szCs w:val="21"/>
                <w:highlight w:val="none"/>
                <w:lang w:val="en-US" w:eastAsia="zh-CN"/>
              </w:rPr>
              <w:t>通过采取围挡、苫盖、洒水等措施，施工扬尘的影响主要局限在施工场地范围内，对周边环境影响较小。</w:t>
            </w:r>
          </w:p>
          <w:p w14:paraId="44796352">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运输车辆、吊装机械设备的尾气排放量小，通过自然逸散，对环境影响可接受；焊接烟尘主要来自基地内外管廊、管道的焊接，间歇产生，排放量小，对环境空气影响可接受。</w:t>
            </w:r>
          </w:p>
          <w:p w14:paraId="112C9F8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施工废水</w:t>
            </w:r>
          </w:p>
          <w:p w14:paraId="3A5B36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施工期废水主要为施工人员生活污水及施工废水。 </w:t>
            </w:r>
          </w:p>
          <w:p w14:paraId="650D23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 xml:space="preserve">生活污水 </w:t>
            </w:r>
          </w:p>
          <w:p w14:paraId="1B7C1B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施工人数按照</w:t>
            </w:r>
            <w:r>
              <w:rPr>
                <w:rFonts w:hint="default" w:ascii="Times New Roman" w:hAnsi="Times New Roman" w:eastAsia="宋体"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rPr>
              <w:t>人计，生活用水量按</w:t>
            </w:r>
            <w:r>
              <w:rPr>
                <w:rFonts w:hint="eastAsia" w:ascii="Times New Roman" w:hAnsi="Times New Roman" w:eastAsia="宋体" w:cs="Times New Roman"/>
                <w:color w:val="auto"/>
                <w:sz w:val="21"/>
                <w:szCs w:val="21"/>
                <w:highlight w:val="none"/>
                <w:lang w:val="en-US" w:eastAsia="zh-CN"/>
              </w:rPr>
              <w:t>90</w:t>
            </w:r>
            <w:r>
              <w:rPr>
                <w:rFonts w:hint="default" w:ascii="Times New Roman" w:hAnsi="Times New Roman" w:eastAsia="宋体" w:cs="Times New Roman"/>
                <w:color w:val="auto"/>
                <w:sz w:val="21"/>
                <w:szCs w:val="21"/>
                <w:highlight w:val="none"/>
              </w:rPr>
              <w:t>L/人•日计，则施工期生活用水量为</w:t>
            </w:r>
            <w:r>
              <w:rPr>
                <w:rFonts w:hint="eastAsia"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rPr>
              <w:t>/d。生活污水的排放量按用水量的8</w:t>
            </w:r>
            <w:r>
              <w:rPr>
                <w:rFonts w:hint="eastAsia" w:ascii="Times New Roman" w:hAnsi="Times New Roman" w:eastAsia="宋体"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rPr>
              <w:t>%计算，则生活污水的排放量为</w:t>
            </w:r>
            <w:r>
              <w:rPr>
                <w:rFonts w:hint="eastAsia" w:ascii="Times New Roman" w:hAnsi="Times New Roman" w:eastAsia="宋体" w:cs="Times New Roman"/>
                <w:color w:val="auto"/>
                <w:sz w:val="21"/>
                <w:szCs w:val="21"/>
                <w:highlight w:val="none"/>
                <w:lang w:val="en-US" w:eastAsia="zh-CN"/>
              </w:rPr>
              <w:t>3.6m</w:t>
            </w:r>
            <w:r>
              <w:rPr>
                <w:rFonts w:hint="eastAsia"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rPr>
              <w:t>/d，主要污染因子为COD、</w:t>
            </w:r>
            <w:r>
              <w:rPr>
                <w:rFonts w:hint="eastAsia" w:ascii="Times New Roman" w:hAnsi="Times New Roman" w:eastAsia="宋体" w:cs="Times New Roman"/>
                <w:color w:val="auto"/>
                <w:sz w:val="21"/>
                <w:szCs w:val="21"/>
                <w:highlight w:val="none"/>
                <w:lang w:val="en-US" w:eastAsia="zh-CN"/>
              </w:rPr>
              <w:t>氨氮、</w:t>
            </w:r>
            <w:r>
              <w:rPr>
                <w:rFonts w:hint="default" w:ascii="Times New Roman" w:hAnsi="Times New Roman" w:eastAsia="宋体" w:cs="Times New Roman"/>
                <w:color w:val="auto"/>
                <w:sz w:val="21"/>
                <w:szCs w:val="21"/>
                <w:highlight w:val="none"/>
              </w:rPr>
              <w:t>SS等，</w:t>
            </w:r>
            <w:r>
              <w:rPr>
                <w:rFonts w:hint="eastAsia" w:ascii="Times New Roman" w:hAnsi="Times New Roman" w:eastAsia="宋体" w:cs="Times New Roman"/>
                <w:color w:val="auto"/>
                <w:sz w:val="21"/>
                <w:szCs w:val="21"/>
                <w:highlight w:val="none"/>
                <w:lang w:val="en-US" w:eastAsia="zh-CN"/>
              </w:rPr>
              <w:t>现场设置移动厕所，</w:t>
            </w:r>
            <w:r>
              <w:rPr>
                <w:rFonts w:hint="default" w:ascii="Times New Roman" w:hAnsi="Times New Roman" w:eastAsia="宋体" w:cs="Times New Roman"/>
                <w:color w:val="auto"/>
                <w:sz w:val="21"/>
                <w:szCs w:val="21"/>
                <w:highlight w:val="none"/>
                <w:lang w:val="en-US" w:eastAsia="zh-CN"/>
              </w:rPr>
              <w:t>定期拉运至</w:t>
            </w:r>
            <w:r>
              <w:rPr>
                <w:rFonts w:hint="eastAsia" w:ascii="Times New Roman" w:hAnsi="Times New Roman" w:eastAsia="宋体" w:cs="Times New Roman"/>
                <w:color w:val="auto"/>
                <w:sz w:val="21"/>
                <w:szCs w:val="21"/>
                <w:highlight w:val="none"/>
                <w:lang w:val="en-US" w:eastAsia="zh-CN"/>
              </w:rPr>
              <w:t>园区生活污水处理厂处理</w:t>
            </w:r>
            <w:r>
              <w:rPr>
                <w:rFonts w:hint="default" w:ascii="Times New Roman" w:hAnsi="Times New Roman" w:eastAsia="宋体" w:cs="Times New Roman"/>
                <w:color w:val="auto"/>
                <w:sz w:val="21"/>
                <w:szCs w:val="21"/>
                <w:highlight w:val="none"/>
              </w:rPr>
              <w:t xml:space="preserve">。 </w:t>
            </w:r>
          </w:p>
          <w:p w14:paraId="310530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 xml:space="preserve">施工废水 </w:t>
            </w:r>
          </w:p>
          <w:p w14:paraId="329C18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施工废水包括施工机械</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运输车辆</w:t>
            </w:r>
            <w:r>
              <w:rPr>
                <w:rFonts w:hint="eastAsia" w:ascii="Times New Roman" w:hAnsi="Times New Roman" w:eastAsia="宋体" w:cs="Times New Roman"/>
                <w:color w:val="auto"/>
                <w:sz w:val="21"/>
                <w:szCs w:val="21"/>
                <w:highlight w:val="none"/>
                <w:lang w:val="en-US" w:eastAsia="zh-CN"/>
              </w:rPr>
              <w:t>轮胎</w:t>
            </w:r>
            <w:r>
              <w:rPr>
                <w:rFonts w:hint="default" w:ascii="Times New Roman" w:hAnsi="Times New Roman" w:eastAsia="宋体" w:cs="Times New Roman"/>
                <w:color w:val="auto"/>
                <w:sz w:val="21"/>
                <w:szCs w:val="21"/>
                <w:highlight w:val="none"/>
              </w:rPr>
              <w:t>冲洗废水及</w:t>
            </w:r>
            <w:r>
              <w:rPr>
                <w:rFonts w:hint="eastAsia" w:ascii="Times New Roman" w:hAnsi="Times New Roman" w:eastAsia="宋体" w:cs="Times New Roman"/>
                <w:color w:val="auto"/>
                <w:sz w:val="21"/>
                <w:szCs w:val="21"/>
                <w:highlight w:val="none"/>
                <w:lang w:val="en-US" w:eastAsia="zh-CN"/>
              </w:rPr>
              <w:t>管道试压</w:t>
            </w:r>
            <w:r>
              <w:rPr>
                <w:rFonts w:hint="default" w:ascii="Times New Roman" w:hAnsi="Times New Roman" w:eastAsia="宋体" w:cs="Times New Roman"/>
                <w:color w:val="auto"/>
                <w:sz w:val="21"/>
                <w:szCs w:val="21"/>
                <w:highlight w:val="none"/>
              </w:rPr>
              <w:t>废水，</w:t>
            </w:r>
            <w:r>
              <w:rPr>
                <w:rFonts w:hint="eastAsia" w:ascii="Times New Roman" w:hAnsi="Times New Roman" w:eastAsia="宋体" w:cs="Times New Roman"/>
                <w:color w:val="auto"/>
                <w:sz w:val="21"/>
                <w:szCs w:val="21"/>
                <w:highlight w:val="none"/>
                <w:lang w:val="en-US" w:eastAsia="zh-CN"/>
              </w:rPr>
              <w:t>废水通常含有一定量的泥沙</w:t>
            </w:r>
            <w:r>
              <w:rPr>
                <w:rFonts w:hint="default" w:ascii="Times New Roman" w:hAnsi="Times New Roman" w:eastAsia="宋体" w:cs="Times New Roman"/>
                <w:color w:val="auto"/>
                <w:sz w:val="21"/>
                <w:szCs w:val="21"/>
                <w:highlight w:val="none"/>
              </w:rPr>
              <w:t>，此类废水经</w:t>
            </w:r>
            <w:r>
              <w:rPr>
                <w:rFonts w:hint="eastAsia" w:ascii="Times New Roman" w:hAnsi="Times New Roman" w:eastAsia="宋体" w:cs="Times New Roman"/>
                <w:color w:val="auto"/>
                <w:sz w:val="21"/>
                <w:szCs w:val="21"/>
                <w:highlight w:val="none"/>
                <w:lang w:val="en-US" w:eastAsia="zh-CN"/>
              </w:rPr>
              <w:t>临时沉淀池</w:t>
            </w:r>
            <w:r>
              <w:rPr>
                <w:rFonts w:hint="default" w:ascii="Times New Roman" w:hAnsi="Times New Roman" w:eastAsia="宋体" w:cs="Times New Roman"/>
                <w:color w:val="auto"/>
                <w:sz w:val="21"/>
                <w:szCs w:val="21"/>
                <w:highlight w:val="none"/>
              </w:rPr>
              <w:t>沉淀后</w:t>
            </w:r>
            <w:r>
              <w:rPr>
                <w:rFonts w:hint="eastAsia" w:ascii="Times New Roman" w:hAnsi="Times New Roman" w:eastAsia="宋体" w:cs="Times New Roman"/>
                <w:color w:val="auto"/>
                <w:sz w:val="21"/>
                <w:szCs w:val="21"/>
                <w:highlight w:val="none"/>
                <w:lang w:val="en-US" w:eastAsia="zh-CN"/>
              </w:rPr>
              <w:t>用于场地洒水降尘或绿化</w:t>
            </w:r>
            <w:r>
              <w:rPr>
                <w:rFonts w:hint="default" w:ascii="Times New Roman" w:hAnsi="Times New Roman" w:eastAsia="宋体" w:cs="Times New Roman"/>
                <w:color w:val="auto"/>
                <w:sz w:val="21"/>
                <w:szCs w:val="21"/>
                <w:highlight w:val="none"/>
              </w:rPr>
              <w:t>，不外排。</w:t>
            </w:r>
          </w:p>
          <w:p w14:paraId="073BCF71">
            <w:pPr>
              <w:pStyle w:val="22"/>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施工噪声</w:t>
            </w:r>
          </w:p>
          <w:p w14:paraId="6B135C84">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施工期噪声主要来自施工机械噪声、施工作业噪声和运输车辆噪声。施工机械噪声由施工机械所造成，如挖掘机、推土机等，多为点声源；施工作业噪声主要指一些零星的敲打声、装卸建材的撞击声、拆装模板的撞击声</w:t>
            </w:r>
            <w:r>
              <w:rPr>
                <w:rFonts w:hint="eastAsia" w:ascii="Times New Roman" w:hAnsi="Times New Roman" w:eastAsia="宋体" w:cs="Times New Roman"/>
                <w:color w:val="auto"/>
                <w:sz w:val="21"/>
                <w:szCs w:val="21"/>
                <w:highlight w:val="none"/>
                <w:lang w:val="en-US" w:eastAsia="zh-CN"/>
              </w:rPr>
              <w:t>以及焊机噪声</w:t>
            </w:r>
            <w:r>
              <w:rPr>
                <w:rFonts w:hint="default" w:ascii="Times New Roman" w:hAnsi="Times New Roman" w:eastAsia="宋体" w:cs="Times New Roman"/>
                <w:color w:val="auto"/>
                <w:sz w:val="21"/>
                <w:szCs w:val="21"/>
                <w:highlight w:val="none"/>
              </w:rPr>
              <w:t>等，多为瞬间噪声；运输车辆的噪声属于交通噪声。</w:t>
            </w:r>
            <w:r>
              <w:rPr>
                <w:rFonts w:hint="eastAsia" w:ascii="Times New Roman" w:hAnsi="Times New Roman" w:eastAsia="宋体" w:cs="Times New Roman"/>
                <w:color w:val="auto"/>
                <w:sz w:val="21"/>
                <w:szCs w:val="21"/>
                <w:highlight w:val="none"/>
                <w:lang w:val="en-US" w:eastAsia="zh-CN"/>
              </w:rPr>
              <w:t>通过选用低噪声设备，加强设备保养，控制作业时间，设置围挡等措施，施工期噪声对环境影响可接受。</w:t>
            </w:r>
          </w:p>
          <w:p w14:paraId="1B44468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lang w:val="en-US" w:eastAsia="zh-CN"/>
              </w:rPr>
              <w:t>施工期固废</w:t>
            </w:r>
          </w:p>
          <w:p w14:paraId="09C103C1">
            <w:pPr>
              <w:pStyle w:val="22"/>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施工期的固废主要有施工人员产生的生活垃圾和各种建筑垃圾等。</w:t>
            </w:r>
          </w:p>
          <w:p w14:paraId="563213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生活垃圾</w:t>
            </w:r>
          </w:p>
          <w:p w14:paraId="571F42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本项目施工期施工人数约</w:t>
            </w:r>
            <w:r>
              <w:rPr>
                <w:rFonts w:hint="default" w:ascii="Times New Roman" w:hAnsi="Times New Roman" w:eastAsia="宋体"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rPr>
              <w:t>人，按每人每天生活垃圾产生量0.5kg计算，则施工期生活垃圾产生量为</w:t>
            </w:r>
            <w:r>
              <w:rPr>
                <w:rFonts w:hint="default" w:ascii="Times New Roman" w:hAnsi="Times New Roman" w:eastAsia="宋体" w:cs="Times New Roman"/>
                <w:color w:val="auto"/>
                <w:sz w:val="21"/>
                <w:szCs w:val="21"/>
                <w:highlight w:val="none"/>
                <w:lang w:val="en-US" w:eastAsia="zh-CN"/>
              </w:rPr>
              <w:t>25</w:t>
            </w:r>
            <w:r>
              <w:rPr>
                <w:rFonts w:hint="default" w:ascii="Times New Roman" w:hAnsi="Times New Roman" w:eastAsia="宋体" w:cs="Times New Roman"/>
                <w:color w:val="auto"/>
                <w:sz w:val="21"/>
                <w:szCs w:val="21"/>
                <w:highlight w:val="none"/>
              </w:rPr>
              <w:t>kg/d，生活垃圾</w:t>
            </w:r>
            <w:r>
              <w:rPr>
                <w:rFonts w:hint="eastAsia" w:ascii="Times New Roman" w:hAnsi="Times New Roman" w:eastAsia="宋体" w:cs="Times New Roman"/>
                <w:color w:val="auto"/>
                <w:sz w:val="21"/>
                <w:szCs w:val="21"/>
                <w:highlight w:val="none"/>
                <w:lang w:val="en-US" w:eastAsia="zh-CN"/>
              </w:rPr>
              <w:t>集中收集后定期</w:t>
            </w:r>
            <w:r>
              <w:rPr>
                <w:rFonts w:hint="default" w:ascii="Times New Roman" w:hAnsi="Times New Roman" w:eastAsia="宋体" w:cs="Times New Roman"/>
                <w:color w:val="auto"/>
                <w:sz w:val="21"/>
                <w:szCs w:val="21"/>
                <w:highlight w:val="none"/>
              </w:rPr>
              <w:t>清运</w:t>
            </w:r>
            <w:r>
              <w:rPr>
                <w:rFonts w:hint="eastAsia" w:ascii="Times New Roman" w:hAnsi="Times New Roman" w:eastAsia="宋体" w:cs="Times New Roman"/>
                <w:color w:val="auto"/>
                <w:sz w:val="21"/>
                <w:szCs w:val="21"/>
                <w:highlight w:val="none"/>
                <w:lang w:val="en-US" w:eastAsia="zh-CN"/>
              </w:rPr>
              <w:t>就近生活垃圾级填埋场处置</w:t>
            </w:r>
            <w:r>
              <w:rPr>
                <w:rFonts w:hint="default" w:ascii="Times New Roman" w:hAnsi="Times New Roman" w:eastAsia="宋体" w:cs="Times New Roman"/>
                <w:color w:val="auto"/>
                <w:sz w:val="21"/>
                <w:szCs w:val="21"/>
                <w:highlight w:val="none"/>
              </w:rPr>
              <w:t>。</w:t>
            </w:r>
          </w:p>
          <w:p w14:paraId="42F1DC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 </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建筑垃圾</w:t>
            </w:r>
          </w:p>
          <w:p w14:paraId="238280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本项目在建设过程中产生的建筑垃圾主要有</w:t>
            </w:r>
            <w:r>
              <w:rPr>
                <w:rFonts w:hint="eastAsia" w:ascii="Times New Roman" w:hAnsi="Times New Roman" w:eastAsia="宋体" w:cs="Times New Roman"/>
                <w:color w:val="auto"/>
                <w:sz w:val="21"/>
                <w:szCs w:val="21"/>
                <w:highlight w:val="none"/>
                <w:lang w:val="en-US" w:eastAsia="zh-CN"/>
              </w:rPr>
              <w:t>建筑施工和装修过程产生的施工废料以及临时沉淀池产生的污泥</w:t>
            </w:r>
            <w:r>
              <w:rPr>
                <w:rFonts w:hint="default" w:ascii="Times New Roman" w:hAnsi="Times New Roman" w:eastAsia="宋体" w:cs="Times New Roman"/>
                <w:color w:val="auto"/>
                <w:sz w:val="21"/>
                <w:szCs w:val="21"/>
                <w:highlight w:val="none"/>
              </w:rPr>
              <w:t>等。</w:t>
            </w:r>
            <w:r>
              <w:rPr>
                <w:rFonts w:hint="default" w:ascii="Times New Roman" w:hAnsi="Times New Roman" w:eastAsia="宋体" w:cs="Times New Roman"/>
                <w:color w:val="auto"/>
                <w:sz w:val="21"/>
                <w:szCs w:val="21"/>
                <w:highlight w:val="none"/>
                <w:lang w:val="en-US" w:eastAsia="zh-CN"/>
              </w:rPr>
              <w:t>施工单位应按照</w:t>
            </w:r>
            <w:r>
              <w:rPr>
                <w:rFonts w:hint="default" w:ascii="Times New Roman" w:hAnsi="Times New Roman" w:eastAsia="宋体" w:cs="Times New Roman"/>
                <w:b w:val="0"/>
                <w:bCs w:val="0"/>
                <w:color w:val="auto"/>
                <w:sz w:val="21"/>
                <w:szCs w:val="21"/>
                <w:highlight w:val="none"/>
                <w:lang w:eastAsia="zh-CN"/>
              </w:rPr>
              <w:t>《</w:t>
            </w:r>
            <w:r>
              <w:rPr>
                <w:rStyle w:val="27"/>
                <w:rFonts w:hint="default" w:ascii="Times New Roman" w:hAnsi="Times New Roman" w:eastAsia="宋体" w:cs="Times New Roman"/>
                <w:b w:val="0"/>
                <w:bCs w:val="0"/>
                <w:i w:val="0"/>
                <w:iCs w:val="0"/>
                <w:caps w:val="0"/>
                <w:color w:val="auto"/>
                <w:spacing w:val="0"/>
                <w:sz w:val="21"/>
                <w:szCs w:val="21"/>
                <w:highlight w:val="none"/>
                <w:shd w:val="clear" w:color="auto" w:fill="FFFFFF"/>
              </w:rPr>
              <w:t>中华人民共和国固体废物污染环境防治法</w:t>
            </w:r>
            <w:r>
              <w:rPr>
                <w:rFonts w:hint="default"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val="en-US" w:eastAsia="zh-CN"/>
              </w:rPr>
              <w:t>和</w:t>
            </w:r>
            <w:r>
              <w:rPr>
                <w:rFonts w:hint="default" w:ascii="Times New Roman" w:hAnsi="Times New Roman" w:eastAsia="宋体" w:cs="Times New Roman"/>
                <w:color w:val="auto"/>
                <w:sz w:val="21"/>
                <w:szCs w:val="21"/>
                <w:highlight w:val="none"/>
              </w:rPr>
              <w:t>《城市建筑垃圾管理规定》</w:t>
            </w:r>
            <w:r>
              <w:rPr>
                <w:rFonts w:hint="default" w:ascii="Times New Roman" w:hAnsi="Times New Roman" w:eastAsia="宋体" w:cs="Times New Roman"/>
                <w:b w:val="0"/>
                <w:bCs w:val="0"/>
                <w:color w:val="auto"/>
                <w:sz w:val="21"/>
                <w:szCs w:val="21"/>
                <w:highlight w:val="none"/>
                <w:lang w:val="en-US" w:eastAsia="zh-CN"/>
              </w:rPr>
              <w:t>的相关要求</w:t>
            </w:r>
            <w:r>
              <w:rPr>
                <w:rFonts w:hint="default" w:ascii="Times New Roman" w:hAnsi="Times New Roman" w:eastAsia="宋体" w:cs="Times New Roman"/>
                <w:i w:val="0"/>
                <w:iCs w:val="0"/>
                <w:caps w:val="0"/>
                <w:color w:val="auto"/>
                <w:spacing w:val="0"/>
                <w:sz w:val="21"/>
                <w:szCs w:val="21"/>
                <w:highlight w:val="none"/>
                <w:shd w:val="clear" w:color="auto" w:fill="FFFFFF"/>
              </w:rPr>
              <w:t>编制建筑垃圾处理方案</w:t>
            </w:r>
            <w:r>
              <w:rPr>
                <w:rFonts w:hint="default" w:ascii="Times New Roman" w:hAnsi="Times New Roman" w:eastAsia="宋体" w:cs="Times New Roman"/>
                <w:i w:val="0"/>
                <w:iCs w:val="0"/>
                <w:caps w:val="0"/>
                <w:color w:val="auto"/>
                <w:spacing w:val="0"/>
                <w:sz w:val="21"/>
                <w:szCs w:val="21"/>
                <w:highlight w:val="none"/>
                <w:shd w:val="clear" w:color="auto" w:fill="FFFFFF"/>
                <w:lang w:eastAsia="zh-CN"/>
              </w:rPr>
              <w:t>，</w:t>
            </w:r>
            <w:r>
              <w:rPr>
                <w:rFonts w:hint="eastAsia"/>
                <w:color w:val="auto"/>
                <w:highlight w:val="none"/>
                <w:lang w:val="en-US" w:eastAsia="zh-CN"/>
              </w:rPr>
              <w:t>及时清运建筑垃圾至就近的建筑垃圾处理厂处置</w:t>
            </w:r>
            <w:r>
              <w:rPr>
                <w:rFonts w:hint="default" w:ascii="Times New Roman" w:hAnsi="Times New Roman" w:eastAsia="宋体" w:cs="Times New Roman"/>
                <w:i w:val="0"/>
                <w:iCs w:val="0"/>
                <w:caps w:val="0"/>
                <w:color w:val="auto"/>
                <w:spacing w:val="0"/>
                <w:sz w:val="21"/>
                <w:szCs w:val="21"/>
                <w:highlight w:val="none"/>
                <w:shd w:val="clear" w:color="auto" w:fill="FFFFFF"/>
                <w:lang w:eastAsia="zh-CN"/>
              </w:rPr>
              <w:t>，</w:t>
            </w:r>
            <w:r>
              <w:rPr>
                <w:rFonts w:hint="default" w:ascii="Times New Roman" w:hAnsi="Times New Roman" w:eastAsia="宋体" w:cs="Times New Roman"/>
                <w:i w:val="0"/>
                <w:iCs w:val="0"/>
                <w:caps w:val="0"/>
                <w:color w:val="auto"/>
                <w:spacing w:val="0"/>
                <w:sz w:val="21"/>
                <w:szCs w:val="21"/>
                <w:highlight w:val="none"/>
                <w:shd w:val="clear" w:color="auto" w:fill="FFFFFF"/>
              </w:rPr>
              <w:t>不得擅自倾倒、抛撒或者堆放</w:t>
            </w:r>
            <w:r>
              <w:rPr>
                <w:rFonts w:hint="default" w:ascii="Times New Roman" w:hAnsi="Times New Roman" w:eastAsia="宋体" w:cs="Times New Roman"/>
                <w:i w:val="0"/>
                <w:iCs w:val="0"/>
                <w:caps w:val="0"/>
                <w:color w:val="auto"/>
                <w:spacing w:val="0"/>
                <w:sz w:val="21"/>
                <w:szCs w:val="21"/>
                <w:highlight w:val="none"/>
                <w:shd w:val="clear" w:color="auto" w:fill="FFFFFF"/>
                <w:lang w:eastAsia="zh-CN"/>
              </w:rPr>
              <w:t>。</w:t>
            </w:r>
          </w:p>
          <w:p w14:paraId="308537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综上，本项目施工期固体废物均得到妥善处理处置，对环境的影响可接受。</w:t>
            </w:r>
          </w:p>
        </w:tc>
      </w:tr>
      <w:tr w14:paraId="325AA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83" w:hRule="atLeast"/>
          <w:jc w:val="center"/>
        </w:trPr>
        <w:tc>
          <w:tcPr>
            <w:tcW w:w="879" w:type="dxa"/>
            <w:noWrap w:val="0"/>
            <w:tcMar>
              <w:left w:w="28" w:type="dxa"/>
              <w:right w:w="28" w:type="dxa"/>
            </w:tcMar>
            <w:vAlign w:val="center"/>
          </w:tcPr>
          <w:p w14:paraId="7CEA5809">
            <w:pPr>
              <w:pStyle w:val="20"/>
              <w:adjustRightInd w:val="0"/>
              <w:snapToGrid w:val="0"/>
              <w:spacing w:before="0" w:beforeAutospacing="0" w:after="0" w:afterAutospacing="0"/>
              <w:jc w:val="center"/>
              <w:rPr>
                <w:rFonts w:cs="宋体"/>
                <w:bCs/>
                <w:color w:val="auto"/>
                <w:kern w:val="2"/>
                <w:sz w:val="21"/>
                <w:szCs w:val="21"/>
                <w:highlight w:val="none"/>
              </w:rPr>
            </w:pPr>
            <w:r>
              <w:rPr>
                <w:rFonts w:hint="eastAsia" w:cs="宋体"/>
                <w:bCs/>
                <w:color w:val="auto"/>
                <w:spacing w:val="10"/>
                <w:kern w:val="2"/>
                <w:sz w:val="21"/>
                <w:szCs w:val="21"/>
                <w:highlight w:val="none"/>
              </w:rPr>
              <w:t>运营期生态环境影响分析</w:t>
            </w:r>
          </w:p>
        </w:tc>
        <w:tc>
          <w:tcPr>
            <w:tcW w:w="8363" w:type="dxa"/>
            <w:noWrap w:val="0"/>
            <w:vAlign w:val="top"/>
          </w:tcPr>
          <w:p w14:paraId="2BE93AC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本项目为现代煤化工中试基地基础设施建设工程，建设内容包括标准化试验厂房、库房、研发中心、办公楼、管廊工程等。其中，一期11座标准化厂房和二期3座标准化厂房主要</w:t>
            </w:r>
            <w:r>
              <w:rPr>
                <w:rFonts w:hint="default" w:ascii="Times New Roman" w:hAnsi="Times New Roman" w:eastAsia="宋体" w:cs="Times New Roman"/>
                <w:color w:val="auto"/>
                <w:kern w:val="0"/>
                <w:sz w:val="21"/>
                <w:szCs w:val="21"/>
                <w:highlight w:val="none"/>
                <w:lang w:val="en-US" w:eastAsia="zh-CN" w:bidi="ar"/>
              </w:rPr>
              <w:t>承载</w:t>
            </w:r>
            <w:r>
              <w:rPr>
                <w:rFonts w:hint="default" w:ascii="Times New Roman" w:hAnsi="Times New Roman" w:eastAsia="宋体" w:cs="Times New Roman"/>
                <w:color w:val="auto"/>
                <w:sz w:val="21"/>
                <w:szCs w:val="21"/>
                <w:highlight w:val="none"/>
                <w:lang w:val="en-US" w:eastAsia="zh-CN"/>
              </w:rPr>
              <w:t>后续基地入驻的中试项目</w:t>
            </w:r>
            <w:r>
              <w:rPr>
                <w:rFonts w:ascii="Times New Roman" w:hAnsi="Times New Roman" w:eastAsia="宋体" w:cs="Times New Roman"/>
                <w:color w:val="auto"/>
                <w:kern w:val="0"/>
                <w:sz w:val="21"/>
                <w:szCs w:val="21"/>
                <w:highlight w:val="none"/>
                <w:lang w:val="en-US" w:eastAsia="zh-CN" w:bidi="ar"/>
              </w:rPr>
              <w:t>中试阶段的核心生产验证活动，是小试成果向工业化转化的“试验场”</w:t>
            </w:r>
            <w:r>
              <w:rPr>
                <w:rFonts w:hint="default" w:ascii="Times New Roman" w:hAnsi="Times New Roman" w:eastAsia="宋体" w:cs="Times New Roman"/>
                <w:color w:val="auto"/>
                <w:kern w:val="0"/>
                <w:sz w:val="21"/>
                <w:szCs w:val="21"/>
                <w:highlight w:val="none"/>
                <w:lang w:val="en-US" w:eastAsia="zh-CN" w:bidi="ar"/>
              </w:rPr>
              <w:t>；各类</w:t>
            </w:r>
            <w:r>
              <w:rPr>
                <w:rFonts w:ascii="Times New Roman" w:hAnsi="Times New Roman" w:eastAsia="宋体" w:cs="Times New Roman"/>
                <w:color w:val="auto"/>
                <w:kern w:val="0"/>
                <w:sz w:val="21"/>
                <w:szCs w:val="21"/>
                <w:highlight w:val="none"/>
                <w:lang w:val="en-US" w:eastAsia="zh-CN" w:bidi="ar"/>
              </w:rPr>
              <w:t>库房为中试项目提供全流程物料的高效流转与安全存储保障</w:t>
            </w:r>
            <w:r>
              <w:rPr>
                <w:rFonts w:hint="default" w:ascii="Times New Roman" w:hAnsi="Times New Roman" w:eastAsia="宋体" w:cs="Times New Roman"/>
                <w:color w:val="auto"/>
                <w:kern w:val="0"/>
                <w:sz w:val="21"/>
                <w:szCs w:val="21"/>
                <w:highlight w:val="none"/>
                <w:lang w:val="en-US" w:eastAsia="zh-CN" w:bidi="ar"/>
              </w:rPr>
              <w:t>；预留的露天实验区主要为入驻中试项目提供</w:t>
            </w:r>
            <w:r>
              <w:rPr>
                <w:rFonts w:ascii="Times New Roman" w:hAnsi="Times New Roman" w:eastAsia="宋体" w:cs="Times New Roman"/>
                <w:color w:val="auto"/>
                <w:kern w:val="0"/>
                <w:sz w:val="21"/>
                <w:szCs w:val="21"/>
                <w:highlight w:val="none"/>
                <w:lang w:val="en-US" w:eastAsia="zh-CN" w:bidi="ar"/>
              </w:rPr>
              <w:t>满足大尺寸设备测试、特殊环境模拟或需开放空间的中试需求</w:t>
            </w:r>
            <w:r>
              <w:rPr>
                <w:rFonts w:hint="default" w:ascii="Times New Roman" w:hAnsi="Times New Roman" w:eastAsia="宋体" w:cs="Times New Roman"/>
                <w:color w:val="auto"/>
                <w:kern w:val="0"/>
                <w:sz w:val="21"/>
                <w:szCs w:val="21"/>
                <w:highlight w:val="none"/>
                <w:lang w:val="en-US" w:eastAsia="zh-CN" w:bidi="ar"/>
              </w:rPr>
              <w:t>；研发中心</w:t>
            </w:r>
            <w:r>
              <w:rPr>
                <w:rFonts w:ascii="Times New Roman" w:hAnsi="Times New Roman" w:eastAsia="宋体" w:cs="Times New Roman"/>
                <w:color w:val="auto"/>
                <w:kern w:val="0"/>
                <w:sz w:val="21"/>
                <w:szCs w:val="21"/>
                <w:highlight w:val="none"/>
                <w:lang w:val="en-US" w:eastAsia="zh-CN" w:bidi="ar"/>
              </w:rPr>
              <w:t>聚焦中试阶段的技术迭代与创新，支撑从“试验”到“优化”的闭环</w:t>
            </w:r>
            <w:r>
              <w:rPr>
                <w:rFonts w:hint="default" w:ascii="Times New Roman" w:hAnsi="Times New Roman" w:eastAsia="宋体" w:cs="Times New Roman"/>
                <w:color w:val="auto"/>
                <w:kern w:val="0"/>
                <w:sz w:val="21"/>
                <w:szCs w:val="21"/>
                <w:highlight w:val="none"/>
                <w:lang w:val="en-US" w:eastAsia="zh-CN" w:bidi="ar"/>
              </w:rPr>
              <w:t>；管廊工程主要</w:t>
            </w:r>
            <w:r>
              <w:rPr>
                <w:rFonts w:ascii="Times New Roman" w:hAnsi="Times New Roman" w:eastAsia="宋体" w:cs="Times New Roman"/>
                <w:color w:val="auto"/>
                <w:kern w:val="0"/>
                <w:sz w:val="21"/>
                <w:szCs w:val="21"/>
                <w:highlight w:val="none"/>
                <w:lang w:val="en-US" w:eastAsia="zh-CN" w:bidi="ar"/>
              </w:rPr>
              <w:t>统筹中试基地的能源、物料输送，保障各功能区的稳定运行。</w:t>
            </w:r>
          </w:p>
          <w:p w14:paraId="6EBACB7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color w:val="auto"/>
                <w:highlight w:val="none"/>
                <w:lang w:val="en-US" w:eastAsia="zh-CN"/>
              </w:rPr>
            </w:pPr>
            <w:r>
              <w:rPr>
                <w:rFonts w:hint="eastAsia"/>
                <w:color w:val="auto"/>
                <w:sz w:val="21"/>
                <w:szCs w:val="21"/>
                <w:highlight w:val="none"/>
                <w:lang w:val="en-US" w:eastAsia="zh-CN"/>
              </w:rPr>
              <w:t>本项目建成后自身不发生具体生产活动。</w:t>
            </w:r>
          </w:p>
          <w:p w14:paraId="483C274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color w:val="auto"/>
                <w:highlight w:val="none"/>
                <w:lang w:val="en-US" w:eastAsia="zh-CN"/>
              </w:rPr>
            </w:pPr>
            <w:r>
              <w:rPr>
                <w:rFonts w:hint="eastAsia"/>
                <w:color w:val="auto"/>
                <w:highlight w:val="none"/>
                <w:lang w:val="en-US" w:eastAsia="zh-CN"/>
              </w:rPr>
              <w:t>后续入驻基地的中试项目均须单独开展环境影响评价（包括一二期所有入驻中试基地的煤化工中试项目以及预留的露天试验区具体建设内容），其生产工艺与产排污分析在对应的环境影响评价报告中进行分析，本次环评不涉及。本项目运营期主要环境影响如下：</w:t>
            </w:r>
          </w:p>
          <w:p w14:paraId="7B22D370">
            <w:pPr>
              <w:keepLines w:val="0"/>
              <w:pageBreakBefore w:val="0"/>
              <w:widowControl/>
              <w:kinsoku/>
              <w:wordWrap/>
              <w:overflowPunct/>
              <w:topLinePunct w:val="0"/>
              <w:autoSpaceDE/>
              <w:autoSpaceDN/>
              <w:bidi w:val="0"/>
              <w:spacing w:line="360" w:lineRule="auto"/>
              <w:ind w:firstLine="422" w:firstLineChars="200"/>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1、废气</w:t>
            </w:r>
          </w:p>
          <w:p w14:paraId="06720682">
            <w:pPr>
              <w:keepLines w:val="0"/>
              <w:pageBreakBefore w:val="0"/>
              <w:widowControl/>
              <w:kinsoku/>
              <w:wordWrap/>
              <w:overflowPunct/>
              <w:topLinePunct w:val="0"/>
              <w:autoSpaceDE/>
              <w:autoSpaceDN/>
              <w:bidi w:val="0"/>
              <w:spacing w:line="360" w:lineRule="auto"/>
              <w:ind w:firstLine="420" w:firstLineChars="200"/>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本项目为中试基地基础工程，自身不会排放废气污染物，然而基地危废库用于贮存后续中试项目产生的危废，可能产生废气排放；火炬系统用于中试基地入驻的中试项目事故状态下驰放气的处理，废气焚烧过程会有污染物排放，但较驰放气直排，火炬系统显著减少了污染物的排放。</w:t>
            </w:r>
          </w:p>
          <w:p w14:paraId="7F7E22D5">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default"/>
                <w:b/>
                <w:bCs/>
                <w:color w:val="auto"/>
                <w:highlight w:val="none"/>
                <w:lang w:val="en-US" w:eastAsia="zh-CN"/>
              </w:rPr>
            </w:pPr>
            <w:r>
              <w:rPr>
                <w:rFonts w:hint="eastAsia"/>
                <w:b/>
                <w:bCs/>
                <w:color w:val="auto"/>
                <w:highlight w:val="none"/>
                <w:lang w:val="en-US" w:eastAsia="zh-CN"/>
              </w:rPr>
              <w:t>2、废水</w:t>
            </w:r>
          </w:p>
          <w:p w14:paraId="46B189C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b/>
                <w:color w:val="auto"/>
                <w:sz w:val="21"/>
                <w:szCs w:val="21"/>
                <w:highlight w:val="none"/>
                <w:lang w:val="en-US"/>
              </w:rPr>
            </w:pPr>
            <w:r>
              <w:rPr>
                <w:rFonts w:hint="eastAsia"/>
                <w:b w:val="0"/>
                <w:bCs/>
                <w:color w:val="auto"/>
                <w:sz w:val="21"/>
                <w:szCs w:val="21"/>
                <w:highlight w:val="none"/>
                <w:lang w:val="en-US" w:eastAsia="zh-CN"/>
              </w:rPr>
              <w:t>本项目为中试基地基础设施建设工程，运营期废水包括生活污水、循环水站和火炬系统废水。生活污水定期清掏外运园区生活污水处理厂处理；循环水站和火炬污系统废水依托</w:t>
            </w:r>
            <w:r>
              <w:rPr>
                <w:rFonts w:hint="eastAsia" w:ascii="Times New Roman" w:hAnsi="Times New Roman" w:cs="Times New Roman"/>
                <w:color w:val="auto"/>
                <w:szCs w:val="21"/>
                <w:highlight w:val="none"/>
                <w:u w:val="none"/>
                <w:lang w:val="en-US" w:eastAsia="zh-CN"/>
              </w:rPr>
              <w:t>中煤鄂尔多斯能源化工有限公司</w:t>
            </w:r>
            <w:r>
              <w:rPr>
                <w:rFonts w:hint="eastAsia"/>
                <w:b w:val="0"/>
                <w:bCs/>
                <w:color w:val="auto"/>
                <w:sz w:val="21"/>
                <w:szCs w:val="21"/>
                <w:highlight w:val="none"/>
                <w:lang w:val="en-US" w:eastAsia="zh-CN"/>
              </w:rPr>
              <w:t>处理后综合利用，对水环境基本无影响。</w:t>
            </w:r>
          </w:p>
          <w:p w14:paraId="229AE79E">
            <w:pPr>
              <w:keepLines w:val="0"/>
              <w:pageBreakBefore w:val="0"/>
              <w:kinsoku/>
              <w:wordWrap/>
              <w:overflowPunct/>
              <w:topLinePunct w:val="0"/>
              <w:autoSpaceDE/>
              <w:autoSpaceDN/>
              <w:bidi w:val="0"/>
              <w:spacing w:line="360" w:lineRule="auto"/>
              <w:ind w:firstLine="422" w:firstLineChars="200"/>
              <w:textAlignment w:val="auto"/>
              <w:rPr>
                <w:b/>
                <w:bCs/>
                <w:color w:val="auto"/>
                <w:sz w:val="21"/>
                <w:szCs w:val="21"/>
                <w:highlight w:val="none"/>
              </w:rPr>
            </w:pPr>
            <w:r>
              <w:rPr>
                <w:rFonts w:hint="eastAsia"/>
                <w:b/>
                <w:bCs/>
                <w:color w:val="auto"/>
                <w:sz w:val="21"/>
                <w:szCs w:val="21"/>
                <w:highlight w:val="none"/>
                <w:lang w:val="en-US" w:eastAsia="zh-CN"/>
              </w:rPr>
              <w:t>3、</w:t>
            </w:r>
            <w:r>
              <w:rPr>
                <w:rFonts w:hint="eastAsia"/>
                <w:b/>
                <w:bCs/>
                <w:color w:val="auto"/>
                <w:sz w:val="21"/>
                <w:szCs w:val="21"/>
                <w:highlight w:val="none"/>
              </w:rPr>
              <w:t>噪声</w:t>
            </w:r>
          </w:p>
          <w:p w14:paraId="737F0867">
            <w:pPr>
              <w:keepLines w:val="0"/>
              <w:pageBreakBefore w:val="0"/>
              <w:kinsoku/>
              <w:wordWrap/>
              <w:overflowPunct/>
              <w:topLinePunct w:val="0"/>
              <w:autoSpaceDE/>
              <w:autoSpaceDN/>
              <w:bidi w:val="0"/>
              <w:spacing w:line="360" w:lineRule="auto"/>
              <w:ind w:firstLine="420" w:firstLineChars="200"/>
              <w:textAlignment w:val="auto"/>
              <w:rPr>
                <w:rFonts w:hint="default"/>
                <w:color w:val="auto"/>
                <w:sz w:val="21"/>
                <w:szCs w:val="21"/>
                <w:highlight w:val="none"/>
                <w:lang w:val="en-US" w:eastAsia="zh-CN"/>
              </w:rPr>
            </w:pPr>
            <w:r>
              <w:rPr>
                <w:rFonts w:hint="eastAsia"/>
                <w:color w:val="auto"/>
                <w:sz w:val="21"/>
                <w:szCs w:val="21"/>
                <w:highlight w:val="none"/>
                <w:lang w:val="en-US" w:eastAsia="zh-CN"/>
              </w:rPr>
              <w:t>（1）噪声源分布</w:t>
            </w:r>
          </w:p>
          <w:p w14:paraId="46F7700C">
            <w:pPr>
              <w:keepLines w:val="0"/>
              <w:pageBreakBefore w:val="0"/>
              <w:kinsoku/>
              <w:wordWrap/>
              <w:overflowPunct/>
              <w:topLinePunct w:val="0"/>
              <w:autoSpaceDE/>
              <w:autoSpaceDN/>
              <w:bidi w:val="0"/>
              <w:spacing w:line="360" w:lineRule="auto"/>
              <w:ind w:firstLine="420" w:firstLineChars="200"/>
              <w:textAlignment w:val="auto"/>
              <w:rPr>
                <w:rFonts w:hint="eastAsia"/>
                <w:color w:val="auto"/>
                <w:sz w:val="21"/>
                <w:szCs w:val="21"/>
                <w:highlight w:val="none"/>
              </w:rPr>
            </w:pPr>
            <w:r>
              <w:rPr>
                <w:rFonts w:hint="eastAsia"/>
                <w:color w:val="auto"/>
                <w:sz w:val="21"/>
                <w:szCs w:val="21"/>
                <w:highlight w:val="none"/>
                <w:lang w:val="en-US" w:eastAsia="zh-CN"/>
              </w:rPr>
              <w:t>本项目为中试基地基础设施建设工程，在基础设施建成后，中试项目入驻基地前，基本不产生工业生产噪声</w:t>
            </w:r>
            <w:r>
              <w:rPr>
                <w:rFonts w:hint="eastAsia"/>
                <w:color w:val="auto"/>
                <w:sz w:val="21"/>
                <w:szCs w:val="21"/>
                <w:highlight w:val="none"/>
              </w:rPr>
              <w:t>。</w:t>
            </w:r>
            <w:r>
              <w:rPr>
                <w:rFonts w:hint="eastAsia"/>
                <w:color w:val="auto"/>
                <w:sz w:val="21"/>
                <w:szCs w:val="21"/>
                <w:highlight w:val="none"/>
                <w:lang w:val="en-US" w:eastAsia="zh-CN"/>
              </w:rPr>
              <w:t>中试项目入驻基地后，因生产需要，本次工程建设的空压站、循环水站、换热站等公用设备运行将产生噪声排放，各设备</w:t>
            </w:r>
            <w:r>
              <w:rPr>
                <w:rFonts w:hint="eastAsia"/>
                <w:color w:val="auto"/>
                <w:sz w:val="21"/>
                <w:szCs w:val="21"/>
                <w:highlight w:val="none"/>
              </w:rPr>
              <w:t>噪声级在7</w:t>
            </w:r>
            <w:r>
              <w:rPr>
                <w:rFonts w:hint="eastAsia"/>
                <w:color w:val="auto"/>
                <w:sz w:val="21"/>
                <w:szCs w:val="21"/>
                <w:highlight w:val="none"/>
                <w:lang w:val="en-US" w:eastAsia="zh-CN"/>
              </w:rPr>
              <w:t>5</w:t>
            </w:r>
            <w:r>
              <w:rPr>
                <w:rFonts w:hint="eastAsia"/>
                <w:color w:val="auto"/>
                <w:sz w:val="21"/>
                <w:szCs w:val="21"/>
                <w:highlight w:val="none"/>
              </w:rPr>
              <w:t>～90dB(A)左右，主要产噪设备见下表。</w:t>
            </w:r>
          </w:p>
          <w:p w14:paraId="73F3AA69">
            <w:pPr>
              <w:pStyle w:val="55"/>
              <w:keepLines w:val="0"/>
              <w:pageBreakBefore w:val="0"/>
              <w:kinsoku/>
              <w:wordWrap/>
              <w:overflowPunct/>
              <w:topLinePunct w:val="0"/>
              <w:autoSpaceDE/>
              <w:autoSpaceDN/>
              <w:bidi w:val="0"/>
              <w:spacing w:line="360" w:lineRule="auto"/>
              <w:textAlignment w:val="auto"/>
              <w:rPr>
                <w:rFonts w:cs="Times New Roman"/>
                <w:b w:val="0"/>
                <w:bCs/>
                <w:color w:val="auto"/>
                <w:sz w:val="21"/>
                <w:szCs w:val="21"/>
                <w:highlight w:val="none"/>
              </w:rPr>
            </w:pPr>
            <w:r>
              <w:rPr>
                <w:rFonts w:cs="Times New Roman"/>
                <w:color w:val="auto"/>
                <w:sz w:val="21"/>
                <w:szCs w:val="21"/>
                <w:highlight w:val="none"/>
              </w:rPr>
              <w:t>表</w:t>
            </w:r>
            <w:r>
              <w:rPr>
                <w:rFonts w:hint="eastAsia" w:cs="Times New Roman"/>
                <w:color w:val="auto"/>
                <w:sz w:val="21"/>
                <w:szCs w:val="21"/>
                <w:highlight w:val="none"/>
              </w:rPr>
              <w:t xml:space="preserve">4-1   </w:t>
            </w:r>
            <w:r>
              <w:rPr>
                <w:rFonts w:cs="Times New Roman"/>
                <w:color w:val="auto"/>
                <w:sz w:val="21"/>
                <w:szCs w:val="21"/>
                <w:highlight w:val="none"/>
              </w:rPr>
              <w:t xml:space="preserve"> 项目主要设备噪声源强     单位：dB（A）</w:t>
            </w:r>
          </w:p>
          <w:tbl>
            <w:tblPr>
              <w:tblStyle w:val="25"/>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365"/>
              <w:gridCol w:w="375"/>
              <w:gridCol w:w="840"/>
              <w:gridCol w:w="870"/>
              <w:gridCol w:w="578"/>
              <w:gridCol w:w="832"/>
              <w:gridCol w:w="660"/>
              <w:gridCol w:w="690"/>
              <w:gridCol w:w="675"/>
              <w:gridCol w:w="708"/>
            </w:tblGrid>
            <w:tr w14:paraId="4C7D80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35" w:type="pct"/>
                  <w:vMerge w:val="restart"/>
                  <w:tcBorders>
                    <w:tl2br w:val="nil"/>
                    <w:tr2bl w:val="nil"/>
                  </w:tcBorders>
                  <w:noWrap w:val="0"/>
                  <w:vAlign w:val="center"/>
                </w:tcPr>
                <w:p w14:paraId="01A436D6">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建筑物名称</w:t>
                  </w:r>
                </w:p>
              </w:tc>
              <w:tc>
                <w:tcPr>
                  <w:tcW w:w="838" w:type="pct"/>
                  <w:vMerge w:val="restart"/>
                  <w:tcBorders>
                    <w:tl2br w:val="nil"/>
                    <w:tr2bl w:val="nil"/>
                  </w:tcBorders>
                  <w:noWrap w:val="0"/>
                  <w:vAlign w:val="center"/>
                </w:tcPr>
                <w:p w14:paraId="095681D6">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声源</w:t>
                  </w:r>
                </w:p>
                <w:p w14:paraId="0B453135">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名称</w:t>
                  </w:r>
                </w:p>
              </w:tc>
              <w:tc>
                <w:tcPr>
                  <w:tcW w:w="230" w:type="pct"/>
                  <w:vMerge w:val="restart"/>
                  <w:tcBorders>
                    <w:tl2br w:val="nil"/>
                    <w:tr2bl w:val="nil"/>
                  </w:tcBorders>
                  <w:noWrap w:val="0"/>
                  <w:vAlign w:val="center"/>
                </w:tcPr>
                <w:p w14:paraId="2A2067E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设备数量</w:t>
                  </w:r>
                </w:p>
              </w:tc>
              <w:tc>
                <w:tcPr>
                  <w:tcW w:w="516" w:type="pct"/>
                  <w:vMerge w:val="restart"/>
                  <w:tcBorders>
                    <w:tl2br w:val="nil"/>
                    <w:tr2bl w:val="nil"/>
                  </w:tcBorders>
                  <w:noWrap w:val="0"/>
                  <w:vAlign w:val="center"/>
                </w:tcPr>
                <w:p w14:paraId="7A20369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单台设备</w:t>
                  </w:r>
                  <w:r>
                    <w:rPr>
                      <w:rFonts w:hint="default" w:ascii="Times New Roman" w:hAnsi="Times New Roman" w:eastAsia="宋体" w:cs="Times New Roman"/>
                      <w:b w:val="0"/>
                      <w:bCs/>
                      <w:color w:val="auto"/>
                      <w:sz w:val="18"/>
                      <w:szCs w:val="18"/>
                      <w:highlight w:val="none"/>
                      <w:vertAlign w:val="baseline"/>
                      <w:lang w:val="en-US" w:eastAsia="zh-CN"/>
                    </w:rPr>
                    <w:t>声源源强（距声源</w:t>
                  </w:r>
                  <w:r>
                    <w:rPr>
                      <w:rFonts w:hint="default" w:ascii="Times New Roman" w:hAnsi="Times New Roman" w:eastAsia="宋体" w:cs="Times New Roman"/>
                      <w:color w:val="auto"/>
                      <w:sz w:val="18"/>
                      <w:szCs w:val="18"/>
                      <w:highlight w:val="none"/>
                      <w:lang w:val="en-US" w:eastAsia="zh-CN"/>
                    </w:rPr>
                    <w:t>/</w:t>
                  </w:r>
                  <w:r>
                    <w:rPr>
                      <w:rFonts w:hint="default" w:ascii="Times New Roman" w:hAnsi="Times New Roman" w:eastAsia="宋体" w:cs="Times New Roman"/>
                      <w:b w:val="0"/>
                      <w:bCs/>
                      <w:color w:val="auto"/>
                      <w:sz w:val="18"/>
                      <w:szCs w:val="18"/>
                      <w:highlight w:val="none"/>
                      <w:vertAlign w:val="baseline"/>
                      <w:lang w:val="en-US" w:eastAsia="zh-CN"/>
                    </w:rPr>
                    <w:t>1m）</w:t>
                  </w:r>
                  <w:r>
                    <w:rPr>
                      <w:rFonts w:hint="default" w:ascii="Times New Roman" w:hAnsi="Times New Roman" w:eastAsia="宋体" w:cs="Times New Roman"/>
                      <w:color w:val="auto"/>
                      <w:sz w:val="18"/>
                      <w:szCs w:val="18"/>
                      <w:highlight w:val="none"/>
                    </w:rPr>
                    <w:t>dB（A）</w:t>
                  </w:r>
                </w:p>
              </w:tc>
              <w:tc>
                <w:tcPr>
                  <w:tcW w:w="534" w:type="pct"/>
                  <w:vMerge w:val="restart"/>
                  <w:tcBorders>
                    <w:tl2br w:val="nil"/>
                    <w:tr2bl w:val="nil"/>
                  </w:tcBorders>
                  <w:noWrap w:val="0"/>
                  <w:vAlign w:val="center"/>
                </w:tcPr>
                <w:p w14:paraId="0475B55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声源控制措施</w:t>
                  </w:r>
                </w:p>
              </w:tc>
              <w:tc>
                <w:tcPr>
                  <w:tcW w:w="355" w:type="pct"/>
                  <w:vMerge w:val="restart"/>
                  <w:tcBorders>
                    <w:tl2br w:val="nil"/>
                    <w:tr2bl w:val="nil"/>
                  </w:tcBorders>
                  <w:noWrap w:val="0"/>
                  <w:vAlign w:val="center"/>
                </w:tcPr>
                <w:p w14:paraId="6E1DFB25">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距室内边界距离/（m）</w:t>
                  </w:r>
                </w:p>
              </w:tc>
              <w:tc>
                <w:tcPr>
                  <w:tcW w:w="511" w:type="pct"/>
                  <w:vMerge w:val="restart"/>
                  <w:tcBorders>
                    <w:tl2br w:val="nil"/>
                    <w:tr2bl w:val="nil"/>
                  </w:tcBorders>
                  <w:noWrap w:val="0"/>
                  <w:vAlign w:val="center"/>
                </w:tcPr>
                <w:p w14:paraId="1141F07F">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室内边界声级/</w:t>
                  </w:r>
                  <w:r>
                    <w:rPr>
                      <w:rFonts w:hint="default" w:ascii="Times New Roman" w:hAnsi="Times New Roman" w:eastAsia="宋体" w:cs="Times New Roman"/>
                      <w:color w:val="auto"/>
                      <w:sz w:val="18"/>
                      <w:szCs w:val="18"/>
                      <w:highlight w:val="none"/>
                    </w:rPr>
                    <w:t>dB（A）</w:t>
                  </w:r>
                </w:p>
              </w:tc>
              <w:tc>
                <w:tcPr>
                  <w:tcW w:w="405" w:type="pct"/>
                  <w:vMerge w:val="restart"/>
                  <w:tcBorders>
                    <w:tl2br w:val="nil"/>
                    <w:tr2bl w:val="nil"/>
                  </w:tcBorders>
                  <w:noWrap w:val="0"/>
                  <w:vAlign w:val="center"/>
                </w:tcPr>
                <w:p w14:paraId="3D10C9A4">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运行时段</w:t>
                  </w:r>
                </w:p>
              </w:tc>
              <w:tc>
                <w:tcPr>
                  <w:tcW w:w="423" w:type="pct"/>
                  <w:vMerge w:val="restart"/>
                  <w:tcBorders>
                    <w:tl2br w:val="nil"/>
                    <w:tr2bl w:val="nil"/>
                  </w:tcBorders>
                  <w:noWrap w:val="0"/>
                  <w:vAlign w:val="center"/>
                </w:tcPr>
                <w:p w14:paraId="789FE4B4">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建筑物插入损失/</w:t>
                  </w:r>
                  <w:r>
                    <w:rPr>
                      <w:rFonts w:hint="default" w:ascii="Times New Roman" w:hAnsi="Times New Roman" w:eastAsia="宋体" w:cs="Times New Roman"/>
                      <w:color w:val="auto"/>
                      <w:sz w:val="18"/>
                      <w:szCs w:val="18"/>
                      <w:highlight w:val="none"/>
                    </w:rPr>
                    <w:t>dB（A）</w:t>
                  </w:r>
                </w:p>
              </w:tc>
              <w:tc>
                <w:tcPr>
                  <w:tcW w:w="849" w:type="pct"/>
                  <w:gridSpan w:val="2"/>
                  <w:tcBorders>
                    <w:tl2br w:val="nil"/>
                    <w:tr2bl w:val="nil"/>
                  </w:tcBorders>
                  <w:noWrap w:val="0"/>
                  <w:vAlign w:val="center"/>
                </w:tcPr>
                <w:p w14:paraId="21FCBF4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建筑物外噪声</w:t>
                  </w:r>
                </w:p>
              </w:tc>
            </w:tr>
            <w:tr w14:paraId="1FE51D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35" w:type="pct"/>
                  <w:vMerge w:val="continue"/>
                  <w:tcBorders>
                    <w:tl2br w:val="nil"/>
                    <w:tr2bl w:val="nil"/>
                  </w:tcBorders>
                  <w:noWrap w:val="0"/>
                  <w:vAlign w:val="center"/>
                </w:tcPr>
                <w:p w14:paraId="4DCC4046">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838" w:type="pct"/>
                  <w:vMerge w:val="continue"/>
                  <w:tcBorders>
                    <w:tl2br w:val="nil"/>
                    <w:tr2bl w:val="nil"/>
                  </w:tcBorders>
                  <w:noWrap w:val="0"/>
                  <w:vAlign w:val="center"/>
                </w:tcPr>
                <w:p w14:paraId="2BFE9BC8">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230" w:type="pct"/>
                  <w:vMerge w:val="continue"/>
                  <w:tcBorders>
                    <w:tl2br w:val="nil"/>
                    <w:tr2bl w:val="nil"/>
                  </w:tcBorders>
                  <w:noWrap w:val="0"/>
                  <w:vAlign w:val="center"/>
                </w:tcPr>
                <w:p w14:paraId="3232231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516" w:type="pct"/>
                  <w:vMerge w:val="continue"/>
                  <w:tcBorders>
                    <w:tl2br w:val="nil"/>
                    <w:tr2bl w:val="nil"/>
                  </w:tcBorders>
                  <w:noWrap w:val="0"/>
                  <w:vAlign w:val="center"/>
                </w:tcPr>
                <w:p w14:paraId="5BE222B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534" w:type="pct"/>
                  <w:vMerge w:val="continue"/>
                  <w:tcBorders>
                    <w:tl2br w:val="nil"/>
                    <w:tr2bl w:val="nil"/>
                  </w:tcBorders>
                  <w:noWrap w:val="0"/>
                  <w:vAlign w:val="center"/>
                </w:tcPr>
                <w:p w14:paraId="20BAF859">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355" w:type="pct"/>
                  <w:vMerge w:val="continue"/>
                  <w:tcBorders>
                    <w:tl2br w:val="nil"/>
                    <w:tr2bl w:val="nil"/>
                  </w:tcBorders>
                  <w:noWrap w:val="0"/>
                  <w:vAlign w:val="center"/>
                </w:tcPr>
                <w:p w14:paraId="2DAF74D4">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511" w:type="pct"/>
                  <w:vMerge w:val="continue"/>
                  <w:tcBorders>
                    <w:tl2br w:val="nil"/>
                    <w:tr2bl w:val="nil"/>
                  </w:tcBorders>
                  <w:noWrap w:val="0"/>
                  <w:vAlign w:val="center"/>
                </w:tcPr>
                <w:p w14:paraId="2FA70801">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405" w:type="pct"/>
                  <w:vMerge w:val="continue"/>
                  <w:tcBorders>
                    <w:tl2br w:val="nil"/>
                    <w:tr2bl w:val="nil"/>
                  </w:tcBorders>
                  <w:noWrap w:val="0"/>
                  <w:vAlign w:val="center"/>
                </w:tcPr>
                <w:p w14:paraId="27C68432">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423" w:type="pct"/>
                  <w:vMerge w:val="continue"/>
                  <w:tcBorders>
                    <w:tl2br w:val="nil"/>
                    <w:tr2bl w:val="nil"/>
                  </w:tcBorders>
                  <w:noWrap w:val="0"/>
                  <w:vAlign w:val="center"/>
                </w:tcPr>
                <w:p w14:paraId="6F2D1C9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414" w:type="pct"/>
                  <w:tcBorders>
                    <w:tl2br w:val="nil"/>
                    <w:tr2bl w:val="nil"/>
                  </w:tcBorders>
                  <w:noWrap w:val="0"/>
                  <w:vAlign w:val="center"/>
                </w:tcPr>
                <w:p w14:paraId="5107DDA1">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声压级/</w:t>
                  </w:r>
                  <w:r>
                    <w:rPr>
                      <w:rFonts w:hint="default" w:ascii="Times New Roman" w:hAnsi="Times New Roman" w:eastAsia="宋体" w:cs="Times New Roman"/>
                      <w:color w:val="auto"/>
                      <w:sz w:val="18"/>
                      <w:szCs w:val="18"/>
                      <w:highlight w:val="none"/>
                    </w:rPr>
                    <w:t>dB（A）</w:t>
                  </w:r>
                </w:p>
              </w:tc>
              <w:tc>
                <w:tcPr>
                  <w:tcW w:w="434" w:type="pct"/>
                  <w:tcBorders>
                    <w:tl2br w:val="nil"/>
                    <w:tr2bl w:val="nil"/>
                  </w:tcBorders>
                  <w:noWrap w:val="0"/>
                  <w:vAlign w:val="center"/>
                </w:tcPr>
                <w:p w14:paraId="55B7F5F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建筑物外距离/m</w:t>
                  </w:r>
                </w:p>
              </w:tc>
            </w:tr>
            <w:tr w14:paraId="3935D4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restart"/>
                  <w:tcBorders>
                    <w:tl2br w:val="nil"/>
                    <w:tr2bl w:val="nil"/>
                  </w:tcBorders>
                  <w:noWrap w:val="0"/>
                  <w:vAlign w:val="center"/>
                </w:tcPr>
                <w:p w14:paraId="66A88455">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空压站</w:t>
                  </w:r>
                </w:p>
              </w:tc>
              <w:tc>
                <w:tcPr>
                  <w:tcW w:w="838" w:type="pct"/>
                  <w:tcBorders>
                    <w:tl2br w:val="nil"/>
                    <w:tr2bl w:val="nil"/>
                  </w:tcBorders>
                  <w:noWrap w:val="0"/>
                  <w:vAlign w:val="center"/>
                </w:tcPr>
                <w:p w14:paraId="08275E1E">
                  <w:pPr>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eastAsia" w:ascii="Times New Roman" w:hAnsi="Times New Roman" w:eastAsia="宋体" w:cs="Times New Roman"/>
                      <w:b w:val="0"/>
                      <w:bCs/>
                      <w:color w:val="auto"/>
                      <w:sz w:val="18"/>
                      <w:szCs w:val="18"/>
                      <w:highlight w:val="none"/>
                      <w:vertAlign w:val="baseline"/>
                      <w:lang w:val="en-US" w:eastAsia="zh-CN"/>
                    </w:rPr>
                    <w:t>冷冻式干燥机</w:t>
                  </w:r>
                </w:p>
              </w:tc>
              <w:tc>
                <w:tcPr>
                  <w:tcW w:w="230" w:type="pct"/>
                  <w:tcBorders>
                    <w:tl2br w:val="nil"/>
                    <w:tr2bl w:val="nil"/>
                  </w:tcBorders>
                  <w:noWrap w:val="0"/>
                  <w:vAlign w:val="center"/>
                </w:tcPr>
                <w:p w14:paraId="613FCF66">
                  <w:pPr>
                    <w:keepNext w:val="0"/>
                    <w:keepLines w:val="0"/>
                    <w:widowControl/>
                    <w:suppressLineNumbers w:val="0"/>
                    <w:jc w:val="center"/>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2</w:t>
                  </w:r>
                </w:p>
              </w:tc>
              <w:tc>
                <w:tcPr>
                  <w:tcW w:w="516" w:type="pct"/>
                  <w:tcBorders>
                    <w:tl2br w:val="nil"/>
                    <w:tr2bl w:val="nil"/>
                  </w:tcBorders>
                  <w:noWrap w:val="0"/>
                  <w:vAlign w:val="center"/>
                </w:tcPr>
                <w:p w14:paraId="6A516153">
                  <w:pPr>
                    <w:keepNext w:val="0"/>
                    <w:keepLines w:val="0"/>
                    <w:widowControl/>
                    <w:suppressLineNumbers w:val="0"/>
                    <w:jc w:val="center"/>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85</w:t>
                  </w:r>
                </w:p>
              </w:tc>
              <w:tc>
                <w:tcPr>
                  <w:tcW w:w="534" w:type="pct"/>
                  <w:vMerge w:val="restart"/>
                  <w:tcBorders>
                    <w:tl2br w:val="nil"/>
                    <w:tr2bl w:val="nil"/>
                  </w:tcBorders>
                  <w:noWrap w:val="0"/>
                  <w:vAlign w:val="center"/>
                </w:tcPr>
                <w:p w14:paraId="7472603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选用低噪声设备、基础减振、厂房隔声</w:t>
                  </w:r>
                </w:p>
              </w:tc>
              <w:tc>
                <w:tcPr>
                  <w:tcW w:w="355" w:type="pct"/>
                  <w:tcBorders>
                    <w:tl2br w:val="nil"/>
                    <w:tr2bl w:val="nil"/>
                  </w:tcBorders>
                  <w:noWrap w:val="0"/>
                  <w:vAlign w:val="center"/>
                </w:tcPr>
                <w:p w14:paraId="0E75842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51183DF3">
                  <w:pPr>
                    <w:keepNext w:val="0"/>
                    <w:keepLines w:val="0"/>
                    <w:widowControl/>
                    <w:suppressLineNumbers w:val="0"/>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color w:val="auto"/>
                      <w:kern w:val="0"/>
                      <w:sz w:val="18"/>
                      <w:szCs w:val="18"/>
                      <w:highlight w:val="none"/>
                      <w:lang w:val="en-US" w:eastAsia="zh-CN" w:bidi="ar"/>
                    </w:rPr>
                    <w:t>85</w:t>
                  </w:r>
                </w:p>
              </w:tc>
              <w:tc>
                <w:tcPr>
                  <w:tcW w:w="405" w:type="pct"/>
                  <w:tcBorders>
                    <w:tl2br w:val="nil"/>
                    <w:tr2bl w:val="nil"/>
                  </w:tcBorders>
                  <w:noWrap w:val="0"/>
                  <w:vAlign w:val="center"/>
                </w:tcPr>
                <w:p w14:paraId="5606240F">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2DDF5CBD">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0ACE4770">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60</w:t>
                  </w:r>
                </w:p>
              </w:tc>
              <w:tc>
                <w:tcPr>
                  <w:tcW w:w="434" w:type="pct"/>
                  <w:tcBorders>
                    <w:tl2br w:val="nil"/>
                    <w:tr2bl w:val="nil"/>
                  </w:tcBorders>
                  <w:noWrap w:val="0"/>
                  <w:vAlign w:val="center"/>
                </w:tcPr>
                <w:p w14:paraId="167AE62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r w14:paraId="4776DF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continue"/>
                  <w:tcBorders>
                    <w:tl2br w:val="nil"/>
                    <w:tr2bl w:val="nil"/>
                  </w:tcBorders>
                  <w:noWrap w:val="0"/>
                  <w:vAlign w:val="center"/>
                </w:tcPr>
                <w:p w14:paraId="127755F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838" w:type="pct"/>
                  <w:tcBorders>
                    <w:tl2br w:val="nil"/>
                    <w:tr2bl w:val="nil"/>
                  </w:tcBorders>
                  <w:noWrap w:val="0"/>
                  <w:vAlign w:val="center"/>
                </w:tcPr>
                <w:p w14:paraId="30A099E8">
                  <w:pPr>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eastAsia" w:ascii="Times New Roman" w:hAnsi="Times New Roman" w:eastAsia="宋体" w:cs="Times New Roman"/>
                      <w:b w:val="0"/>
                      <w:bCs/>
                      <w:color w:val="auto"/>
                      <w:sz w:val="18"/>
                      <w:szCs w:val="18"/>
                      <w:highlight w:val="none"/>
                      <w:vertAlign w:val="baseline"/>
                      <w:lang w:val="en-US" w:eastAsia="zh-CN"/>
                    </w:rPr>
                    <w:t>微热吸附式干燥机</w:t>
                  </w:r>
                </w:p>
              </w:tc>
              <w:tc>
                <w:tcPr>
                  <w:tcW w:w="230" w:type="pct"/>
                  <w:tcBorders>
                    <w:tl2br w:val="nil"/>
                    <w:tr2bl w:val="nil"/>
                  </w:tcBorders>
                  <w:noWrap w:val="0"/>
                  <w:vAlign w:val="center"/>
                </w:tcPr>
                <w:p w14:paraId="7EE1A778">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0"/>
                      <w:sz w:val="18"/>
                      <w:szCs w:val="18"/>
                      <w:highlight w:val="none"/>
                      <w:lang w:val="en-US" w:eastAsia="zh-CN" w:bidi="ar"/>
                    </w:rPr>
                  </w:pPr>
                  <w:r>
                    <w:rPr>
                      <w:rFonts w:hint="eastAsia" w:ascii="Times New Roman" w:hAnsi="Times New Roman" w:eastAsia="宋体" w:cs="Times New Roman"/>
                      <w:color w:val="auto"/>
                      <w:kern w:val="0"/>
                      <w:sz w:val="18"/>
                      <w:szCs w:val="18"/>
                      <w:highlight w:val="none"/>
                      <w:lang w:val="en-US" w:eastAsia="zh-CN" w:bidi="ar"/>
                    </w:rPr>
                    <w:t>2</w:t>
                  </w:r>
                </w:p>
              </w:tc>
              <w:tc>
                <w:tcPr>
                  <w:tcW w:w="516" w:type="pct"/>
                  <w:tcBorders>
                    <w:tl2br w:val="nil"/>
                    <w:tr2bl w:val="nil"/>
                  </w:tcBorders>
                  <w:noWrap w:val="0"/>
                  <w:vAlign w:val="center"/>
                </w:tcPr>
                <w:p w14:paraId="1A07287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85</w:t>
                  </w:r>
                </w:p>
              </w:tc>
              <w:tc>
                <w:tcPr>
                  <w:tcW w:w="534" w:type="pct"/>
                  <w:vMerge w:val="continue"/>
                  <w:tcBorders>
                    <w:tl2br w:val="nil"/>
                    <w:tr2bl w:val="nil"/>
                  </w:tcBorders>
                  <w:noWrap w:val="0"/>
                  <w:vAlign w:val="center"/>
                </w:tcPr>
                <w:p w14:paraId="7FD8E252">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355" w:type="pct"/>
                  <w:tcBorders>
                    <w:tl2br w:val="nil"/>
                    <w:tr2bl w:val="nil"/>
                  </w:tcBorders>
                  <w:noWrap w:val="0"/>
                  <w:vAlign w:val="center"/>
                </w:tcPr>
                <w:p w14:paraId="332EF527">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15C46A9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color w:val="auto"/>
                      <w:kern w:val="0"/>
                      <w:sz w:val="18"/>
                      <w:szCs w:val="18"/>
                      <w:highlight w:val="none"/>
                      <w:lang w:val="en-US" w:eastAsia="zh-CN" w:bidi="ar"/>
                    </w:rPr>
                    <w:t>85</w:t>
                  </w:r>
                </w:p>
              </w:tc>
              <w:tc>
                <w:tcPr>
                  <w:tcW w:w="405" w:type="pct"/>
                  <w:tcBorders>
                    <w:tl2br w:val="nil"/>
                    <w:tr2bl w:val="nil"/>
                  </w:tcBorders>
                  <w:noWrap w:val="0"/>
                  <w:vAlign w:val="center"/>
                </w:tcPr>
                <w:p w14:paraId="6471E61E">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15AB7F4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5A565C2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60</w:t>
                  </w:r>
                </w:p>
              </w:tc>
              <w:tc>
                <w:tcPr>
                  <w:tcW w:w="434" w:type="pct"/>
                  <w:tcBorders>
                    <w:tl2br w:val="nil"/>
                    <w:tr2bl w:val="nil"/>
                  </w:tcBorders>
                  <w:noWrap w:val="0"/>
                  <w:vAlign w:val="center"/>
                </w:tcPr>
                <w:p w14:paraId="2DA5C1D5">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r w14:paraId="524995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continue"/>
                  <w:tcBorders>
                    <w:tl2br w:val="nil"/>
                    <w:tr2bl w:val="nil"/>
                  </w:tcBorders>
                  <w:noWrap w:val="0"/>
                  <w:vAlign w:val="center"/>
                </w:tcPr>
                <w:p w14:paraId="10C4B2F5">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838" w:type="pct"/>
                  <w:tcBorders>
                    <w:tl2br w:val="nil"/>
                    <w:tr2bl w:val="nil"/>
                  </w:tcBorders>
                  <w:noWrap w:val="0"/>
                  <w:vAlign w:val="center"/>
                </w:tcPr>
                <w:p w14:paraId="32F07475">
                  <w:pPr>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变频螺杆式空气压缩机</w:t>
                  </w:r>
                </w:p>
              </w:tc>
              <w:tc>
                <w:tcPr>
                  <w:tcW w:w="230" w:type="pct"/>
                  <w:tcBorders>
                    <w:tl2br w:val="nil"/>
                    <w:tr2bl w:val="nil"/>
                  </w:tcBorders>
                  <w:noWrap w:val="0"/>
                  <w:vAlign w:val="center"/>
                </w:tcPr>
                <w:p w14:paraId="4CC8C51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2</w:t>
                  </w:r>
                </w:p>
              </w:tc>
              <w:tc>
                <w:tcPr>
                  <w:tcW w:w="516" w:type="pct"/>
                  <w:tcBorders>
                    <w:tl2br w:val="nil"/>
                    <w:tr2bl w:val="nil"/>
                  </w:tcBorders>
                  <w:noWrap w:val="0"/>
                  <w:vAlign w:val="center"/>
                </w:tcPr>
                <w:p w14:paraId="25BED46A">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90</w:t>
                  </w:r>
                </w:p>
              </w:tc>
              <w:tc>
                <w:tcPr>
                  <w:tcW w:w="534" w:type="pct"/>
                  <w:vMerge w:val="continue"/>
                  <w:tcBorders>
                    <w:tl2br w:val="nil"/>
                    <w:tr2bl w:val="nil"/>
                  </w:tcBorders>
                  <w:noWrap w:val="0"/>
                  <w:vAlign w:val="center"/>
                </w:tcPr>
                <w:p w14:paraId="3F9C5EA8">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355" w:type="pct"/>
                  <w:tcBorders>
                    <w:tl2br w:val="nil"/>
                    <w:tr2bl w:val="nil"/>
                  </w:tcBorders>
                  <w:noWrap w:val="0"/>
                  <w:vAlign w:val="center"/>
                </w:tcPr>
                <w:p w14:paraId="48A1C8E5">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6339F7E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90</w:t>
                  </w:r>
                </w:p>
              </w:tc>
              <w:tc>
                <w:tcPr>
                  <w:tcW w:w="405" w:type="pct"/>
                  <w:tcBorders>
                    <w:tl2br w:val="nil"/>
                    <w:tr2bl w:val="nil"/>
                  </w:tcBorders>
                  <w:noWrap w:val="0"/>
                  <w:vAlign w:val="center"/>
                </w:tcPr>
                <w:p w14:paraId="7CE1CA7C">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7F56BD22">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7DE442C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75</w:t>
                  </w:r>
                </w:p>
              </w:tc>
              <w:tc>
                <w:tcPr>
                  <w:tcW w:w="434" w:type="pct"/>
                  <w:tcBorders>
                    <w:tl2br w:val="nil"/>
                    <w:tr2bl w:val="nil"/>
                  </w:tcBorders>
                  <w:noWrap w:val="0"/>
                  <w:vAlign w:val="center"/>
                </w:tcPr>
                <w:p w14:paraId="262E0988">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r w14:paraId="107ECE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restart"/>
                  <w:tcBorders>
                    <w:tl2br w:val="nil"/>
                    <w:tr2bl w:val="nil"/>
                  </w:tcBorders>
                  <w:noWrap w:val="0"/>
                  <w:vAlign w:val="center"/>
                </w:tcPr>
                <w:p w14:paraId="18ED8D3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循环水站</w:t>
                  </w:r>
                </w:p>
              </w:tc>
              <w:tc>
                <w:tcPr>
                  <w:tcW w:w="838" w:type="pct"/>
                  <w:tcBorders>
                    <w:tl2br w:val="nil"/>
                    <w:tr2bl w:val="nil"/>
                  </w:tcBorders>
                  <w:noWrap w:val="0"/>
                  <w:vAlign w:val="center"/>
                </w:tcPr>
                <w:p w14:paraId="1B8AE5F2">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循环水泵</w:t>
                  </w:r>
                </w:p>
              </w:tc>
              <w:tc>
                <w:tcPr>
                  <w:tcW w:w="230" w:type="pct"/>
                  <w:tcBorders>
                    <w:tl2br w:val="nil"/>
                    <w:tr2bl w:val="nil"/>
                  </w:tcBorders>
                  <w:noWrap w:val="0"/>
                  <w:vAlign w:val="center"/>
                </w:tcPr>
                <w:p w14:paraId="2F5A30D6">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4</w:t>
                  </w:r>
                </w:p>
              </w:tc>
              <w:tc>
                <w:tcPr>
                  <w:tcW w:w="516" w:type="pct"/>
                  <w:tcBorders>
                    <w:tl2br w:val="nil"/>
                    <w:tr2bl w:val="nil"/>
                  </w:tcBorders>
                  <w:noWrap w:val="0"/>
                  <w:vAlign w:val="center"/>
                </w:tcPr>
                <w:p w14:paraId="627B07D7">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80</w:t>
                  </w:r>
                </w:p>
              </w:tc>
              <w:tc>
                <w:tcPr>
                  <w:tcW w:w="534" w:type="pct"/>
                  <w:vMerge w:val="continue"/>
                  <w:tcBorders>
                    <w:tl2br w:val="nil"/>
                    <w:tr2bl w:val="nil"/>
                  </w:tcBorders>
                  <w:noWrap w:val="0"/>
                  <w:vAlign w:val="center"/>
                </w:tcPr>
                <w:p w14:paraId="571DD61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355" w:type="pct"/>
                  <w:tcBorders>
                    <w:tl2br w:val="nil"/>
                    <w:tr2bl w:val="nil"/>
                  </w:tcBorders>
                  <w:noWrap w:val="0"/>
                  <w:vAlign w:val="center"/>
                </w:tcPr>
                <w:p w14:paraId="5995E777">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010C9EF9">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80</w:t>
                  </w:r>
                </w:p>
              </w:tc>
              <w:tc>
                <w:tcPr>
                  <w:tcW w:w="405" w:type="pct"/>
                  <w:tcBorders>
                    <w:tl2br w:val="nil"/>
                    <w:tr2bl w:val="nil"/>
                  </w:tcBorders>
                  <w:noWrap w:val="0"/>
                  <w:vAlign w:val="center"/>
                </w:tcPr>
                <w:p w14:paraId="33DD167F">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23564A00">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564408C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55</w:t>
                  </w:r>
                </w:p>
              </w:tc>
              <w:tc>
                <w:tcPr>
                  <w:tcW w:w="434" w:type="pct"/>
                  <w:tcBorders>
                    <w:tl2br w:val="nil"/>
                    <w:tr2bl w:val="nil"/>
                  </w:tcBorders>
                  <w:noWrap w:val="0"/>
                  <w:vAlign w:val="center"/>
                </w:tcPr>
                <w:p w14:paraId="1DB022A0">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r w14:paraId="3B21E5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continue"/>
                  <w:tcBorders>
                    <w:tl2br w:val="nil"/>
                    <w:tr2bl w:val="nil"/>
                  </w:tcBorders>
                  <w:noWrap w:val="0"/>
                  <w:vAlign w:val="center"/>
                </w:tcPr>
                <w:p w14:paraId="77CD5419">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Times New Roman" w:hAnsi="Times New Roman" w:eastAsia="宋体" w:cs="Times New Roman"/>
                      <w:b w:val="0"/>
                      <w:bCs/>
                      <w:color w:val="auto"/>
                      <w:sz w:val="18"/>
                      <w:szCs w:val="18"/>
                      <w:highlight w:val="none"/>
                      <w:vertAlign w:val="baseline"/>
                      <w:lang w:val="en-US" w:eastAsia="zh-CN"/>
                    </w:rPr>
                  </w:pPr>
                </w:p>
              </w:tc>
              <w:tc>
                <w:tcPr>
                  <w:tcW w:w="838" w:type="pct"/>
                  <w:tcBorders>
                    <w:tl2br w:val="nil"/>
                    <w:tr2bl w:val="nil"/>
                  </w:tcBorders>
                  <w:noWrap w:val="0"/>
                  <w:vAlign w:val="center"/>
                </w:tcPr>
                <w:p w14:paraId="08F85AE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玻璃钢结构逆流冷却塔</w:t>
                  </w:r>
                </w:p>
              </w:tc>
              <w:tc>
                <w:tcPr>
                  <w:tcW w:w="230" w:type="pct"/>
                  <w:tcBorders>
                    <w:tl2br w:val="nil"/>
                    <w:tr2bl w:val="nil"/>
                  </w:tcBorders>
                  <w:noWrap w:val="0"/>
                  <w:vAlign w:val="center"/>
                </w:tcPr>
                <w:p w14:paraId="5310139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4</w:t>
                  </w:r>
                </w:p>
              </w:tc>
              <w:tc>
                <w:tcPr>
                  <w:tcW w:w="516" w:type="pct"/>
                  <w:tcBorders>
                    <w:tl2br w:val="nil"/>
                    <w:tr2bl w:val="nil"/>
                  </w:tcBorders>
                  <w:noWrap w:val="0"/>
                  <w:vAlign w:val="center"/>
                </w:tcPr>
                <w:p w14:paraId="46D3F124">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80</w:t>
                  </w:r>
                </w:p>
              </w:tc>
              <w:tc>
                <w:tcPr>
                  <w:tcW w:w="534" w:type="pct"/>
                  <w:tcBorders>
                    <w:tl2br w:val="nil"/>
                    <w:tr2bl w:val="nil"/>
                  </w:tcBorders>
                  <w:noWrap w:val="0"/>
                  <w:vAlign w:val="center"/>
                </w:tcPr>
                <w:p w14:paraId="7170069D">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基础减振、消声</w:t>
                  </w:r>
                </w:p>
              </w:tc>
              <w:tc>
                <w:tcPr>
                  <w:tcW w:w="355" w:type="pct"/>
                  <w:tcBorders>
                    <w:tl2br w:val="nil"/>
                    <w:tr2bl w:val="nil"/>
                  </w:tcBorders>
                  <w:noWrap w:val="0"/>
                  <w:vAlign w:val="center"/>
                </w:tcPr>
                <w:p w14:paraId="4B37B5C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085964A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80</w:t>
                  </w:r>
                </w:p>
              </w:tc>
              <w:tc>
                <w:tcPr>
                  <w:tcW w:w="405" w:type="pct"/>
                  <w:tcBorders>
                    <w:tl2br w:val="nil"/>
                    <w:tr2bl w:val="nil"/>
                  </w:tcBorders>
                  <w:noWrap w:val="0"/>
                  <w:vAlign w:val="center"/>
                </w:tcPr>
                <w:p w14:paraId="69782C06">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0F425110">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13832232">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55</w:t>
                  </w:r>
                </w:p>
              </w:tc>
              <w:tc>
                <w:tcPr>
                  <w:tcW w:w="434" w:type="pct"/>
                  <w:tcBorders>
                    <w:tl2br w:val="nil"/>
                    <w:tr2bl w:val="nil"/>
                  </w:tcBorders>
                  <w:noWrap w:val="0"/>
                  <w:vAlign w:val="center"/>
                </w:tcPr>
                <w:p w14:paraId="7746E56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r w14:paraId="2E840E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restart"/>
                  <w:tcBorders>
                    <w:tl2br w:val="nil"/>
                    <w:tr2bl w:val="nil"/>
                  </w:tcBorders>
                  <w:noWrap w:val="0"/>
                  <w:vAlign w:val="center"/>
                </w:tcPr>
                <w:p w14:paraId="7F03BD3A">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换热站</w:t>
                  </w:r>
                </w:p>
              </w:tc>
              <w:tc>
                <w:tcPr>
                  <w:tcW w:w="838" w:type="pct"/>
                  <w:tcBorders>
                    <w:tl2br w:val="nil"/>
                    <w:tr2bl w:val="nil"/>
                  </w:tcBorders>
                  <w:noWrap w:val="0"/>
                  <w:vAlign w:val="center"/>
                </w:tcPr>
                <w:p w14:paraId="2182D568">
                  <w:pPr>
                    <w:keepNext w:val="0"/>
                    <w:keepLines w:val="0"/>
                    <w:widowControl/>
                    <w:suppressLineNumbers w:val="0"/>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color w:val="auto"/>
                      <w:kern w:val="0"/>
                      <w:sz w:val="18"/>
                      <w:szCs w:val="18"/>
                      <w:highlight w:val="none"/>
                      <w:lang w:val="en-US" w:eastAsia="zh-CN" w:bidi="ar"/>
                    </w:rPr>
                    <w:t>循环水泵</w:t>
                  </w:r>
                </w:p>
              </w:tc>
              <w:tc>
                <w:tcPr>
                  <w:tcW w:w="230" w:type="pct"/>
                  <w:tcBorders>
                    <w:tl2br w:val="nil"/>
                    <w:tr2bl w:val="nil"/>
                  </w:tcBorders>
                  <w:noWrap w:val="0"/>
                  <w:vAlign w:val="center"/>
                </w:tcPr>
                <w:p w14:paraId="64E72299">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516" w:type="pct"/>
                  <w:tcBorders>
                    <w:tl2br w:val="nil"/>
                    <w:tr2bl w:val="nil"/>
                  </w:tcBorders>
                  <w:noWrap w:val="0"/>
                  <w:vAlign w:val="center"/>
                </w:tcPr>
                <w:p w14:paraId="6820283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85</w:t>
                  </w:r>
                </w:p>
              </w:tc>
              <w:tc>
                <w:tcPr>
                  <w:tcW w:w="534" w:type="pct"/>
                  <w:vMerge w:val="restart"/>
                  <w:tcBorders>
                    <w:tl2br w:val="nil"/>
                    <w:tr2bl w:val="nil"/>
                  </w:tcBorders>
                  <w:noWrap w:val="0"/>
                  <w:vAlign w:val="center"/>
                </w:tcPr>
                <w:p w14:paraId="23430344">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选用低噪声设备、基础减振、厂房隔声</w:t>
                  </w:r>
                </w:p>
              </w:tc>
              <w:tc>
                <w:tcPr>
                  <w:tcW w:w="355" w:type="pct"/>
                  <w:tcBorders>
                    <w:tl2br w:val="nil"/>
                    <w:tr2bl w:val="nil"/>
                  </w:tcBorders>
                  <w:noWrap w:val="0"/>
                  <w:vAlign w:val="center"/>
                </w:tcPr>
                <w:p w14:paraId="2AE42202">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00CEB764">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85</w:t>
                  </w:r>
                </w:p>
              </w:tc>
              <w:tc>
                <w:tcPr>
                  <w:tcW w:w="405" w:type="pct"/>
                  <w:tcBorders>
                    <w:tl2br w:val="nil"/>
                    <w:tr2bl w:val="nil"/>
                  </w:tcBorders>
                  <w:noWrap w:val="0"/>
                  <w:vAlign w:val="center"/>
                </w:tcPr>
                <w:p w14:paraId="6B9FE7D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61BF478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077AD92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60</w:t>
                  </w:r>
                </w:p>
              </w:tc>
              <w:tc>
                <w:tcPr>
                  <w:tcW w:w="434" w:type="pct"/>
                  <w:tcBorders>
                    <w:tl2br w:val="nil"/>
                    <w:tr2bl w:val="nil"/>
                  </w:tcBorders>
                  <w:noWrap w:val="0"/>
                  <w:vAlign w:val="center"/>
                </w:tcPr>
                <w:p w14:paraId="297AD681">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r w14:paraId="44D36A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continue"/>
                  <w:tcBorders>
                    <w:tl2br w:val="nil"/>
                    <w:tr2bl w:val="nil"/>
                  </w:tcBorders>
                  <w:noWrap w:val="0"/>
                  <w:vAlign w:val="center"/>
                </w:tcPr>
                <w:p w14:paraId="5F981A6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838" w:type="pct"/>
                  <w:tcBorders>
                    <w:tl2br w:val="nil"/>
                    <w:tr2bl w:val="nil"/>
                  </w:tcBorders>
                  <w:noWrap w:val="0"/>
                  <w:vAlign w:val="center"/>
                </w:tcPr>
                <w:p w14:paraId="29257647">
                  <w:pPr>
                    <w:keepNext w:val="0"/>
                    <w:keepLines w:val="0"/>
                    <w:widowControl/>
                    <w:suppressLineNumbers w:val="0"/>
                    <w:jc w:val="center"/>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color w:val="auto"/>
                      <w:kern w:val="0"/>
                      <w:sz w:val="18"/>
                      <w:szCs w:val="18"/>
                      <w:highlight w:val="none"/>
                      <w:lang w:val="en-US" w:eastAsia="zh-CN" w:bidi="ar"/>
                    </w:rPr>
                    <w:t>补水泵</w:t>
                  </w:r>
                </w:p>
              </w:tc>
              <w:tc>
                <w:tcPr>
                  <w:tcW w:w="230" w:type="pct"/>
                  <w:tcBorders>
                    <w:tl2br w:val="nil"/>
                    <w:tr2bl w:val="nil"/>
                  </w:tcBorders>
                  <w:noWrap w:val="0"/>
                  <w:vAlign w:val="center"/>
                </w:tcPr>
                <w:p w14:paraId="6E94BFF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516" w:type="pct"/>
                  <w:tcBorders>
                    <w:tl2br w:val="nil"/>
                    <w:tr2bl w:val="nil"/>
                  </w:tcBorders>
                  <w:noWrap w:val="0"/>
                  <w:vAlign w:val="center"/>
                </w:tcPr>
                <w:p w14:paraId="2D4ACB4D">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75</w:t>
                  </w:r>
                </w:p>
              </w:tc>
              <w:tc>
                <w:tcPr>
                  <w:tcW w:w="534" w:type="pct"/>
                  <w:vMerge w:val="continue"/>
                  <w:tcBorders>
                    <w:tl2br w:val="nil"/>
                    <w:tr2bl w:val="nil"/>
                  </w:tcBorders>
                  <w:noWrap w:val="0"/>
                  <w:vAlign w:val="center"/>
                </w:tcPr>
                <w:p w14:paraId="5F143ABF">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355" w:type="pct"/>
                  <w:tcBorders>
                    <w:tl2br w:val="nil"/>
                    <w:tr2bl w:val="nil"/>
                  </w:tcBorders>
                  <w:noWrap w:val="0"/>
                  <w:vAlign w:val="center"/>
                </w:tcPr>
                <w:p w14:paraId="38EC3E3E">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4F81A38F">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75</w:t>
                  </w:r>
                </w:p>
              </w:tc>
              <w:tc>
                <w:tcPr>
                  <w:tcW w:w="405" w:type="pct"/>
                  <w:tcBorders>
                    <w:tl2br w:val="nil"/>
                    <w:tr2bl w:val="nil"/>
                  </w:tcBorders>
                  <w:noWrap w:val="0"/>
                  <w:vAlign w:val="center"/>
                </w:tcPr>
                <w:p w14:paraId="2EA2308E">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1BC28B53">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4591B2EC">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50</w:t>
                  </w:r>
                </w:p>
              </w:tc>
              <w:tc>
                <w:tcPr>
                  <w:tcW w:w="434" w:type="pct"/>
                  <w:tcBorders>
                    <w:tl2br w:val="nil"/>
                    <w:tr2bl w:val="nil"/>
                  </w:tcBorders>
                  <w:noWrap w:val="0"/>
                  <w:vAlign w:val="center"/>
                </w:tcPr>
                <w:p w14:paraId="51C7E4B8">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r w14:paraId="4F0E20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35" w:type="pct"/>
                  <w:vMerge w:val="continue"/>
                  <w:tcBorders>
                    <w:tl2br w:val="nil"/>
                    <w:tr2bl w:val="nil"/>
                  </w:tcBorders>
                  <w:noWrap w:val="0"/>
                  <w:vAlign w:val="center"/>
                </w:tcPr>
                <w:p w14:paraId="7C92E762">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838" w:type="pct"/>
                  <w:tcBorders>
                    <w:tl2br w:val="nil"/>
                    <w:tr2bl w:val="nil"/>
                  </w:tcBorders>
                  <w:noWrap w:val="0"/>
                  <w:vAlign w:val="center"/>
                </w:tcPr>
                <w:p w14:paraId="21BEC23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val="en-US" w:eastAsia="zh-CN" w:bidi="ar"/>
                    </w:rPr>
                    <w:t>凝结水泵</w:t>
                  </w:r>
                </w:p>
              </w:tc>
              <w:tc>
                <w:tcPr>
                  <w:tcW w:w="230" w:type="pct"/>
                  <w:tcBorders>
                    <w:tl2br w:val="nil"/>
                    <w:tr2bl w:val="nil"/>
                  </w:tcBorders>
                  <w:noWrap w:val="0"/>
                  <w:vAlign w:val="center"/>
                </w:tcPr>
                <w:p w14:paraId="3810FB53">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1</w:t>
                  </w:r>
                </w:p>
              </w:tc>
              <w:tc>
                <w:tcPr>
                  <w:tcW w:w="516" w:type="pct"/>
                  <w:tcBorders>
                    <w:tl2br w:val="nil"/>
                    <w:tr2bl w:val="nil"/>
                  </w:tcBorders>
                  <w:noWrap w:val="0"/>
                  <w:vAlign w:val="center"/>
                </w:tcPr>
                <w:p w14:paraId="709B3C3B">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default" w:ascii="Times New Roman" w:hAnsi="Times New Roman" w:eastAsia="宋体" w:cs="Times New Roman"/>
                      <w:b w:val="0"/>
                      <w:bCs/>
                      <w:color w:val="auto"/>
                      <w:sz w:val="18"/>
                      <w:szCs w:val="18"/>
                      <w:highlight w:val="none"/>
                      <w:vertAlign w:val="baseline"/>
                      <w:lang w:val="en-US" w:eastAsia="zh-CN"/>
                    </w:rPr>
                    <w:t>75</w:t>
                  </w:r>
                </w:p>
              </w:tc>
              <w:tc>
                <w:tcPr>
                  <w:tcW w:w="534" w:type="pct"/>
                  <w:vMerge w:val="continue"/>
                  <w:tcBorders>
                    <w:tl2br w:val="nil"/>
                    <w:tr2bl w:val="nil"/>
                  </w:tcBorders>
                  <w:noWrap w:val="0"/>
                  <w:vAlign w:val="center"/>
                </w:tcPr>
                <w:p w14:paraId="7B52C396">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p>
              </w:tc>
              <w:tc>
                <w:tcPr>
                  <w:tcW w:w="355" w:type="pct"/>
                  <w:tcBorders>
                    <w:tl2br w:val="nil"/>
                    <w:tr2bl w:val="nil"/>
                  </w:tcBorders>
                  <w:noWrap w:val="0"/>
                  <w:vAlign w:val="center"/>
                </w:tcPr>
                <w:p w14:paraId="3AF514C5">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c>
                <w:tcPr>
                  <w:tcW w:w="511" w:type="pct"/>
                  <w:tcBorders>
                    <w:tl2br w:val="nil"/>
                    <w:tr2bl w:val="nil"/>
                  </w:tcBorders>
                  <w:noWrap w:val="0"/>
                  <w:vAlign w:val="center"/>
                </w:tcPr>
                <w:p w14:paraId="3EEAA0D7">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kern w:val="2"/>
                      <w:sz w:val="18"/>
                      <w:szCs w:val="18"/>
                      <w:highlight w:val="none"/>
                      <w:vertAlign w:val="baseline"/>
                      <w:lang w:val="en-US" w:eastAsia="zh-CN" w:bidi="ar-SA"/>
                    </w:rPr>
                  </w:pPr>
                  <w:r>
                    <w:rPr>
                      <w:rFonts w:hint="default" w:ascii="Times New Roman" w:hAnsi="Times New Roman" w:eastAsia="宋体" w:cs="Times New Roman"/>
                      <w:b w:val="0"/>
                      <w:bCs/>
                      <w:color w:val="auto"/>
                      <w:sz w:val="18"/>
                      <w:szCs w:val="18"/>
                      <w:highlight w:val="none"/>
                      <w:vertAlign w:val="baseline"/>
                      <w:lang w:val="en-US" w:eastAsia="zh-CN"/>
                    </w:rPr>
                    <w:t>75</w:t>
                  </w:r>
                </w:p>
              </w:tc>
              <w:tc>
                <w:tcPr>
                  <w:tcW w:w="405" w:type="pct"/>
                  <w:tcBorders>
                    <w:tl2br w:val="nil"/>
                    <w:tr2bl w:val="nil"/>
                  </w:tcBorders>
                  <w:noWrap w:val="0"/>
                  <w:vAlign w:val="center"/>
                </w:tcPr>
                <w:p w14:paraId="1D05A037">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昼夜</w:t>
                  </w:r>
                </w:p>
              </w:tc>
              <w:tc>
                <w:tcPr>
                  <w:tcW w:w="423" w:type="pct"/>
                  <w:tcBorders>
                    <w:tl2br w:val="nil"/>
                    <w:tr2bl w:val="nil"/>
                  </w:tcBorders>
                  <w:noWrap w:val="0"/>
                  <w:vAlign w:val="center"/>
                </w:tcPr>
                <w:p w14:paraId="7D67BB4A">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25</w:t>
                  </w:r>
                </w:p>
              </w:tc>
              <w:tc>
                <w:tcPr>
                  <w:tcW w:w="414" w:type="pct"/>
                  <w:tcBorders>
                    <w:tl2br w:val="nil"/>
                    <w:tr2bl w:val="nil"/>
                  </w:tcBorders>
                  <w:noWrap w:val="0"/>
                  <w:vAlign w:val="center"/>
                </w:tcPr>
                <w:p w14:paraId="068D446D">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50</w:t>
                  </w:r>
                </w:p>
              </w:tc>
              <w:tc>
                <w:tcPr>
                  <w:tcW w:w="434" w:type="pct"/>
                  <w:tcBorders>
                    <w:tl2br w:val="nil"/>
                    <w:tr2bl w:val="nil"/>
                  </w:tcBorders>
                  <w:noWrap w:val="0"/>
                  <w:vAlign w:val="center"/>
                </w:tcPr>
                <w:p w14:paraId="749825C4">
                  <w:pPr>
                    <w:pStyle w:val="23"/>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val="0"/>
                      <w:bCs/>
                      <w:color w:val="auto"/>
                      <w:sz w:val="18"/>
                      <w:szCs w:val="18"/>
                      <w:highlight w:val="none"/>
                      <w:vertAlign w:val="baseline"/>
                      <w:lang w:val="en-US" w:eastAsia="zh-CN"/>
                    </w:rPr>
                  </w:pPr>
                  <w:r>
                    <w:rPr>
                      <w:rFonts w:hint="eastAsia" w:ascii="Times New Roman" w:hAnsi="Times New Roman" w:eastAsia="宋体" w:cs="Times New Roman"/>
                      <w:b w:val="0"/>
                      <w:bCs/>
                      <w:color w:val="auto"/>
                      <w:sz w:val="18"/>
                      <w:szCs w:val="18"/>
                      <w:highlight w:val="none"/>
                      <w:vertAlign w:val="baseline"/>
                      <w:lang w:val="en-US" w:eastAsia="zh-CN"/>
                    </w:rPr>
                    <w:t>1</w:t>
                  </w:r>
                </w:p>
              </w:tc>
            </w:tr>
          </w:tbl>
          <w:p w14:paraId="7068D534">
            <w:pPr>
              <w:spacing w:line="360" w:lineRule="auto"/>
              <w:ind w:firstLine="420" w:firstLineChars="200"/>
              <w:jc w:val="left"/>
              <w:rPr>
                <w:rFonts w:hint="eastAsia" w:eastAsia="宋体"/>
                <w:color w:val="auto"/>
                <w:sz w:val="21"/>
                <w:szCs w:val="21"/>
                <w:highlight w:val="none"/>
                <w:lang w:val="en-US" w:eastAsia="zh-CN"/>
              </w:rPr>
            </w:pPr>
            <w:r>
              <w:rPr>
                <w:rFonts w:hint="eastAsia"/>
                <w:color w:val="auto"/>
                <w:sz w:val="21"/>
                <w:szCs w:val="21"/>
                <w:highlight w:val="none"/>
                <w:lang w:val="en-US" w:eastAsia="zh-CN"/>
              </w:rPr>
              <w:t>根据表4-1，各设备噪声叠加后，空压站噪声排放量约为78.2</w:t>
            </w:r>
            <w:r>
              <w:rPr>
                <w:rFonts w:cs="Times New Roman"/>
                <w:color w:val="auto"/>
                <w:sz w:val="21"/>
                <w:szCs w:val="21"/>
                <w:highlight w:val="none"/>
              </w:rPr>
              <w:t>dB（A）</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循环水站噪声排放量为64</w:t>
            </w:r>
            <w:r>
              <w:rPr>
                <w:rFonts w:cs="Times New Roman"/>
                <w:color w:val="auto"/>
                <w:sz w:val="21"/>
                <w:szCs w:val="21"/>
                <w:highlight w:val="none"/>
              </w:rPr>
              <w:t>dB（A）</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换热站噪声排放量为60.8</w:t>
            </w:r>
            <w:r>
              <w:rPr>
                <w:rFonts w:cs="Times New Roman"/>
                <w:color w:val="auto"/>
                <w:sz w:val="21"/>
                <w:szCs w:val="21"/>
                <w:highlight w:val="none"/>
              </w:rPr>
              <w:t>dB（A）</w:t>
            </w:r>
            <w:r>
              <w:rPr>
                <w:rFonts w:hint="eastAsia" w:cs="Times New Roman"/>
                <w:color w:val="auto"/>
                <w:sz w:val="21"/>
                <w:szCs w:val="21"/>
                <w:highlight w:val="none"/>
                <w:lang w:eastAsia="zh-CN"/>
              </w:rPr>
              <w:t>。</w:t>
            </w:r>
          </w:p>
          <w:p w14:paraId="71AC2548">
            <w:pPr>
              <w:spacing w:line="360" w:lineRule="auto"/>
              <w:ind w:firstLine="420" w:firstLineChars="200"/>
              <w:jc w:val="left"/>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2</w:t>
            </w:r>
            <w:r>
              <w:rPr>
                <w:rFonts w:hint="eastAsia"/>
                <w:color w:val="auto"/>
                <w:sz w:val="21"/>
                <w:szCs w:val="21"/>
                <w:highlight w:val="none"/>
              </w:rPr>
              <w:t>）噪声</w:t>
            </w:r>
            <w:r>
              <w:rPr>
                <w:rFonts w:hint="eastAsia"/>
                <w:color w:val="auto"/>
                <w:sz w:val="21"/>
                <w:szCs w:val="21"/>
                <w:highlight w:val="none"/>
                <w:lang w:val="en-US" w:eastAsia="zh-CN"/>
              </w:rPr>
              <w:t>影响</w:t>
            </w:r>
            <w:r>
              <w:rPr>
                <w:rFonts w:hint="eastAsia"/>
                <w:color w:val="auto"/>
                <w:sz w:val="21"/>
                <w:szCs w:val="21"/>
                <w:highlight w:val="none"/>
              </w:rPr>
              <w:t>分析</w:t>
            </w:r>
          </w:p>
          <w:p w14:paraId="2CC38A4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rPr>
              <w:t>本</w:t>
            </w:r>
            <w:r>
              <w:rPr>
                <w:rFonts w:hint="eastAsia" w:ascii="Times New Roman" w:hAnsi="Times New Roman" w:eastAsia="宋体"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lang w:val="en-US" w:eastAsia="zh-CN"/>
              </w:rPr>
              <w:t>噪声源均位于封闭厂房内，噪声预测采用</w:t>
            </w:r>
            <w:r>
              <w:rPr>
                <w:rFonts w:hint="default" w:ascii="Times New Roman" w:hAnsi="Times New Roman" w:eastAsia="宋体" w:cs="Times New Roman"/>
                <w:color w:val="auto"/>
                <w:kern w:val="0"/>
                <w:sz w:val="21"/>
                <w:szCs w:val="21"/>
                <w:highlight w:val="none"/>
                <w:lang w:val="en-US" w:eastAsia="zh-CN" w:bidi="ar"/>
              </w:rPr>
              <w:t>《环境影响评价技术导则 声环境》（HJ 2.4-2021）</w:t>
            </w:r>
            <w:r>
              <w:rPr>
                <w:rFonts w:hint="eastAsia" w:ascii="Times New Roman" w:hAnsi="Times New Roman" w:eastAsia="宋体" w:cs="Times New Roman"/>
                <w:color w:val="auto"/>
                <w:kern w:val="0"/>
                <w:sz w:val="21"/>
                <w:szCs w:val="21"/>
                <w:highlight w:val="none"/>
                <w:lang w:val="en-US" w:eastAsia="zh-CN" w:bidi="ar"/>
              </w:rPr>
              <w:t>中相关计算公式核算分析，具体如下：</w:t>
            </w:r>
          </w:p>
          <w:p w14:paraId="2CB1810C">
            <w:pPr>
              <w:pStyle w:val="22"/>
              <w:keepNext w:val="0"/>
              <w:keepLines w:val="0"/>
              <w:pageBreakBefore w:val="0"/>
              <w:widowControl w:val="0"/>
              <w:kinsoku/>
              <w:wordWrap/>
              <w:overflowPunct/>
              <w:topLinePunct w:val="0"/>
              <w:autoSpaceDE/>
              <w:autoSpaceDN/>
              <w:bidi w:val="0"/>
              <w:adjustRightInd/>
              <w:snapToGrid/>
              <w:spacing w:after="0" w:line="360" w:lineRule="auto"/>
              <w:ind w:firstLine="408" w:firstLineChars="200"/>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spacing w:val="-3"/>
                <w:sz w:val="21"/>
                <w:highlight w:val="none"/>
              </w:rPr>
              <w:t>①室内声源等效室外声源声功率级</w:t>
            </w:r>
          </w:p>
          <w:p w14:paraId="6DB036E2">
            <w:pPr>
              <w:keepNext w:val="0"/>
              <w:keepLines w:val="0"/>
              <w:pageBreakBefore w:val="0"/>
              <w:widowControl w:val="0"/>
              <w:kinsoku/>
              <w:wordWrap/>
              <w:overflowPunct/>
              <w:topLinePunct w:val="0"/>
              <w:autoSpaceDE/>
              <w:autoSpaceDN/>
              <w:bidi w:val="0"/>
              <w:adjustRightInd/>
              <w:snapToGrid/>
              <w:spacing w:line="360" w:lineRule="auto"/>
              <w:ind w:left="0" w:right="0" w:firstLine="0"/>
              <w:jc w:val="center"/>
              <w:textAlignment w:val="auto"/>
              <w:rPr>
                <w:rFonts w:ascii="Times New Roman" w:hAnsi="Times New Roman"/>
                <w:color w:val="auto"/>
                <w:sz w:val="23"/>
                <w:highlight w:val="none"/>
              </w:rPr>
            </w:pPr>
            <w:r>
              <w:rPr>
                <w:rFonts w:ascii="Times New Roman" w:hAnsi="Times New Roman"/>
                <w:i/>
                <w:color w:val="auto"/>
                <w:spacing w:val="-4"/>
                <w:sz w:val="23"/>
                <w:highlight w:val="none"/>
              </w:rPr>
              <w:t>L</w:t>
            </w:r>
            <w:r>
              <w:rPr>
                <w:rFonts w:ascii="Times New Roman" w:hAnsi="Times New Roman"/>
                <w:i/>
                <w:color w:val="auto"/>
                <w:spacing w:val="-4"/>
                <w:position w:val="-5"/>
                <w:sz w:val="13"/>
                <w:highlight w:val="none"/>
              </w:rPr>
              <w:t>p</w:t>
            </w:r>
            <w:r>
              <w:rPr>
                <w:rFonts w:ascii="Times New Roman" w:hAnsi="Times New Roman"/>
                <w:color w:val="auto"/>
                <w:spacing w:val="-4"/>
                <w:position w:val="-5"/>
                <w:sz w:val="13"/>
                <w:highlight w:val="none"/>
              </w:rPr>
              <w:t>2</w:t>
            </w:r>
            <w:r>
              <w:rPr>
                <w:rFonts w:ascii="Times New Roman" w:hAnsi="Times New Roman"/>
                <w:i/>
                <w:color w:val="auto"/>
                <w:spacing w:val="-4"/>
                <w:position w:val="-5"/>
                <w:sz w:val="13"/>
                <w:highlight w:val="none"/>
              </w:rPr>
              <w:t>i</w:t>
            </w:r>
            <w:r>
              <w:rPr>
                <w:rFonts w:ascii="Times New Roman" w:hAnsi="Times New Roman"/>
                <w:i/>
                <w:color w:val="auto"/>
                <w:spacing w:val="-5"/>
                <w:position w:val="-5"/>
                <w:sz w:val="13"/>
                <w:highlight w:val="none"/>
              </w:rPr>
              <w:t xml:space="preserve"> </w:t>
            </w:r>
            <w:r>
              <w:rPr>
                <w:rFonts w:ascii="Times New Roman" w:hAnsi="Times New Roman"/>
                <w:color w:val="auto"/>
                <w:spacing w:val="-4"/>
                <w:sz w:val="23"/>
                <w:highlight w:val="none"/>
              </w:rPr>
              <w:t>(</w:t>
            </w:r>
            <w:r>
              <w:rPr>
                <w:rFonts w:ascii="Times New Roman" w:hAnsi="Times New Roman"/>
                <w:i/>
                <w:color w:val="auto"/>
                <w:spacing w:val="-4"/>
                <w:sz w:val="23"/>
                <w:highlight w:val="none"/>
              </w:rPr>
              <w:t>T</w:t>
            </w:r>
            <w:r>
              <w:rPr>
                <w:rFonts w:ascii="Times New Roman" w:hAnsi="Times New Roman"/>
                <w:i/>
                <w:color w:val="auto"/>
                <w:spacing w:val="-36"/>
                <w:sz w:val="23"/>
                <w:highlight w:val="none"/>
              </w:rPr>
              <w:t xml:space="preserve"> </w:t>
            </w:r>
            <w:r>
              <w:rPr>
                <w:rFonts w:ascii="Times New Roman" w:hAnsi="Times New Roman"/>
                <w:color w:val="auto"/>
                <w:spacing w:val="-4"/>
                <w:sz w:val="23"/>
                <w:highlight w:val="none"/>
              </w:rPr>
              <w:t>)</w:t>
            </w:r>
            <w:r>
              <w:rPr>
                <w:rFonts w:ascii="Times New Roman" w:hAnsi="Times New Roman"/>
                <w:color w:val="auto"/>
                <w:spacing w:val="-12"/>
                <w:sz w:val="23"/>
                <w:highlight w:val="none"/>
              </w:rPr>
              <w:t xml:space="preserve"> </w:t>
            </w:r>
            <w:r>
              <w:rPr>
                <w:rFonts w:ascii="Symbol" w:hAnsi="Symbol"/>
                <w:color w:val="auto"/>
                <w:spacing w:val="-4"/>
                <w:sz w:val="23"/>
                <w:highlight w:val="none"/>
              </w:rPr>
              <w:t></w:t>
            </w:r>
            <w:r>
              <w:rPr>
                <w:rFonts w:ascii="Times New Roman" w:hAnsi="Times New Roman"/>
                <w:color w:val="auto"/>
                <w:spacing w:val="-10"/>
                <w:sz w:val="23"/>
                <w:highlight w:val="none"/>
              </w:rPr>
              <w:t xml:space="preserve"> </w:t>
            </w:r>
            <w:r>
              <w:rPr>
                <w:rFonts w:ascii="Times New Roman" w:hAnsi="Times New Roman"/>
                <w:i/>
                <w:color w:val="auto"/>
                <w:spacing w:val="-4"/>
                <w:sz w:val="23"/>
                <w:highlight w:val="none"/>
              </w:rPr>
              <w:t>L</w:t>
            </w:r>
            <w:r>
              <w:rPr>
                <w:rFonts w:ascii="Times New Roman" w:hAnsi="Times New Roman"/>
                <w:i/>
                <w:color w:val="auto"/>
                <w:spacing w:val="-4"/>
                <w:position w:val="-5"/>
                <w:sz w:val="13"/>
                <w:highlight w:val="none"/>
              </w:rPr>
              <w:t>p</w:t>
            </w:r>
            <w:r>
              <w:rPr>
                <w:rFonts w:ascii="Times New Roman" w:hAnsi="Times New Roman"/>
                <w:color w:val="auto"/>
                <w:spacing w:val="-4"/>
                <w:position w:val="-5"/>
                <w:sz w:val="13"/>
                <w:highlight w:val="none"/>
              </w:rPr>
              <w:t>1</w:t>
            </w:r>
            <w:r>
              <w:rPr>
                <w:rFonts w:ascii="Times New Roman" w:hAnsi="Times New Roman"/>
                <w:i/>
                <w:color w:val="auto"/>
                <w:spacing w:val="-4"/>
                <w:position w:val="-5"/>
                <w:sz w:val="13"/>
                <w:highlight w:val="none"/>
              </w:rPr>
              <w:t xml:space="preserve">i </w:t>
            </w:r>
            <w:r>
              <w:rPr>
                <w:rFonts w:ascii="Times New Roman" w:hAnsi="Times New Roman"/>
                <w:color w:val="auto"/>
                <w:spacing w:val="-4"/>
                <w:sz w:val="23"/>
                <w:highlight w:val="none"/>
              </w:rPr>
              <w:t>(</w:t>
            </w:r>
            <w:r>
              <w:rPr>
                <w:rFonts w:ascii="Times New Roman" w:hAnsi="Times New Roman"/>
                <w:i/>
                <w:color w:val="auto"/>
                <w:spacing w:val="-4"/>
                <w:sz w:val="23"/>
                <w:highlight w:val="none"/>
              </w:rPr>
              <w:t>T</w:t>
            </w:r>
            <w:r>
              <w:rPr>
                <w:rFonts w:ascii="Times New Roman" w:hAnsi="Times New Roman"/>
                <w:i/>
                <w:color w:val="auto"/>
                <w:spacing w:val="-35"/>
                <w:sz w:val="23"/>
                <w:highlight w:val="none"/>
              </w:rPr>
              <w:t xml:space="preserve"> </w:t>
            </w:r>
            <w:r>
              <w:rPr>
                <w:rFonts w:ascii="Times New Roman" w:hAnsi="Times New Roman"/>
                <w:color w:val="auto"/>
                <w:spacing w:val="-4"/>
                <w:sz w:val="23"/>
                <w:highlight w:val="none"/>
              </w:rPr>
              <w:t>)</w:t>
            </w:r>
            <w:r>
              <w:rPr>
                <w:rFonts w:ascii="Times New Roman" w:hAnsi="Times New Roman"/>
                <w:color w:val="auto"/>
                <w:spacing w:val="-19"/>
                <w:sz w:val="23"/>
                <w:highlight w:val="none"/>
              </w:rPr>
              <w:t xml:space="preserve"> </w:t>
            </w:r>
            <w:r>
              <w:rPr>
                <w:rFonts w:ascii="Symbol" w:hAnsi="Symbol"/>
                <w:color w:val="auto"/>
                <w:spacing w:val="-4"/>
                <w:sz w:val="23"/>
                <w:highlight w:val="none"/>
              </w:rPr>
              <w:t></w:t>
            </w:r>
            <w:r>
              <w:rPr>
                <w:rFonts w:ascii="Times New Roman" w:hAnsi="Times New Roman"/>
                <w:color w:val="auto"/>
                <w:spacing w:val="-25"/>
                <w:sz w:val="23"/>
                <w:highlight w:val="none"/>
              </w:rPr>
              <w:t xml:space="preserve"> </w:t>
            </w:r>
            <w:r>
              <w:rPr>
                <w:rFonts w:ascii="Times New Roman" w:hAnsi="Times New Roman"/>
                <w:color w:val="auto"/>
                <w:spacing w:val="-4"/>
                <w:sz w:val="23"/>
                <w:highlight w:val="none"/>
              </w:rPr>
              <w:t>(</w:t>
            </w:r>
            <w:r>
              <w:rPr>
                <w:rFonts w:ascii="Times New Roman" w:hAnsi="Times New Roman"/>
                <w:i/>
                <w:color w:val="auto"/>
                <w:spacing w:val="-4"/>
                <w:sz w:val="23"/>
                <w:highlight w:val="none"/>
              </w:rPr>
              <w:t>TL</w:t>
            </w:r>
            <w:r>
              <w:rPr>
                <w:rFonts w:ascii="Times New Roman" w:hAnsi="Times New Roman"/>
                <w:i/>
                <w:color w:val="auto"/>
                <w:spacing w:val="-4"/>
                <w:position w:val="-5"/>
                <w:sz w:val="13"/>
                <w:highlight w:val="none"/>
              </w:rPr>
              <w:t>i</w:t>
            </w:r>
            <w:r>
              <w:rPr>
                <w:rFonts w:ascii="Times New Roman" w:hAnsi="Times New Roman"/>
                <w:i/>
                <w:color w:val="auto"/>
                <w:spacing w:val="13"/>
                <w:position w:val="-5"/>
                <w:sz w:val="13"/>
                <w:highlight w:val="none"/>
              </w:rPr>
              <w:t xml:space="preserve"> </w:t>
            </w:r>
            <w:r>
              <w:rPr>
                <w:rFonts w:ascii="Symbol" w:hAnsi="Symbol"/>
                <w:color w:val="auto"/>
                <w:spacing w:val="-4"/>
                <w:sz w:val="23"/>
                <w:highlight w:val="none"/>
              </w:rPr>
              <w:t></w:t>
            </w:r>
            <w:r>
              <w:rPr>
                <w:rFonts w:ascii="Times New Roman" w:hAnsi="Times New Roman"/>
                <w:color w:val="auto"/>
                <w:spacing w:val="-21"/>
                <w:sz w:val="23"/>
                <w:highlight w:val="none"/>
              </w:rPr>
              <w:t xml:space="preserve"> </w:t>
            </w:r>
            <w:r>
              <w:rPr>
                <w:rFonts w:ascii="Times New Roman" w:hAnsi="Times New Roman"/>
                <w:color w:val="auto"/>
                <w:spacing w:val="-5"/>
                <w:sz w:val="23"/>
                <w:highlight w:val="none"/>
              </w:rPr>
              <w:t>6)</w:t>
            </w:r>
          </w:p>
          <w:p w14:paraId="09D089DF">
            <w:pPr>
              <w:pStyle w:val="22"/>
              <w:keepNext w:val="0"/>
              <w:keepLines w:val="0"/>
              <w:pageBreakBefore w:val="0"/>
              <w:widowControl w:val="0"/>
              <w:kinsoku/>
              <w:wordWrap/>
              <w:overflowPunct/>
              <w:topLinePunct w:val="0"/>
              <w:autoSpaceDE/>
              <w:autoSpaceDN/>
              <w:bidi w:val="0"/>
              <w:adjustRightInd/>
              <w:snapToGrid/>
              <w:spacing w:after="0" w:line="360" w:lineRule="auto"/>
              <w:ind w:firstLine="392" w:firstLineChars="200"/>
              <w:textAlignment w:val="auto"/>
              <w:rPr>
                <w:color w:val="auto"/>
                <w:spacing w:val="0"/>
                <w:position w:val="0"/>
                <w:sz w:val="21"/>
                <w:szCs w:val="21"/>
                <w:highlight w:val="none"/>
              </w:rPr>
            </w:pPr>
            <w:r>
              <w:rPr>
                <w:color w:val="auto"/>
                <w:spacing w:val="-7"/>
                <w:position w:val="1"/>
                <w:sz w:val="21"/>
                <w:szCs w:val="21"/>
                <w:highlight w:val="none"/>
              </w:rPr>
              <w:t>式中：</w:t>
            </w:r>
            <w:r>
              <w:rPr>
                <w:rFonts w:ascii="Times New Roman" w:hAnsi="Times New Roman" w:eastAsia="Times New Roman"/>
                <w:i/>
                <w:color w:val="auto"/>
                <w:spacing w:val="0"/>
                <w:position w:val="0"/>
                <w:sz w:val="21"/>
                <w:szCs w:val="21"/>
                <w:highlight w:val="none"/>
              </w:rPr>
              <w:t>Lp</w:t>
            </w:r>
            <w:r>
              <w:rPr>
                <w:rFonts w:ascii="Times New Roman" w:hAnsi="Times New Roman" w:eastAsia="Times New Roman"/>
                <w:color w:val="auto"/>
                <w:spacing w:val="0"/>
                <w:position w:val="0"/>
                <w:sz w:val="21"/>
                <w:szCs w:val="21"/>
                <w:highlight w:val="none"/>
              </w:rPr>
              <w:t>2</w:t>
            </w:r>
            <w:r>
              <w:rPr>
                <w:rFonts w:ascii="Times New Roman" w:hAnsi="Times New Roman" w:eastAsia="Times New Roman"/>
                <w:i/>
                <w:color w:val="auto"/>
                <w:spacing w:val="0"/>
                <w:position w:val="0"/>
                <w:sz w:val="21"/>
                <w:szCs w:val="21"/>
                <w:highlight w:val="none"/>
              </w:rPr>
              <w:t xml:space="preserve">i </w:t>
            </w:r>
            <w:r>
              <w:rPr>
                <w:rFonts w:ascii="Times New Roman" w:hAnsi="Times New Roman" w:eastAsia="Times New Roman"/>
                <w:color w:val="auto"/>
                <w:spacing w:val="0"/>
                <w:position w:val="0"/>
                <w:sz w:val="21"/>
                <w:szCs w:val="21"/>
                <w:highlight w:val="none"/>
              </w:rPr>
              <w:t>(</w:t>
            </w:r>
            <w:r>
              <w:rPr>
                <w:rFonts w:ascii="Times New Roman" w:hAnsi="Times New Roman" w:eastAsia="Times New Roman"/>
                <w:i/>
                <w:color w:val="auto"/>
                <w:spacing w:val="0"/>
                <w:position w:val="0"/>
                <w:sz w:val="21"/>
                <w:szCs w:val="21"/>
                <w:highlight w:val="none"/>
              </w:rPr>
              <w:t xml:space="preserve">T </w:t>
            </w:r>
            <w:r>
              <w:rPr>
                <w:rFonts w:ascii="Times New Roman" w:hAnsi="Times New Roman" w:eastAsia="Times New Roman"/>
                <w:color w:val="auto"/>
                <w:spacing w:val="0"/>
                <w:position w:val="0"/>
                <w:sz w:val="21"/>
                <w:szCs w:val="21"/>
                <w:highlight w:val="none"/>
              </w:rPr>
              <w:t>) ——</w:t>
            </w:r>
            <w:r>
              <w:rPr>
                <w:color w:val="auto"/>
                <w:spacing w:val="0"/>
                <w:position w:val="0"/>
                <w:sz w:val="21"/>
                <w:szCs w:val="21"/>
                <w:highlight w:val="none"/>
              </w:rPr>
              <w:t>靠近围护结构处室外</w:t>
            </w:r>
            <w:r>
              <w:rPr>
                <w:rFonts w:ascii="Times New Roman" w:hAnsi="Times New Roman" w:eastAsia="Times New Roman"/>
                <w:i/>
                <w:color w:val="auto"/>
                <w:spacing w:val="0"/>
                <w:position w:val="0"/>
                <w:sz w:val="21"/>
                <w:szCs w:val="21"/>
                <w:highlight w:val="none"/>
              </w:rPr>
              <w:t>N</w:t>
            </w:r>
            <w:r>
              <w:rPr>
                <w:color w:val="auto"/>
                <w:spacing w:val="0"/>
                <w:position w:val="0"/>
                <w:sz w:val="21"/>
                <w:szCs w:val="21"/>
                <w:highlight w:val="none"/>
              </w:rPr>
              <w:t>个声源</w:t>
            </w:r>
            <w:r>
              <w:rPr>
                <w:rFonts w:ascii="Times New Roman" w:hAnsi="Times New Roman" w:eastAsia="Times New Roman"/>
                <w:i/>
                <w:color w:val="auto"/>
                <w:spacing w:val="0"/>
                <w:position w:val="0"/>
                <w:sz w:val="21"/>
                <w:szCs w:val="21"/>
                <w:highlight w:val="none"/>
              </w:rPr>
              <w:t>i</w:t>
            </w:r>
            <w:r>
              <w:rPr>
                <w:color w:val="auto"/>
                <w:spacing w:val="0"/>
                <w:position w:val="0"/>
                <w:sz w:val="21"/>
                <w:szCs w:val="21"/>
                <w:highlight w:val="none"/>
              </w:rPr>
              <w:t>倍频带的叠加声压级，</w:t>
            </w:r>
            <w:r>
              <w:rPr>
                <w:rFonts w:ascii="Times New Roman" w:hAnsi="Times New Roman" w:eastAsia="Times New Roman"/>
                <w:color w:val="auto"/>
                <w:spacing w:val="0"/>
                <w:position w:val="0"/>
                <w:sz w:val="21"/>
                <w:szCs w:val="21"/>
                <w:highlight w:val="none"/>
              </w:rPr>
              <w:t>dB</w:t>
            </w:r>
            <w:r>
              <w:rPr>
                <w:color w:val="auto"/>
                <w:spacing w:val="0"/>
                <w:position w:val="0"/>
                <w:sz w:val="21"/>
                <w:szCs w:val="21"/>
                <w:highlight w:val="none"/>
              </w:rPr>
              <w:t xml:space="preserve">； </w:t>
            </w:r>
          </w:p>
          <w:p w14:paraId="684BD62E">
            <w:pPr>
              <w:pStyle w:val="22"/>
              <w:keepNext w:val="0"/>
              <w:keepLines w:val="0"/>
              <w:pageBreakBefore w:val="0"/>
              <w:widowControl w:val="0"/>
              <w:kinsoku/>
              <w:wordWrap/>
              <w:overflowPunct/>
              <w:topLinePunct w:val="0"/>
              <w:autoSpaceDE/>
              <w:autoSpaceDN/>
              <w:bidi w:val="0"/>
              <w:adjustRightInd/>
              <w:snapToGrid/>
              <w:spacing w:after="0" w:line="360" w:lineRule="auto"/>
              <w:ind w:firstLine="840" w:firstLineChars="400"/>
              <w:textAlignment w:val="auto"/>
              <w:rPr>
                <w:color w:val="auto"/>
                <w:spacing w:val="0"/>
                <w:position w:val="0"/>
                <w:sz w:val="21"/>
                <w:szCs w:val="21"/>
                <w:highlight w:val="none"/>
                <w:vertAlign w:val="baseline"/>
              </w:rPr>
            </w:pPr>
            <w:r>
              <w:rPr>
                <w:rFonts w:ascii="Times New Roman" w:hAnsi="Times New Roman" w:eastAsia="Times New Roman"/>
                <w:i/>
                <w:color w:val="auto"/>
                <w:spacing w:val="0"/>
                <w:position w:val="0"/>
                <w:sz w:val="21"/>
                <w:szCs w:val="21"/>
                <w:highlight w:val="none"/>
              </w:rPr>
              <w:t>L</w:t>
            </w:r>
            <w:r>
              <w:rPr>
                <w:rFonts w:ascii="Times New Roman" w:hAnsi="Times New Roman" w:eastAsia="Times New Roman"/>
                <w:i/>
                <w:color w:val="auto"/>
                <w:spacing w:val="0"/>
                <w:position w:val="0"/>
                <w:sz w:val="21"/>
                <w:szCs w:val="21"/>
                <w:highlight w:val="none"/>
                <w:vertAlign w:val="subscript"/>
              </w:rPr>
              <w:t>p</w:t>
            </w:r>
            <w:r>
              <w:rPr>
                <w:rFonts w:ascii="Times New Roman" w:hAnsi="Times New Roman" w:eastAsia="Times New Roman"/>
                <w:color w:val="auto"/>
                <w:spacing w:val="0"/>
                <w:position w:val="0"/>
                <w:sz w:val="21"/>
                <w:szCs w:val="21"/>
                <w:highlight w:val="none"/>
                <w:vertAlign w:val="subscript"/>
              </w:rPr>
              <w:t>1</w:t>
            </w:r>
            <w:r>
              <w:rPr>
                <w:rFonts w:ascii="Times New Roman" w:hAnsi="Times New Roman" w:eastAsia="Times New Roman"/>
                <w:i/>
                <w:color w:val="auto"/>
                <w:spacing w:val="0"/>
                <w:position w:val="0"/>
                <w:sz w:val="21"/>
                <w:szCs w:val="21"/>
                <w:highlight w:val="none"/>
                <w:vertAlign w:val="subscript"/>
              </w:rPr>
              <w:t>i</w:t>
            </w:r>
            <w:r>
              <w:rPr>
                <w:rFonts w:ascii="Times New Roman" w:hAnsi="Times New Roman" w:eastAsia="Times New Roman"/>
                <w:i/>
                <w:color w:val="auto"/>
                <w:spacing w:val="0"/>
                <w:position w:val="0"/>
                <w:sz w:val="21"/>
                <w:szCs w:val="21"/>
                <w:highlight w:val="none"/>
                <w:vertAlign w:val="baseline"/>
              </w:rPr>
              <w:t xml:space="preserve"> </w:t>
            </w:r>
            <w:r>
              <w:rPr>
                <w:rFonts w:ascii="Symbol" w:hAnsi="Symbol" w:eastAsia="Symbol"/>
                <w:color w:val="auto"/>
                <w:spacing w:val="0"/>
                <w:position w:val="0"/>
                <w:sz w:val="21"/>
                <w:szCs w:val="21"/>
                <w:highlight w:val="none"/>
                <w:vertAlign w:val="baseline"/>
              </w:rPr>
              <w:t></w:t>
            </w:r>
            <w:r>
              <w:rPr>
                <w:rFonts w:ascii="Times New Roman" w:hAnsi="Times New Roman" w:eastAsia="Times New Roman"/>
                <w:i/>
                <w:color w:val="auto"/>
                <w:spacing w:val="0"/>
                <w:position w:val="0"/>
                <w:sz w:val="21"/>
                <w:szCs w:val="21"/>
                <w:highlight w:val="none"/>
                <w:vertAlign w:val="baseline"/>
              </w:rPr>
              <w:t xml:space="preserve">T </w:t>
            </w:r>
            <w:r>
              <w:rPr>
                <w:rFonts w:ascii="Symbol" w:hAnsi="Symbol" w:eastAsia="Symbol"/>
                <w:color w:val="auto"/>
                <w:spacing w:val="0"/>
                <w:position w:val="0"/>
                <w:sz w:val="21"/>
                <w:szCs w:val="21"/>
                <w:highlight w:val="none"/>
                <w:vertAlign w:val="baseline"/>
              </w:rPr>
              <w:t></w:t>
            </w:r>
            <w:r>
              <w:rPr>
                <w:rFonts w:ascii="Times New Roman" w:hAnsi="Times New Roman" w:eastAsia="Times New Roman"/>
                <w:color w:val="auto"/>
                <w:spacing w:val="0"/>
                <w:position w:val="0"/>
                <w:sz w:val="21"/>
                <w:szCs w:val="21"/>
                <w:highlight w:val="none"/>
                <w:vertAlign w:val="baseline"/>
              </w:rPr>
              <w:t xml:space="preserve"> ——</w:t>
            </w:r>
            <w:r>
              <w:rPr>
                <w:color w:val="auto"/>
                <w:spacing w:val="0"/>
                <w:position w:val="0"/>
                <w:sz w:val="21"/>
                <w:szCs w:val="21"/>
                <w:highlight w:val="none"/>
                <w:vertAlign w:val="baseline"/>
              </w:rPr>
              <w:t xml:space="preserve">靠近围护结构处室内 </w:t>
            </w:r>
            <w:r>
              <w:rPr>
                <w:rFonts w:ascii="Times New Roman" w:hAnsi="Times New Roman" w:eastAsia="Times New Roman"/>
                <w:i/>
                <w:color w:val="auto"/>
                <w:spacing w:val="0"/>
                <w:position w:val="0"/>
                <w:sz w:val="21"/>
                <w:szCs w:val="21"/>
                <w:highlight w:val="none"/>
                <w:vertAlign w:val="baseline"/>
              </w:rPr>
              <w:t xml:space="preserve">N </w:t>
            </w:r>
            <w:r>
              <w:rPr>
                <w:color w:val="auto"/>
                <w:spacing w:val="0"/>
                <w:position w:val="0"/>
                <w:sz w:val="21"/>
                <w:szCs w:val="21"/>
                <w:highlight w:val="none"/>
                <w:vertAlign w:val="baseline"/>
              </w:rPr>
              <w:t>个声源</w:t>
            </w:r>
            <w:r>
              <w:rPr>
                <w:rFonts w:ascii="Times New Roman" w:hAnsi="Times New Roman" w:eastAsia="Times New Roman"/>
                <w:i/>
                <w:color w:val="auto"/>
                <w:spacing w:val="0"/>
                <w:position w:val="0"/>
                <w:sz w:val="21"/>
                <w:szCs w:val="21"/>
                <w:highlight w:val="none"/>
                <w:vertAlign w:val="baseline"/>
              </w:rPr>
              <w:t>i</w:t>
            </w:r>
            <w:r>
              <w:rPr>
                <w:color w:val="auto"/>
                <w:spacing w:val="0"/>
                <w:position w:val="0"/>
                <w:sz w:val="21"/>
                <w:szCs w:val="21"/>
                <w:highlight w:val="none"/>
                <w:vertAlign w:val="baseline"/>
              </w:rPr>
              <w:t>倍频带的叠加声压级，</w:t>
            </w:r>
            <w:r>
              <w:rPr>
                <w:rFonts w:ascii="Times New Roman" w:hAnsi="Times New Roman" w:eastAsia="Times New Roman"/>
                <w:color w:val="auto"/>
                <w:spacing w:val="0"/>
                <w:position w:val="0"/>
                <w:sz w:val="21"/>
                <w:szCs w:val="21"/>
                <w:highlight w:val="none"/>
                <w:vertAlign w:val="baseline"/>
              </w:rPr>
              <w:t>dB</w:t>
            </w:r>
            <w:r>
              <w:rPr>
                <w:color w:val="auto"/>
                <w:spacing w:val="0"/>
                <w:position w:val="0"/>
                <w:sz w:val="21"/>
                <w:szCs w:val="21"/>
                <w:highlight w:val="none"/>
                <w:vertAlign w:val="baseline"/>
              </w:rPr>
              <w:t>；</w:t>
            </w:r>
          </w:p>
          <w:p w14:paraId="607DDE4B">
            <w:pPr>
              <w:pStyle w:val="22"/>
              <w:keepNext w:val="0"/>
              <w:keepLines w:val="0"/>
              <w:pageBreakBefore w:val="0"/>
              <w:widowControl w:val="0"/>
              <w:kinsoku/>
              <w:wordWrap/>
              <w:overflowPunct/>
              <w:topLinePunct w:val="0"/>
              <w:autoSpaceDE/>
              <w:autoSpaceDN/>
              <w:bidi w:val="0"/>
              <w:adjustRightInd/>
              <w:snapToGrid/>
              <w:spacing w:after="0" w:line="360" w:lineRule="auto"/>
              <w:ind w:firstLine="1050" w:firstLineChars="500"/>
              <w:textAlignment w:val="auto"/>
              <w:rPr>
                <w:color w:val="auto"/>
                <w:spacing w:val="0"/>
                <w:position w:val="0"/>
                <w:sz w:val="21"/>
                <w:szCs w:val="21"/>
                <w:highlight w:val="none"/>
                <w:vertAlign w:val="baseline"/>
              </w:rPr>
            </w:pPr>
            <w:r>
              <w:rPr>
                <w:rFonts w:ascii="Times New Roman" w:hAnsi="Times New Roman" w:eastAsia="Times New Roman"/>
                <w:i/>
                <w:color w:val="auto"/>
                <w:spacing w:val="0"/>
                <w:position w:val="0"/>
                <w:sz w:val="21"/>
                <w:szCs w:val="21"/>
                <w:highlight w:val="none"/>
                <w:vertAlign w:val="baseline"/>
              </w:rPr>
              <w:t xml:space="preserve">TLi </w:t>
            </w:r>
            <w:r>
              <w:rPr>
                <w:rFonts w:ascii="Times New Roman" w:hAnsi="Times New Roman" w:eastAsia="Times New Roman"/>
                <w:color w:val="auto"/>
                <w:spacing w:val="0"/>
                <w:position w:val="0"/>
                <w:sz w:val="21"/>
                <w:szCs w:val="21"/>
                <w:highlight w:val="none"/>
                <w:vertAlign w:val="baseline"/>
              </w:rPr>
              <w:t>——</w:t>
            </w:r>
            <w:r>
              <w:rPr>
                <w:color w:val="auto"/>
                <w:spacing w:val="0"/>
                <w:position w:val="0"/>
                <w:sz w:val="21"/>
                <w:szCs w:val="21"/>
                <w:highlight w:val="none"/>
                <w:vertAlign w:val="baseline"/>
              </w:rPr>
              <w:t>围护结构</w:t>
            </w:r>
            <w:r>
              <w:rPr>
                <w:rFonts w:ascii="Times New Roman" w:hAnsi="Times New Roman" w:eastAsia="Times New Roman"/>
                <w:i/>
                <w:color w:val="auto"/>
                <w:spacing w:val="0"/>
                <w:position w:val="0"/>
                <w:sz w:val="21"/>
                <w:szCs w:val="21"/>
                <w:highlight w:val="none"/>
                <w:vertAlign w:val="baseline"/>
              </w:rPr>
              <w:t>i</w:t>
            </w:r>
            <w:r>
              <w:rPr>
                <w:color w:val="auto"/>
                <w:spacing w:val="0"/>
                <w:position w:val="0"/>
                <w:sz w:val="21"/>
                <w:szCs w:val="21"/>
                <w:highlight w:val="none"/>
                <w:vertAlign w:val="baseline"/>
              </w:rPr>
              <w:t>倍频带的隔声量，</w:t>
            </w:r>
            <w:r>
              <w:rPr>
                <w:rFonts w:ascii="Times New Roman" w:hAnsi="Times New Roman" w:eastAsia="Times New Roman"/>
                <w:color w:val="auto"/>
                <w:spacing w:val="0"/>
                <w:position w:val="0"/>
                <w:sz w:val="21"/>
                <w:szCs w:val="21"/>
                <w:highlight w:val="none"/>
                <w:vertAlign w:val="baseline"/>
              </w:rPr>
              <w:t>dB</w:t>
            </w:r>
            <w:r>
              <w:rPr>
                <w:color w:val="auto"/>
                <w:spacing w:val="0"/>
                <w:position w:val="0"/>
                <w:sz w:val="21"/>
                <w:szCs w:val="21"/>
                <w:highlight w:val="none"/>
                <w:vertAlign w:val="baseline"/>
              </w:rPr>
              <w:t>。</w:t>
            </w:r>
          </w:p>
          <w:p w14:paraId="07614098">
            <w:pPr>
              <w:rPr>
                <w:color w:val="auto"/>
                <w:spacing w:val="0"/>
                <w:position w:val="0"/>
                <w:sz w:val="21"/>
                <w:highlight w:val="none"/>
                <w:vertAlign w:val="baseline"/>
              </w:rPr>
            </w:pPr>
          </w:p>
          <w:p w14:paraId="403DC5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pacing w:val="0"/>
                <w:position w:val="0"/>
                <w:sz w:val="21"/>
                <w:highlight w:val="none"/>
                <w:vertAlign w:val="baseline"/>
                <w:lang w:val="en-US" w:eastAsia="zh-CN"/>
              </w:rPr>
            </w:pPr>
            <w:r>
              <w:rPr>
                <w:rFonts w:hint="default" w:ascii="Times New Roman" w:hAnsi="Times New Roman" w:cs="Times New Roman"/>
                <w:color w:val="auto"/>
                <w:spacing w:val="0"/>
                <w:position w:val="0"/>
                <w:sz w:val="21"/>
                <w:highlight w:val="none"/>
                <w:vertAlign w:val="baseline"/>
              </w:rPr>
              <w:t>②</w:t>
            </w:r>
            <w:r>
              <w:rPr>
                <w:rFonts w:hint="default" w:ascii="Times New Roman" w:hAnsi="Times New Roman" w:cs="Times New Roman"/>
                <w:color w:val="auto"/>
                <w:spacing w:val="-2"/>
                <w:highlight w:val="none"/>
              </w:rPr>
              <w:t>户外声传播的衰减</w:t>
            </w:r>
          </w:p>
          <w:p w14:paraId="7502AA28">
            <w:pPr>
              <w:rPr>
                <w:color w:val="auto"/>
                <w:spacing w:val="0"/>
                <w:position w:val="0"/>
                <w:sz w:val="21"/>
                <w:highlight w:val="none"/>
                <w:vertAlign w:val="baseline"/>
              </w:rPr>
            </w:pPr>
          </w:p>
          <w:p w14:paraId="41557719">
            <w:pPr>
              <w:keepNext w:val="0"/>
              <w:keepLines w:val="0"/>
              <w:pageBreakBefore w:val="0"/>
              <w:kinsoku/>
              <w:wordWrap/>
              <w:overflowPunct/>
              <w:topLinePunct w:val="0"/>
              <w:autoSpaceDE/>
              <w:autoSpaceDN/>
              <w:bidi w:val="0"/>
              <w:adjustRightInd/>
              <w:spacing w:line="360" w:lineRule="auto"/>
              <w:ind w:left="0" w:right="0" w:firstLine="0"/>
              <w:jc w:val="center"/>
              <w:textAlignment w:val="auto"/>
              <w:rPr>
                <w:color w:val="auto"/>
                <w:spacing w:val="0"/>
                <w:position w:val="0"/>
                <w:sz w:val="21"/>
                <w:highlight w:val="none"/>
                <w:vertAlign w:val="baseline"/>
              </w:rPr>
            </w:pPr>
            <w:r>
              <w:rPr>
                <w:rFonts w:ascii="Times New Roman" w:hAnsi="Times New Roman" w:eastAsia="Times New Roman"/>
                <w:i/>
                <w:color w:val="auto"/>
                <w:spacing w:val="-2"/>
                <w:sz w:val="21"/>
                <w:highlight w:val="none"/>
              </w:rPr>
              <w:t>L</w:t>
            </w:r>
            <w:r>
              <w:rPr>
                <w:rFonts w:ascii="Times New Roman" w:hAnsi="Times New Roman" w:eastAsia="Times New Roman"/>
                <w:i/>
                <w:color w:val="auto"/>
                <w:spacing w:val="-2"/>
                <w:sz w:val="21"/>
                <w:highlight w:val="none"/>
                <w:vertAlign w:val="subscript"/>
              </w:rPr>
              <w:t>p</w:t>
            </w:r>
            <w:r>
              <w:rPr>
                <w:rFonts w:ascii="Times New Roman" w:hAnsi="Times New Roman" w:eastAsia="Times New Roman"/>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r</w:t>
            </w:r>
            <w:r>
              <w:rPr>
                <w:rFonts w:ascii="Times New Roman" w:hAnsi="Times New Roman" w:eastAsia="Times New Roman"/>
                <w:color w:val="auto"/>
                <w:spacing w:val="-2"/>
                <w:sz w:val="21"/>
                <w:highlight w:val="none"/>
                <w:vertAlign w:val="baseline"/>
              </w:rPr>
              <w:t>)</w:t>
            </w:r>
            <w:r>
              <w:rPr>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L</w:t>
            </w:r>
            <w:r>
              <w:rPr>
                <w:rFonts w:ascii="Times New Roman" w:hAnsi="Times New Roman" w:eastAsia="Times New Roman"/>
                <w:i/>
                <w:color w:val="auto"/>
                <w:spacing w:val="-2"/>
                <w:sz w:val="21"/>
                <w:highlight w:val="none"/>
                <w:vertAlign w:val="subscript"/>
              </w:rPr>
              <w:t>p</w:t>
            </w:r>
            <w:r>
              <w:rPr>
                <w:rFonts w:ascii="Times New Roman" w:hAnsi="Times New Roman" w:eastAsia="Times New Roman"/>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r</w:t>
            </w:r>
            <w:r>
              <w:rPr>
                <w:rFonts w:ascii="Times New Roman" w:hAnsi="Times New Roman" w:eastAsia="Times New Roman"/>
                <w:color w:val="auto"/>
                <w:spacing w:val="-2"/>
                <w:sz w:val="21"/>
                <w:highlight w:val="none"/>
                <w:vertAlign w:val="subscript"/>
              </w:rPr>
              <w:t>0</w:t>
            </w:r>
            <w:r>
              <w:rPr>
                <w:rFonts w:ascii="Times New Roman" w:hAnsi="Times New Roman" w:eastAsia="Times New Roman"/>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D</w:t>
            </w:r>
            <w:r>
              <w:rPr>
                <w:rFonts w:ascii="Times New Roman" w:hAnsi="Times New Roman" w:eastAsia="Times New Roman"/>
                <w:color w:val="auto"/>
                <w:spacing w:val="-2"/>
                <w:sz w:val="21"/>
                <w:highlight w:val="none"/>
                <w:vertAlign w:val="subscript"/>
              </w:rPr>
              <w:t>C</w:t>
            </w:r>
            <w:r>
              <w:rPr>
                <w:color w:val="auto"/>
                <w:spacing w:val="-2"/>
                <w:sz w:val="21"/>
                <w:highlight w:val="none"/>
                <w:vertAlign w:val="baseline"/>
              </w:rPr>
              <w:t>－</w:t>
            </w:r>
            <w:r>
              <w:rPr>
                <w:rFonts w:ascii="Times New Roman" w:hAnsi="Times New Roman" w:eastAsia="Times New Roman"/>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A</w:t>
            </w:r>
            <w:r>
              <w:rPr>
                <w:rFonts w:ascii="Times New Roman" w:hAnsi="Times New Roman" w:eastAsia="Times New Roman"/>
                <w:color w:val="auto"/>
                <w:spacing w:val="-2"/>
                <w:sz w:val="21"/>
                <w:highlight w:val="none"/>
                <w:vertAlign w:val="subscript"/>
              </w:rPr>
              <w:t>div</w:t>
            </w:r>
            <w:r>
              <w:rPr>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A</w:t>
            </w:r>
            <w:r>
              <w:rPr>
                <w:rFonts w:ascii="Times New Roman" w:hAnsi="Times New Roman" w:eastAsia="Times New Roman"/>
                <w:color w:val="auto"/>
                <w:spacing w:val="-2"/>
                <w:sz w:val="21"/>
                <w:highlight w:val="none"/>
                <w:vertAlign w:val="subscript"/>
              </w:rPr>
              <w:t>atm</w:t>
            </w:r>
            <w:r>
              <w:rPr>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A</w:t>
            </w:r>
            <w:r>
              <w:rPr>
                <w:rFonts w:ascii="Times New Roman" w:hAnsi="Times New Roman" w:eastAsia="Times New Roman"/>
                <w:color w:val="auto"/>
                <w:spacing w:val="-2"/>
                <w:sz w:val="21"/>
                <w:highlight w:val="none"/>
                <w:vertAlign w:val="subscript"/>
              </w:rPr>
              <w:t>gr</w:t>
            </w:r>
            <w:r>
              <w:rPr>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A</w:t>
            </w:r>
            <w:r>
              <w:rPr>
                <w:rFonts w:ascii="Times New Roman" w:hAnsi="Times New Roman" w:eastAsia="Times New Roman"/>
                <w:color w:val="auto"/>
                <w:spacing w:val="-2"/>
                <w:sz w:val="21"/>
                <w:highlight w:val="none"/>
                <w:vertAlign w:val="subscript"/>
              </w:rPr>
              <w:t>bar</w:t>
            </w:r>
            <w:r>
              <w:rPr>
                <w:color w:val="auto"/>
                <w:spacing w:val="-2"/>
                <w:sz w:val="21"/>
                <w:highlight w:val="none"/>
                <w:vertAlign w:val="baseline"/>
              </w:rPr>
              <w:t>＋</w:t>
            </w:r>
            <w:r>
              <w:rPr>
                <w:rFonts w:ascii="Times New Roman" w:hAnsi="Times New Roman" w:eastAsia="Times New Roman"/>
                <w:i/>
                <w:color w:val="auto"/>
                <w:spacing w:val="-2"/>
                <w:sz w:val="21"/>
                <w:highlight w:val="none"/>
                <w:vertAlign w:val="baseline"/>
              </w:rPr>
              <w:t>A</w:t>
            </w:r>
            <w:r>
              <w:rPr>
                <w:rFonts w:ascii="Times New Roman" w:hAnsi="Times New Roman" w:eastAsia="Times New Roman"/>
                <w:color w:val="auto"/>
                <w:spacing w:val="-2"/>
                <w:sz w:val="21"/>
                <w:highlight w:val="none"/>
                <w:vertAlign w:val="subscript"/>
              </w:rPr>
              <w:t>misc</w:t>
            </w:r>
            <w:r>
              <w:rPr>
                <w:rFonts w:ascii="Times New Roman" w:hAnsi="Times New Roman" w:eastAsia="Times New Roman"/>
                <w:color w:val="auto"/>
                <w:spacing w:val="-2"/>
                <w:sz w:val="21"/>
                <w:highlight w:val="none"/>
                <w:vertAlign w:val="baseline"/>
              </w:rPr>
              <w:t>)</w:t>
            </w:r>
          </w:p>
          <w:p w14:paraId="7B1CB192">
            <w:pPr>
              <w:keepNext w:val="0"/>
              <w:keepLines w:val="0"/>
              <w:pageBreakBefore w:val="0"/>
              <w:tabs>
                <w:tab w:val="left" w:pos="8797"/>
              </w:tabs>
              <w:kinsoku/>
              <w:wordWrap/>
              <w:overflowPunct/>
              <w:topLinePunct w:val="0"/>
              <w:autoSpaceDE/>
              <w:autoSpaceDN/>
              <w:bidi w:val="0"/>
              <w:adjustRightInd/>
              <w:spacing w:line="360" w:lineRule="auto"/>
              <w:ind w:left="0" w:right="0" w:firstLine="420" w:firstLineChars="200"/>
              <w:jc w:val="left"/>
              <w:textAlignment w:val="auto"/>
              <w:rPr>
                <w:color w:val="auto"/>
                <w:sz w:val="21"/>
                <w:szCs w:val="21"/>
                <w:highlight w:val="none"/>
              </w:rPr>
            </w:pPr>
            <w:r>
              <w:rPr>
                <w:color w:val="auto"/>
                <w:sz w:val="21"/>
                <w:szCs w:val="21"/>
                <w:highlight w:val="none"/>
                <w:vertAlign w:val="baseline"/>
              </w:rPr>
              <w:t>式中：</w:t>
            </w:r>
            <w:r>
              <w:rPr>
                <w:rFonts w:ascii="Times New Roman" w:hAnsi="Times New Roman" w:eastAsia="Times New Roman"/>
                <w:i/>
                <w:color w:val="auto"/>
                <w:sz w:val="21"/>
                <w:szCs w:val="21"/>
                <w:highlight w:val="none"/>
                <w:vertAlign w:val="baseline"/>
              </w:rPr>
              <w:t>L</w:t>
            </w:r>
            <w:r>
              <w:rPr>
                <w:rFonts w:ascii="Times New Roman" w:hAnsi="Times New Roman" w:eastAsia="Times New Roman"/>
                <w:i/>
                <w:color w:val="auto"/>
                <w:sz w:val="21"/>
                <w:szCs w:val="21"/>
                <w:highlight w:val="none"/>
                <w:vertAlign w:val="subscript"/>
              </w:rPr>
              <w:t>p</w:t>
            </w:r>
            <w:r>
              <w:rPr>
                <w:rFonts w:ascii="Times New Roman" w:hAnsi="Times New Roman" w:eastAsia="Times New Roman"/>
                <w:color w:val="auto"/>
                <w:sz w:val="21"/>
                <w:szCs w:val="21"/>
                <w:highlight w:val="none"/>
                <w:vertAlign w:val="baseline"/>
              </w:rPr>
              <w:t>(</w:t>
            </w:r>
            <w:r>
              <w:rPr>
                <w:rFonts w:ascii="Times New Roman" w:hAnsi="Times New Roman" w:eastAsia="Times New Roman"/>
                <w:i/>
                <w:color w:val="auto"/>
                <w:sz w:val="21"/>
                <w:szCs w:val="21"/>
                <w:highlight w:val="none"/>
                <w:vertAlign w:val="baseline"/>
              </w:rPr>
              <w:t>r</w:t>
            </w:r>
            <w:r>
              <w:rPr>
                <w:rFonts w:ascii="Times New Roman" w:hAnsi="Times New Roman" w:eastAsia="Times New Roman"/>
                <w:color w:val="auto"/>
                <w:sz w:val="21"/>
                <w:szCs w:val="21"/>
                <w:highlight w:val="none"/>
                <w:vertAlign w:val="baseline"/>
              </w:rPr>
              <w:t>) ——</w:t>
            </w:r>
            <w:r>
              <w:rPr>
                <w:color w:val="auto"/>
                <w:sz w:val="21"/>
                <w:szCs w:val="21"/>
                <w:highlight w:val="none"/>
                <w:vertAlign w:val="baseline"/>
              </w:rPr>
              <w:t>预测点处声压级，</w:t>
            </w:r>
            <w:r>
              <w:rPr>
                <w:rFonts w:ascii="Times New Roman" w:hAnsi="Times New Roman" w:eastAsia="Times New Roman"/>
                <w:color w:val="auto"/>
                <w:sz w:val="21"/>
                <w:szCs w:val="21"/>
                <w:highlight w:val="none"/>
                <w:vertAlign w:val="baseline"/>
              </w:rPr>
              <w:t>dB</w:t>
            </w:r>
            <w:r>
              <w:rPr>
                <w:color w:val="auto"/>
                <w:sz w:val="21"/>
                <w:szCs w:val="21"/>
                <w:highlight w:val="none"/>
                <w:vertAlign w:val="baseline"/>
              </w:rPr>
              <w:t>；</w:t>
            </w:r>
          </w:p>
          <w:p w14:paraId="0CFD3BDE">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1030" w:firstLineChars="500"/>
              <w:textAlignment w:val="auto"/>
              <w:rPr>
                <w:color w:val="auto"/>
                <w:sz w:val="21"/>
                <w:szCs w:val="21"/>
                <w:highlight w:val="none"/>
              </w:rPr>
            </w:pPr>
            <w:r>
              <w:rPr>
                <w:rFonts w:ascii="Times New Roman" w:hAnsi="Times New Roman" w:eastAsia="Times New Roman"/>
                <w:i/>
                <w:color w:val="auto"/>
                <w:spacing w:val="-2"/>
                <w:sz w:val="21"/>
                <w:szCs w:val="21"/>
                <w:highlight w:val="none"/>
              </w:rPr>
              <w:t>L</w:t>
            </w:r>
            <w:r>
              <w:rPr>
                <w:rFonts w:ascii="Times New Roman" w:hAnsi="Times New Roman" w:eastAsia="Times New Roman"/>
                <w:i/>
                <w:color w:val="auto"/>
                <w:spacing w:val="-2"/>
                <w:sz w:val="21"/>
                <w:szCs w:val="21"/>
                <w:highlight w:val="none"/>
                <w:vertAlign w:val="subscript"/>
              </w:rPr>
              <w:t>p</w:t>
            </w:r>
            <w:r>
              <w:rPr>
                <w:rFonts w:ascii="Times New Roman" w:hAnsi="Times New Roman" w:eastAsia="Times New Roman"/>
                <w:color w:val="auto"/>
                <w:spacing w:val="-2"/>
                <w:sz w:val="21"/>
                <w:szCs w:val="21"/>
                <w:highlight w:val="none"/>
                <w:vertAlign w:val="baseline"/>
              </w:rPr>
              <w:t>(</w:t>
            </w:r>
            <w:r>
              <w:rPr>
                <w:rFonts w:ascii="Times New Roman" w:hAnsi="Times New Roman" w:eastAsia="Times New Roman"/>
                <w:i/>
                <w:color w:val="auto"/>
                <w:spacing w:val="-2"/>
                <w:sz w:val="21"/>
                <w:szCs w:val="21"/>
                <w:highlight w:val="none"/>
                <w:vertAlign w:val="baseline"/>
              </w:rPr>
              <w:t>r</w:t>
            </w:r>
            <w:r>
              <w:rPr>
                <w:rFonts w:ascii="Times New Roman" w:hAnsi="Times New Roman" w:eastAsia="Times New Roman"/>
                <w:color w:val="auto"/>
                <w:spacing w:val="-2"/>
                <w:sz w:val="21"/>
                <w:szCs w:val="21"/>
                <w:highlight w:val="none"/>
                <w:vertAlign w:val="subscript"/>
              </w:rPr>
              <w:t>0</w:t>
            </w:r>
            <w:r>
              <w:rPr>
                <w:rFonts w:ascii="Times New Roman" w:hAnsi="Times New Roman" w:eastAsia="Times New Roman"/>
                <w:color w:val="auto"/>
                <w:spacing w:val="1"/>
                <w:sz w:val="21"/>
                <w:szCs w:val="21"/>
                <w:highlight w:val="none"/>
                <w:vertAlign w:val="baseline"/>
              </w:rPr>
              <w:t>) ——</w:t>
            </w:r>
            <w:r>
              <w:rPr>
                <w:color w:val="auto"/>
                <w:spacing w:val="-2"/>
                <w:sz w:val="21"/>
                <w:szCs w:val="21"/>
                <w:highlight w:val="none"/>
                <w:vertAlign w:val="baseline"/>
              </w:rPr>
              <w:t>参考位置</w:t>
            </w:r>
            <w:r>
              <w:rPr>
                <w:rFonts w:ascii="Times New Roman" w:hAnsi="Times New Roman" w:eastAsia="Times New Roman"/>
                <w:i/>
                <w:color w:val="auto"/>
                <w:spacing w:val="-2"/>
                <w:sz w:val="21"/>
                <w:szCs w:val="21"/>
                <w:highlight w:val="none"/>
                <w:vertAlign w:val="baseline"/>
              </w:rPr>
              <w:t>r</w:t>
            </w:r>
            <w:r>
              <w:rPr>
                <w:rFonts w:ascii="Times New Roman" w:hAnsi="Times New Roman" w:eastAsia="Times New Roman"/>
                <w:color w:val="auto"/>
                <w:spacing w:val="-2"/>
                <w:sz w:val="21"/>
                <w:szCs w:val="21"/>
                <w:highlight w:val="none"/>
                <w:vertAlign w:val="subscript"/>
              </w:rPr>
              <w:t>0</w:t>
            </w:r>
            <w:r>
              <w:rPr>
                <w:color w:val="auto"/>
                <w:spacing w:val="-3"/>
                <w:sz w:val="21"/>
                <w:szCs w:val="21"/>
                <w:highlight w:val="none"/>
                <w:vertAlign w:val="baseline"/>
              </w:rPr>
              <w:t>处的声压级，</w:t>
            </w:r>
            <w:r>
              <w:rPr>
                <w:rFonts w:ascii="Times New Roman" w:hAnsi="Times New Roman" w:eastAsia="Times New Roman"/>
                <w:color w:val="auto"/>
                <w:spacing w:val="-4"/>
                <w:sz w:val="21"/>
                <w:szCs w:val="21"/>
                <w:highlight w:val="none"/>
                <w:vertAlign w:val="baseline"/>
              </w:rPr>
              <w:t>dB</w:t>
            </w:r>
            <w:r>
              <w:rPr>
                <w:color w:val="auto"/>
                <w:spacing w:val="-4"/>
                <w:sz w:val="21"/>
                <w:szCs w:val="21"/>
                <w:highlight w:val="none"/>
                <w:vertAlign w:val="baseline"/>
              </w:rPr>
              <w:t>；</w:t>
            </w:r>
          </w:p>
          <w:p w14:paraId="773BA77F">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1050" w:firstLineChars="500"/>
              <w:textAlignment w:val="auto"/>
              <w:rPr>
                <w:color w:val="auto"/>
                <w:sz w:val="21"/>
                <w:szCs w:val="21"/>
                <w:highlight w:val="none"/>
              </w:rPr>
            </w:pPr>
            <w:r>
              <w:rPr>
                <w:rFonts w:ascii="Times New Roman" w:hAnsi="Times New Roman" w:eastAsia="Times New Roman"/>
                <w:i/>
                <w:color w:val="auto"/>
                <w:position w:val="1"/>
                <w:sz w:val="21"/>
                <w:szCs w:val="21"/>
                <w:highlight w:val="none"/>
              </w:rPr>
              <w:t>D</w:t>
            </w:r>
            <w:r>
              <w:rPr>
                <w:rFonts w:ascii="Times New Roman" w:hAnsi="Times New Roman" w:eastAsia="Times New Roman"/>
                <w:color w:val="auto"/>
                <w:position w:val="1"/>
                <w:sz w:val="21"/>
                <w:szCs w:val="21"/>
                <w:highlight w:val="none"/>
                <w:vertAlign w:val="subscript"/>
              </w:rPr>
              <w:t>C</w:t>
            </w:r>
            <w:r>
              <w:rPr>
                <w:rFonts w:ascii="Times New Roman" w:hAnsi="Times New Roman" w:eastAsia="Times New Roman"/>
                <w:color w:val="auto"/>
                <w:position w:val="1"/>
                <w:sz w:val="21"/>
                <w:szCs w:val="21"/>
                <w:highlight w:val="none"/>
                <w:vertAlign w:val="baseline"/>
              </w:rPr>
              <w:t xml:space="preserve"> ——</w:t>
            </w:r>
            <w:r>
              <w:rPr>
                <w:color w:val="auto"/>
                <w:sz w:val="21"/>
                <w:szCs w:val="21"/>
                <w:highlight w:val="none"/>
                <w:vertAlign w:val="baseline"/>
              </w:rPr>
              <w:t>指向性校正，它描述点声源的等效连续声压级与产生声功率级</w:t>
            </w:r>
            <w:r>
              <w:rPr>
                <w:rFonts w:ascii="Times New Roman" w:hAnsi="Times New Roman" w:eastAsia="Times New Roman"/>
                <w:i/>
                <w:color w:val="auto"/>
                <w:position w:val="1"/>
                <w:sz w:val="21"/>
                <w:szCs w:val="21"/>
                <w:highlight w:val="none"/>
                <w:vertAlign w:val="baseline"/>
              </w:rPr>
              <w:t>L</w:t>
            </w:r>
            <w:r>
              <w:rPr>
                <w:rFonts w:ascii="Times New Roman" w:hAnsi="Times New Roman" w:eastAsia="Times New Roman"/>
                <w:i/>
                <w:color w:val="auto"/>
                <w:position w:val="1"/>
                <w:sz w:val="21"/>
                <w:szCs w:val="21"/>
                <w:highlight w:val="none"/>
                <w:vertAlign w:val="subscript"/>
              </w:rPr>
              <w:t>w</w:t>
            </w:r>
            <w:r>
              <w:rPr>
                <w:color w:val="auto"/>
                <w:sz w:val="21"/>
                <w:szCs w:val="21"/>
                <w:highlight w:val="none"/>
                <w:vertAlign w:val="baseline"/>
              </w:rPr>
              <w:t>的全向点声源在规定方</w:t>
            </w:r>
            <w:r>
              <w:rPr>
                <w:color w:val="auto"/>
                <w:spacing w:val="-2"/>
                <w:sz w:val="21"/>
                <w:szCs w:val="21"/>
                <w:highlight w:val="none"/>
                <w:vertAlign w:val="baseline"/>
              </w:rPr>
              <w:t>向的声级的偏差程度，</w:t>
            </w:r>
            <w:r>
              <w:rPr>
                <w:rFonts w:ascii="Times New Roman" w:hAnsi="Times New Roman" w:eastAsia="Times New Roman"/>
                <w:color w:val="auto"/>
                <w:spacing w:val="-2"/>
                <w:position w:val="1"/>
                <w:sz w:val="21"/>
                <w:szCs w:val="21"/>
                <w:highlight w:val="none"/>
                <w:vertAlign w:val="baseline"/>
              </w:rPr>
              <w:t>dB</w:t>
            </w:r>
            <w:r>
              <w:rPr>
                <w:color w:val="auto"/>
                <w:spacing w:val="-2"/>
                <w:sz w:val="21"/>
                <w:szCs w:val="21"/>
                <w:highlight w:val="none"/>
                <w:vertAlign w:val="baseline"/>
              </w:rPr>
              <w:t>；</w:t>
            </w:r>
          </w:p>
          <w:p w14:paraId="405D0E44">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1050" w:firstLineChars="500"/>
              <w:textAlignment w:val="auto"/>
              <w:rPr>
                <w:color w:val="auto"/>
                <w:sz w:val="21"/>
                <w:szCs w:val="21"/>
                <w:highlight w:val="none"/>
                <w:vertAlign w:val="baseline"/>
              </w:rPr>
            </w:pPr>
            <w:r>
              <w:rPr>
                <w:rFonts w:ascii="Times New Roman" w:hAnsi="Times New Roman" w:eastAsia="Times New Roman"/>
                <w:i/>
                <w:color w:val="auto"/>
                <w:position w:val="1"/>
                <w:sz w:val="21"/>
                <w:szCs w:val="21"/>
                <w:highlight w:val="none"/>
              </w:rPr>
              <w:t>A</w:t>
            </w:r>
            <w:r>
              <w:rPr>
                <w:rFonts w:ascii="Times New Roman" w:hAnsi="Times New Roman" w:eastAsia="Times New Roman"/>
                <w:color w:val="auto"/>
                <w:position w:val="1"/>
                <w:sz w:val="21"/>
                <w:szCs w:val="21"/>
                <w:highlight w:val="none"/>
                <w:vertAlign w:val="subscript"/>
              </w:rPr>
              <w:t>div</w:t>
            </w:r>
            <w:r>
              <w:rPr>
                <w:rFonts w:ascii="Times New Roman" w:hAnsi="Times New Roman" w:eastAsia="Times New Roman"/>
                <w:color w:val="auto"/>
                <w:position w:val="1"/>
                <w:sz w:val="21"/>
                <w:szCs w:val="21"/>
                <w:highlight w:val="none"/>
                <w:vertAlign w:val="baseline"/>
              </w:rPr>
              <w:t xml:space="preserve"> ——</w:t>
            </w:r>
            <w:r>
              <w:rPr>
                <w:color w:val="auto"/>
                <w:sz w:val="21"/>
                <w:szCs w:val="21"/>
                <w:highlight w:val="none"/>
                <w:vertAlign w:val="baseline"/>
              </w:rPr>
              <w:t>几何发散引起的衰减，</w:t>
            </w:r>
            <w:r>
              <w:rPr>
                <w:rFonts w:ascii="Times New Roman" w:hAnsi="Times New Roman" w:eastAsia="Times New Roman"/>
                <w:color w:val="auto"/>
                <w:position w:val="1"/>
                <w:sz w:val="21"/>
                <w:szCs w:val="21"/>
                <w:highlight w:val="none"/>
                <w:vertAlign w:val="baseline"/>
              </w:rPr>
              <w:t>dB</w:t>
            </w:r>
            <w:r>
              <w:rPr>
                <w:color w:val="auto"/>
                <w:sz w:val="21"/>
                <w:szCs w:val="21"/>
                <w:highlight w:val="none"/>
                <w:vertAlign w:val="baseline"/>
              </w:rPr>
              <w:t xml:space="preserve">； </w:t>
            </w:r>
          </w:p>
          <w:p w14:paraId="7DA621E9">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1050" w:firstLineChars="500"/>
              <w:textAlignment w:val="auto"/>
              <w:rPr>
                <w:color w:val="auto"/>
                <w:sz w:val="21"/>
                <w:szCs w:val="21"/>
                <w:highlight w:val="none"/>
                <w:vertAlign w:val="baseline"/>
              </w:rPr>
            </w:pPr>
            <w:r>
              <w:rPr>
                <w:rFonts w:ascii="Times New Roman" w:hAnsi="Times New Roman" w:eastAsia="Times New Roman"/>
                <w:i/>
                <w:color w:val="auto"/>
                <w:position w:val="1"/>
                <w:sz w:val="21"/>
                <w:szCs w:val="21"/>
                <w:highlight w:val="none"/>
                <w:vertAlign w:val="baseline"/>
              </w:rPr>
              <w:t>A</w:t>
            </w:r>
            <w:r>
              <w:rPr>
                <w:rFonts w:ascii="Times New Roman" w:hAnsi="Times New Roman" w:eastAsia="Times New Roman"/>
                <w:color w:val="auto"/>
                <w:position w:val="1"/>
                <w:sz w:val="21"/>
                <w:szCs w:val="21"/>
                <w:highlight w:val="none"/>
                <w:vertAlign w:val="subscript"/>
              </w:rPr>
              <w:t>atm</w:t>
            </w:r>
            <w:r>
              <w:rPr>
                <w:rFonts w:ascii="Times New Roman" w:hAnsi="Times New Roman" w:eastAsia="Times New Roman"/>
                <w:color w:val="auto"/>
                <w:position w:val="1"/>
                <w:sz w:val="21"/>
                <w:szCs w:val="21"/>
                <w:highlight w:val="none"/>
                <w:vertAlign w:val="baseline"/>
              </w:rPr>
              <w:t xml:space="preserve"> ——</w:t>
            </w:r>
            <w:r>
              <w:rPr>
                <w:color w:val="auto"/>
                <w:sz w:val="21"/>
                <w:szCs w:val="21"/>
                <w:highlight w:val="none"/>
                <w:vertAlign w:val="baseline"/>
              </w:rPr>
              <w:t>大气吸收引起的衰减，</w:t>
            </w:r>
            <w:r>
              <w:rPr>
                <w:rFonts w:ascii="Times New Roman" w:hAnsi="Times New Roman" w:eastAsia="Times New Roman"/>
                <w:color w:val="auto"/>
                <w:position w:val="1"/>
                <w:sz w:val="21"/>
                <w:szCs w:val="21"/>
                <w:highlight w:val="none"/>
                <w:vertAlign w:val="baseline"/>
              </w:rPr>
              <w:t>dB</w:t>
            </w:r>
            <w:r>
              <w:rPr>
                <w:color w:val="auto"/>
                <w:sz w:val="21"/>
                <w:szCs w:val="21"/>
                <w:highlight w:val="none"/>
                <w:vertAlign w:val="baseline"/>
              </w:rPr>
              <w:t>；</w:t>
            </w:r>
          </w:p>
          <w:p w14:paraId="4FD4F914">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1050" w:firstLineChars="500"/>
              <w:textAlignment w:val="auto"/>
              <w:rPr>
                <w:color w:val="auto"/>
                <w:sz w:val="21"/>
                <w:szCs w:val="21"/>
                <w:highlight w:val="none"/>
                <w:vertAlign w:val="baseline"/>
              </w:rPr>
            </w:pPr>
            <w:r>
              <w:rPr>
                <w:rFonts w:ascii="Times New Roman" w:hAnsi="Times New Roman" w:eastAsia="Times New Roman"/>
                <w:i/>
                <w:color w:val="auto"/>
                <w:position w:val="1"/>
                <w:sz w:val="21"/>
                <w:szCs w:val="21"/>
                <w:highlight w:val="none"/>
                <w:vertAlign w:val="baseline"/>
              </w:rPr>
              <w:t>A</w:t>
            </w:r>
            <w:r>
              <w:rPr>
                <w:rFonts w:ascii="Times New Roman" w:hAnsi="Times New Roman" w:eastAsia="Times New Roman"/>
                <w:color w:val="auto"/>
                <w:position w:val="1"/>
                <w:sz w:val="21"/>
                <w:szCs w:val="21"/>
                <w:highlight w:val="none"/>
                <w:vertAlign w:val="subscript"/>
              </w:rPr>
              <w:t>gr</w:t>
            </w:r>
            <w:r>
              <w:rPr>
                <w:rFonts w:ascii="Times New Roman" w:hAnsi="Times New Roman" w:eastAsia="Times New Roman"/>
                <w:color w:val="auto"/>
                <w:position w:val="1"/>
                <w:sz w:val="21"/>
                <w:szCs w:val="21"/>
                <w:highlight w:val="none"/>
                <w:vertAlign w:val="baseline"/>
              </w:rPr>
              <w:t xml:space="preserve"> ——</w:t>
            </w:r>
            <w:r>
              <w:rPr>
                <w:color w:val="auto"/>
                <w:sz w:val="21"/>
                <w:szCs w:val="21"/>
                <w:highlight w:val="none"/>
                <w:vertAlign w:val="baseline"/>
              </w:rPr>
              <w:t>地面效应引起的衰减，</w:t>
            </w:r>
            <w:r>
              <w:rPr>
                <w:rFonts w:ascii="Times New Roman" w:hAnsi="Times New Roman" w:eastAsia="Times New Roman"/>
                <w:color w:val="auto"/>
                <w:position w:val="1"/>
                <w:sz w:val="21"/>
                <w:szCs w:val="21"/>
                <w:highlight w:val="none"/>
                <w:vertAlign w:val="baseline"/>
              </w:rPr>
              <w:t>dB</w:t>
            </w:r>
            <w:r>
              <w:rPr>
                <w:color w:val="auto"/>
                <w:sz w:val="21"/>
                <w:szCs w:val="21"/>
                <w:highlight w:val="none"/>
                <w:vertAlign w:val="baseline"/>
              </w:rPr>
              <w:t xml:space="preserve">； </w:t>
            </w:r>
          </w:p>
          <w:p w14:paraId="192B2F53">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1050" w:firstLineChars="500"/>
              <w:textAlignment w:val="auto"/>
              <w:rPr>
                <w:color w:val="auto"/>
                <w:sz w:val="21"/>
                <w:szCs w:val="21"/>
                <w:highlight w:val="none"/>
              </w:rPr>
            </w:pPr>
            <w:r>
              <w:rPr>
                <w:rFonts w:ascii="Times New Roman" w:hAnsi="Times New Roman" w:eastAsia="Times New Roman"/>
                <w:i/>
                <w:color w:val="auto"/>
                <w:position w:val="1"/>
                <w:sz w:val="21"/>
                <w:szCs w:val="21"/>
                <w:highlight w:val="none"/>
                <w:vertAlign w:val="baseline"/>
              </w:rPr>
              <w:t>A</w:t>
            </w:r>
            <w:r>
              <w:rPr>
                <w:rFonts w:ascii="Times New Roman" w:hAnsi="Times New Roman" w:eastAsia="Times New Roman"/>
                <w:color w:val="auto"/>
                <w:position w:val="1"/>
                <w:sz w:val="21"/>
                <w:szCs w:val="21"/>
                <w:highlight w:val="none"/>
                <w:vertAlign w:val="subscript"/>
              </w:rPr>
              <w:t>bar</w:t>
            </w:r>
            <w:r>
              <w:rPr>
                <w:rFonts w:ascii="Times New Roman" w:hAnsi="Times New Roman" w:eastAsia="Times New Roman"/>
                <w:color w:val="auto"/>
                <w:spacing w:val="-3"/>
                <w:position w:val="1"/>
                <w:sz w:val="21"/>
                <w:szCs w:val="21"/>
                <w:highlight w:val="none"/>
                <w:vertAlign w:val="baseline"/>
              </w:rPr>
              <w:t xml:space="preserve"> ——</w:t>
            </w:r>
            <w:r>
              <w:rPr>
                <w:color w:val="auto"/>
                <w:sz w:val="21"/>
                <w:szCs w:val="21"/>
                <w:highlight w:val="none"/>
                <w:vertAlign w:val="baseline"/>
              </w:rPr>
              <w:t>障碍物屏蔽引起的衰减，</w:t>
            </w:r>
            <w:r>
              <w:rPr>
                <w:rFonts w:ascii="Times New Roman" w:hAnsi="Times New Roman" w:eastAsia="Times New Roman"/>
                <w:color w:val="auto"/>
                <w:position w:val="1"/>
                <w:sz w:val="21"/>
                <w:szCs w:val="21"/>
                <w:highlight w:val="none"/>
                <w:vertAlign w:val="baseline"/>
              </w:rPr>
              <w:t>dB</w:t>
            </w:r>
            <w:r>
              <w:rPr>
                <w:color w:val="auto"/>
                <w:sz w:val="21"/>
                <w:szCs w:val="21"/>
                <w:highlight w:val="none"/>
                <w:vertAlign w:val="baseline"/>
              </w:rPr>
              <w:t>；</w:t>
            </w:r>
          </w:p>
          <w:p w14:paraId="56D170BA">
            <w:pPr>
              <w:keepNext w:val="0"/>
              <w:keepLines w:val="0"/>
              <w:pageBreakBefore w:val="0"/>
              <w:widowControl w:val="0"/>
              <w:kinsoku/>
              <w:wordWrap/>
              <w:overflowPunct/>
              <w:topLinePunct w:val="0"/>
              <w:autoSpaceDE/>
              <w:autoSpaceDN/>
              <w:bidi w:val="0"/>
              <w:adjustRightInd/>
              <w:snapToGrid/>
              <w:spacing w:line="360" w:lineRule="auto"/>
              <w:ind w:right="0" w:firstLine="824" w:firstLineChars="400"/>
              <w:textAlignment w:val="auto"/>
              <w:rPr>
                <w:color w:val="auto"/>
                <w:spacing w:val="0"/>
                <w:position w:val="0"/>
                <w:sz w:val="21"/>
                <w:szCs w:val="21"/>
                <w:highlight w:val="none"/>
                <w:vertAlign w:val="baseline"/>
              </w:rPr>
            </w:pPr>
            <w:r>
              <w:rPr>
                <w:rFonts w:ascii="Times New Roman" w:hAnsi="Times New Roman" w:eastAsia="Times New Roman"/>
                <w:i/>
                <w:color w:val="auto"/>
                <w:spacing w:val="-2"/>
                <w:position w:val="1"/>
                <w:sz w:val="21"/>
                <w:szCs w:val="21"/>
                <w:highlight w:val="none"/>
              </w:rPr>
              <w:t>A</w:t>
            </w:r>
            <w:r>
              <w:rPr>
                <w:rFonts w:ascii="Times New Roman" w:hAnsi="Times New Roman" w:eastAsia="Times New Roman"/>
                <w:color w:val="auto"/>
                <w:spacing w:val="-2"/>
                <w:position w:val="1"/>
                <w:sz w:val="21"/>
                <w:szCs w:val="21"/>
                <w:highlight w:val="none"/>
                <w:vertAlign w:val="subscript"/>
              </w:rPr>
              <w:t>misc</w:t>
            </w:r>
            <w:r>
              <w:rPr>
                <w:rFonts w:ascii="Times New Roman" w:hAnsi="Times New Roman" w:eastAsia="Times New Roman"/>
                <w:color w:val="auto"/>
                <w:spacing w:val="9"/>
                <w:position w:val="1"/>
                <w:sz w:val="21"/>
                <w:szCs w:val="21"/>
                <w:highlight w:val="none"/>
                <w:vertAlign w:val="baseline"/>
              </w:rPr>
              <w:t xml:space="preserve"> ——</w:t>
            </w:r>
            <w:r>
              <w:rPr>
                <w:color w:val="auto"/>
                <w:spacing w:val="-2"/>
                <w:sz w:val="21"/>
                <w:szCs w:val="21"/>
                <w:highlight w:val="none"/>
                <w:vertAlign w:val="baseline"/>
              </w:rPr>
              <w:t>其他多方面效应引起的衰减，</w:t>
            </w:r>
            <w:r>
              <w:rPr>
                <w:rFonts w:ascii="Times New Roman" w:hAnsi="Times New Roman" w:eastAsia="Times New Roman"/>
                <w:color w:val="auto"/>
                <w:spacing w:val="-2"/>
                <w:position w:val="1"/>
                <w:sz w:val="21"/>
                <w:szCs w:val="21"/>
                <w:highlight w:val="none"/>
                <w:vertAlign w:val="baseline"/>
              </w:rPr>
              <w:t>dB</w:t>
            </w:r>
            <w:r>
              <w:rPr>
                <w:color w:val="auto"/>
                <w:spacing w:val="-10"/>
                <w:sz w:val="21"/>
                <w:szCs w:val="21"/>
                <w:highlight w:val="none"/>
                <w:vertAlign w:val="baseline"/>
              </w:rPr>
              <w:t>。</w:t>
            </w:r>
          </w:p>
          <w:p w14:paraId="6EF19790">
            <w:pPr>
              <w:pStyle w:val="22"/>
              <w:keepNext w:val="0"/>
              <w:keepLines w:val="0"/>
              <w:pageBreakBefore w:val="0"/>
              <w:widowControl w:val="0"/>
              <w:kinsoku/>
              <w:wordWrap/>
              <w:overflowPunct/>
              <w:topLinePunct w:val="0"/>
              <w:autoSpaceDE/>
              <w:autoSpaceDN/>
              <w:bidi w:val="0"/>
              <w:adjustRightInd/>
              <w:snapToGrid/>
              <w:spacing w:after="0" w:line="360" w:lineRule="auto"/>
              <w:ind w:firstLine="408" w:firstLineChars="200"/>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spacing w:val="-3"/>
                <w:sz w:val="21"/>
                <w:szCs w:val="21"/>
                <w:highlight w:val="none"/>
                <w:lang w:val="en-US" w:eastAsia="zh-CN"/>
              </w:rPr>
              <w:fldChar w:fldCharType="begin"/>
            </w:r>
            <w:r>
              <w:rPr>
                <w:rFonts w:hint="eastAsia" w:ascii="Times New Roman" w:hAnsi="Times New Roman" w:cs="Times New Roman"/>
                <w:color w:val="auto"/>
                <w:spacing w:val="-3"/>
                <w:sz w:val="21"/>
                <w:szCs w:val="21"/>
                <w:highlight w:val="none"/>
                <w:lang w:val="en-US" w:eastAsia="zh-CN"/>
              </w:rPr>
              <w:instrText xml:space="preserve"> = 3 \* GB3 \* MERGEFORMAT </w:instrText>
            </w:r>
            <w:r>
              <w:rPr>
                <w:rFonts w:hint="eastAsia" w:ascii="Times New Roman" w:hAnsi="Times New Roman" w:cs="Times New Roman"/>
                <w:color w:val="auto"/>
                <w:spacing w:val="-3"/>
                <w:sz w:val="21"/>
                <w:szCs w:val="21"/>
                <w:highlight w:val="none"/>
                <w:lang w:val="en-US" w:eastAsia="zh-CN"/>
              </w:rPr>
              <w:fldChar w:fldCharType="separate"/>
            </w:r>
            <w:r>
              <w:rPr>
                <w:color w:val="auto"/>
                <w:highlight w:val="none"/>
              </w:rPr>
              <w:t>③</w:t>
            </w:r>
            <w:r>
              <w:rPr>
                <w:rFonts w:hint="eastAsia" w:ascii="Times New Roman" w:hAnsi="Times New Roman" w:cs="Times New Roman"/>
                <w:color w:val="auto"/>
                <w:spacing w:val="-3"/>
                <w:sz w:val="21"/>
                <w:szCs w:val="21"/>
                <w:highlight w:val="none"/>
                <w:lang w:val="en-US" w:eastAsia="zh-CN"/>
              </w:rPr>
              <w:fldChar w:fldCharType="end"/>
            </w:r>
            <w:r>
              <w:rPr>
                <w:rFonts w:hint="default" w:ascii="Times New Roman" w:hAnsi="Times New Roman" w:cs="Times New Roman"/>
                <w:color w:val="auto"/>
                <w:spacing w:val="-3"/>
                <w:sz w:val="21"/>
                <w:szCs w:val="21"/>
                <w:highlight w:val="none"/>
              </w:rPr>
              <w:t>室</w:t>
            </w:r>
            <w:r>
              <w:rPr>
                <w:rFonts w:hint="eastAsia" w:ascii="Times New Roman" w:hAnsi="Times New Roman" w:cs="Times New Roman"/>
                <w:color w:val="auto"/>
                <w:spacing w:val="-3"/>
                <w:sz w:val="21"/>
                <w:szCs w:val="21"/>
                <w:highlight w:val="none"/>
                <w:lang w:val="en-US" w:eastAsia="zh-CN"/>
              </w:rPr>
              <w:t>外</w:t>
            </w:r>
            <w:r>
              <w:rPr>
                <w:rFonts w:hint="default" w:ascii="Times New Roman" w:hAnsi="Times New Roman" w:cs="Times New Roman"/>
                <w:color w:val="auto"/>
                <w:spacing w:val="-3"/>
                <w:sz w:val="21"/>
                <w:szCs w:val="21"/>
                <w:highlight w:val="none"/>
              </w:rPr>
              <w:t>声源</w:t>
            </w:r>
            <w:r>
              <w:rPr>
                <w:rFonts w:hint="eastAsia" w:ascii="Times New Roman" w:hAnsi="Times New Roman" w:cs="Times New Roman"/>
                <w:color w:val="auto"/>
                <w:spacing w:val="-3"/>
                <w:sz w:val="21"/>
                <w:szCs w:val="21"/>
                <w:highlight w:val="none"/>
                <w:lang w:val="en-US" w:eastAsia="zh-CN"/>
              </w:rPr>
              <w:t>厂界贡献值核算</w:t>
            </w:r>
          </w:p>
          <w:p w14:paraId="319DB4C9">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12" w:firstLineChars="200"/>
              <w:textAlignment w:val="auto"/>
              <w:rPr>
                <w:color w:val="auto"/>
                <w:position w:val="1"/>
                <w:sz w:val="21"/>
                <w:szCs w:val="21"/>
                <w:highlight w:val="none"/>
              </w:rPr>
            </w:pPr>
            <w:r>
              <w:rPr>
                <w:color w:val="auto"/>
                <w:spacing w:val="-2"/>
                <w:sz w:val="21"/>
                <w:szCs w:val="21"/>
                <w:highlight w:val="none"/>
              </w:rPr>
              <w:t>预测点的贡献值和背景值按能量叠加方法计算得到的声级。</w:t>
            </w:r>
            <w:r>
              <w:rPr>
                <w:color w:val="auto"/>
                <w:position w:val="1"/>
                <w:sz w:val="21"/>
                <w:szCs w:val="21"/>
                <w:highlight w:val="none"/>
              </w:rPr>
              <w:t>噪声预测值（</w:t>
            </w:r>
            <w:r>
              <w:rPr>
                <w:color w:val="auto"/>
                <w:spacing w:val="-47"/>
                <w:position w:val="1"/>
                <w:sz w:val="21"/>
                <w:szCs w:val="21"/>
                <w:highlight w:val="none"/>
              </w:rPr>
              <w:t xml:space="preserve"> </w:t>
            </w:r>
            <w:r>
              <w:rPr>
                <w:rFonts w:ascii="Times New Roman" w:eastAsia="Times New Roman"/>
                <w:i/>
                <w:color w:val="auto"/>
                <w:sz w:val="21"/>
                <w:szCs w:val="21"/>
                <w:highlight w:val="none"/>
              </w:rPr>
              <w:t>L</w:t>
            </w:r>
            <w:r>
              <w:rPr>
                <w:rFonts w:ascii="Times New Roman" w:eastAsia="Times New Roman"/>
                <w:color w:val="auto"/>
                <w:position w:val="-4"/>
                <w:sz w:val="21"/>
                <w:szCs w:val="21"/>
                <w:highlight w:val="none"/>
              </w:rPr>
              <w:t>eq</w:t>
            </w:r>
            <w:r>
              <w:rPr>
                <w:rFonts w:ascii="Times New Roman" w:eastAsia="Times New Roman"/>
                <w:color w:val="auto"/>
                <w:spacing w:val="40"/>
                <w:position w:val="-4"/>
                <w:sz w:val="21"/>
                <w:szCs w:val="21"/>
                <w:highlight w:val="none"/>
              </w:rPr>
              <w:t xml:space="preserve"> </w:t>
            </w:r>
            <w:r>
              <w:rPr>
                <w:color w:val="auto"/>
                <w:position w:val="1"/>
                <w:sz w:val="21"/>
                <w:szCs w:val="21"/>
                <w:highlight w:val="none"/>
              </w:rPr>
              <w:t>）计算公式为：</w:t>
            </w:r>
          </w:p>
          <w:p w14:paraId="2891482B">
            <w:pPr>
              <w:keepNext w:val="0"/>
              <w:keepLines w:val="0"/>
              <w:pageBreakBefore w:val="0"/>
              <w:widowControl w:val="0"/>
              <w:kinsoku/>
              <w:wordWrap/>
              <w:overflowPunct/>
              <w:topLinePunct w:val="0"/>
              <w:autoSpaceDE/>
              <w:autoSpaceDN/>
              <w:bidi w:val="0"/>
              <w:adjustRightInd/>
              <w:snapToGrid/>
              <w:spacing w:before="0" w:line="360" w:lineRule="auto"/>
              <w:ind w:left="0" w:right="0" w:firstLine="0"/>
              <w:jc w:val="center"/>
              <w:textAlignment w:val="auto"/>
              <w:rPr>
                <w:rFonts w:ascii="Times New Roman" w:hAnsi="Times New Roman"/>
                <w:i/>
                <w:color w:val="auto"/>
                <w:spacing w:val="0"/>
                <w:position w:val="0"/>
                <w:sz w:val="21"/>
                <w:szCs w:val="21"/>
                <w:highlight w:val="none"/>
              </w:rPr>
            </w:pPr>
            <w:r>
              <w:rPr>
                <w:rFonts w:ascii="Times New Roman" w:hAnsi="Times New Roman"/>
                <w:i/>
                <w:color w:val="auto"/>
                <w:spacing w:val="0"/>
                <w:position w:val="0"/>
                <w:sz w:val="21"/>
                <w:szCs w:val="21"/>
                <w:highlight w:val="none"/>
              </w:rPr>
              <w:t>L</w:t>
            </w:r>
            <w:r>
              <w:rPr>
                <w:rFonts w:hint="eastAsia" w:ascii="Times New Roman" w:hAnsi="Times New Roman"/>
                <w:i/>
                <w:color w:val="auto"/>
                <w:spacing w:val="0"/>
                <w:position w:val="0"/>
                <w:sz w:val="21"/>
                <w:szCs w:val="21"/>
                <w:highlight w:val="none"/>
                <w:vertAlign w:val="subscript"/>
                <w:lang w:val="en-US" w:eastAsia="zh-CN"/>
              </w:rPr>
              <w:t>eq</w:t>
            </w:r>
            <w:r>
              <w:rPr>
                <w:rFonts w:ascii="Symbol" w:hAnsi="Symbol"/>
                <w:color w:val="auto"/>
                <w:spacing w:val="0"/>
                <w:position w:val="0"/>
                <w:sz w:val="21"/>
                <w:szCs w:val="21"/>
                <w:highlight w:val="none"/>
              </w:rPr>
              <w:t></w:t>
            </w:r>
            <w:r>
              <w:rPr>
                <w:rFonts w:ascii="Times New Roman" w:hAnsi="Times New Roman"/>
                <w:color w:val="auto"/>
                <w:spacing w:val="0"/>
                <w:position w:val="0"/>
                <w:sz w:val="21"/>
                <w:szCs w:val="21"/>
                <w:highlight w:val="none"/>
              </w:rPr>
              <w:t xml:space="preserve"> 10lg</w:t>
            </w:r>
            <w:r>
              <w:rPr>
                <w:rFonts w:ascii="Symbol" w:hAnsi="Symbol"/>
                <w:color w:val="auto"/>
                <w:spacing w:val="0"/>
                <w:position w:val="0"/>
                <w:sz w:val="21"/>
                <w:szCs w:val="21"/>
                <w:highlight w:val="none"/>
              </w:rPr>
              <w:t></w:t>
            </w:r>
            <w:r>
              <w:rPr>
                <w:rFonts w:ascii="Times New Roman" w:hAnsi="Times New Roman"/>
                <w:color w:val="auto"/>
                <w:spacing w:val="0"/>
                <w:position w:val="0"/>
                <w:sz w:val="21"/>
                <w:szCs w:val="21"/>
                <w:highlight w:val="none"/>
              </w:rPr>
              <w:t>10</w:t>
            </w:r>
            <w:r>
              <w:rPr>
                <w:rFonts w:ascii="Times New Roman" w:hAnsi="Times New Roman"/>
                <w:color w:val="auto"/>
                <w:spacing w:val="0"/>
                <w:position w:val="0"/>
                <w:sz w:val="21"/>
                <w:szCs w:val="21"/>
                <w:highlight w:val="none"/>
                <w:vertAlign w:val="superscript"/>
              </w:rPr>
              <w:t>0.1</w:t>
            </w:r>
            <w:r>
              <w:rPr>
                <w:rFonts w:ascii="Times New Roman" w:hAnsi="Times New Roman"/>
                <w:i/>
                <w:color w:val="auto"/>
                <w:spacing w:val="0"/>
                <w:position w:val="0"/>
                <w:sz w:val="21"/>
                <w:szCs w:val="21"/>
                <w:highlight w:val="none"/>
                <w:vertAlign w:val="superscript"/>
              </w:rPr>
              <w:t>L</w:t>
            </w:r>
            <w:r>
              <w:rPr>
                <w:rFonts w:ascii="Times New Roman" w:hAnsi="Times New Roman"/>
                <w:color w:val="auto"/>
                <w:spacing w:val="0"/>
                <w:position w:val="0"/>
                <w:sz w:val="21"/>
                <w:szCs w:val="21"/>
                <w:highlight w:val="none"/>
                <w:vertAlign w:val="subscript"/>
              </w:rPr>
              <w:t>eqg</w:t>
            </w:r>
            <w:r>
              <w:rPr>
                <w:rFonts w:ascii="Times New Roman" w:hAnsi="Times New Roman"/>
                <w:color w:val="auto"/>
                <w:spacing w:val="0"/>
                <w:position w:val="0"/>
                <w:sz w:val="21"/>
                <w:szCs w:val="21"/>
                <w:highlight w:val="none"/>
                <w:vertAlign w:val="baseline"/>
              </w:rPr>
              <w:t xml:space="preserve"> </w:t>
            </w:r>
            <w:r>
              <w:rPr>
                <w:rFonts w:ascii="Symbol" w:hAnsi="Symbol"/>
                <w:color w:val="auto"/>
                <w:spacing w:val="0"/>
                <w:position w:val="0"/>
                <w:sz w:val="21"/>
                <w:szCs w:val="21"/>
                <w:highlight w:val="none"/>
                <w:vertAlign w:val="baseline"/>
              </w:rPr>
              <w:t></w:t>
            </w:r>
            <w:r>
              <w:rPr>
                <w:rFonts w:ascii="Times New Roman" w:hAnsi="Times New Roman"/>
                <w:color w:val="auto"/>
                <w:spacing w:val="0"/>
                <w:position w:val="0"/>
                <w:sz w:val="21"/>
                <w:szCs w:val="21"/>
                <w:highlight w:val="none"/>
                <w:vertAlign w:val="baseline"/>
              </w:rPr>
              <w:t>10</w:t>
            </w:r>
            <w:r>
              <w:rPr>
                <w:rFonts w:ascii="Times New Roman" w:hAnsi="Times New Roman"/>
                <w:color w:val="auto"/>
                <w:spacing w:val="0"/>
                <w:position w:val="0"/>
                <w:sz w:val="21"/>
                <w:szCs w:val="21"/>
                <w:highlight w:val="none"/>
                <w:vertAlign w:val="superscript"/>
              </w:rPr>
              <w:t>0.1</w:t>
            </w:r>
            <w:r>
              <w:rPr>
                <w:rFonts w:ascii="Times New Roman" w:hAnsi="Times New Roman"/>
                <w:i/>
                <w:color w:val="auto"/>
                <w:spacing w:val="0"/>
                <w:position w:val="0"/>
                <w:sz w:val="21"/>
                <w:szCs w:val="21"/>
                <w:highlight w:val="none"/>
                <w:vertAlign w:val="baseline"/>
              </w:rPr>
              <w:t>L</w:t>
            </w:r>
            <w:r>
              <w:rPr>
                <w:rFonts w:ascii="Times New Roman" w:hAnsi="Times New Roman"/>
                <w:color w:val="auto"/>
                <w:spacing w:val="0"/>
                <w:position w:val="0"/>
                <w:sz w:val="21"/>
                <w:szCs w:val="21"/>
                <w:highlight w:val="none"/>
                <w:vertAlign w:val="subscript"/>
              </w:rPr>
              <w:t>eqb</w:t>
            </w:r>
            <w:r>
              <w:rPr>
                <w:rFonts w:ascii="Times New Roman" w:hAnsi="Times New Roman"/>
                <w:color w:val="auto"/>
                <w:spacing w:val="0"/>
                <w:position w:val="0"/>
                <w:sz w:val="21"/>
                <w:szCs w:val="21"/>
                <w:highlight w:val="none"/>
                <w:vertAlign w:val="baseline"/>
              </w:rPr>
              <w:t xml:space="preserve"> </w:t>
            </w:r>
            <w:r>
              <w:rPr>
                <w:rFonts w:ascii="Symbol" w:hAnsi="Symbol"/>
                <w:color w:val="auto"/>
                <w:spacing w:val="0"/>
                <w:position w:val="0"/>
                <w:sz w:val="21"/>
                <w:szCs w:val="21"/>
                <w:highlight w:val="none"/>
                <w:vertAlign w:val="baseline"/>
              </w:rPr>
              <w:t></w:t>
            </w:r>
          </w:p>
          <w:p w14:paraId="59AE8494">
            <w:pPr>
              <w:pStyle w:val="7"/>
              <w:spacing w:before="55"/>
              <w:ind w:left="285"/>
              <w:rPr>
                <w:color w:val="auto"/>
                <w:spacing w:val="0"/>
                <w:position w:val="0"/>
                <w:sz w:val="21"/>
                <w:szCs w:val="21"/>
                <w:highlight w:val="none"/>
              </w:rPr>
            </w:pPr>
            <w:r>
              <w:rPr>
                <w:color w:val="auto"/>
                <w:spacing w:val="0"/>
                <w:position w:val="0"/>
                <w:sz w:val="21"/>
                <w:szCs w:val="21"/>
                <w:highlight w:val="none"/>
              </w:rPr>
              <w:t>式中：</w:t>
            </w:r>
            <w:r>
              <w:rPr>
                <w:rFonts w:ascii="Times New Roman" w:hAnsi="Times New Roman" w:eastAsia="Times New Roman"/>
                <w:i/>
                <w:color w:val="auto"/>
                <w:spacing w:val="0"/>
                <w:position w:val="0"/>
                <w:sz w:val="21"/>
                <w:szCs w:val="21"/>
                <w:highlight w:val="none"/>
              </w:rPr>
              <w:t>L</w:t>
            </w:r>
            <w:r>
              <w:rPr>
                <w:rFonts w:ascii="Times New Roman" w:hAnsi="Times New Roman" w:eastAsia="Times New Roman"/>
                <w:color w:val="auto"/>
                <w:spacing w:val="0"/>
                <w:position w:val="0"/>
                <w:sz w:val="21"/>
                <w:szCs w:val="21"/>
                <w:highlight w:val="none"/>
                <w:vertAlign w:val="subscript"/>
              </w:rPr>
              <w:t>eq</w:t>
            </w:r>
            <w:r>
              <w:rPr>
                <w:rFonts w:ascii="Times New Roman" w:hAnsi="Times New Roman" w:eastAsia="Times New Roman"/>
                <w:color w:val="auto"/>
                <w:spacing w:val="0"/>
                <w:position w:val="0"/>
                <w:sz w:val="21"/>
                <w:szCs w:val="21"/>
                <w:highlight w:val="none"/>
              </w:rPr>
              <w:t xml:space="preserve"> ——</w:t>
            </w:r>
            <w:r>
              <w:rPr>
                <w:color w:val="auto"/>
                <w:spacing w:val="0"/>
                <w:position w:val="0"/>
                <w:sz w:val="21"/>
                <w:szCs w:val="21"/>
                <w:highlight w:val="none"/>
              </w:rPr>
              <w:t>预测点的噪声预测值，</w:t>
            </w:r>
            <w:r>
              <w:rPr>
                <w:rFonts w:ascii="Times New Roman" w:hAnsi="Times New Roman" w:eastAsia="Times New Roman"/>
                <w:color w:val="auto"/>
                <w:spacing w:val="0"/>
                <w:position w:val="0"/>
                <w:sz w:val="21"/>
                <w:szCs w:val="21"/>
                <w:highlight w:val="none"/>
              </w:rPr>
              <w:t>dB</w:t>
            </w:r>
            <w:r>
              <w:rPr>
                <w:color w:val="auto"/>
                <w:spacing w:val="0"/>
                <w:position w:val="0"/>
                <w:sz w:val="21"/>
                <w:szCs w:val="21"/>
                <w:highlight w:val="none"/>
              </w:rPr>
              <w:t>；</w:t>
            </w:r>
          </w:p>
          <w:p w14:paraId="7EBAD2A5">
            <w:pPr>
              <w:pStyle w:val="7"/>
              <w:ind w:left="963"/>
              <w:rPr>
                <w:color w:val="auto"/>
                <w:spacing w:val="0"/>
                <w:position w:val="0"/>
                <w:sz w:val="21"/>
                <w:szCs w:val="21"/>
                <w:highlight w:val="none"/>
              </w:rPr>
            </w:pPr>
            <w:r>
              <w:rPr>
                <w:rFonts w:ascii="Times New Roman" w:hAnsi="Times New Roman" w:eastAsia="Times New Roman"/>
                <w:i/>
                <w:color w:val="auto"/>
                <w:spacing w:val="0"/>
                <w:position w:val="0"/>
                <w:sz w:val="21"/>
                <w:szCs w:val="21"/>
                <w:highlight w:val="none"/>
              </w:rPr>
              <w:t>L</w:t>
            </w:r>
            <w:r>
              <w:rPr>
                <w:rFonts w:ascii="Times New Roman" w:hAnsi="Times New Roman" w:eastAsia="Times New Roman"/>
                <w:color w:val="auto"/>
                <w:spacing w:val="0"/>
                <w:position w:val="0"/>
                <w:sz w:val="21"/>
                <w:szCs w:val="21"/>
                <w:highlight w:val="none"/>
                <w:vertAlign w:val="subscript"/>
              </w:rPr>
              <w:t>eqg</w:t>
            </w:r>
            <w:r>
              <w:rPr>
                <w:rFonts w:ascii="Times New Roman" w:hAnsi="Times New Roman" w:eastAsia="Times New Roman"/>
                <w:color w:val="auto"/>
                <w:spacing w:val="0"/>
                <w:position w:val="0"/>
                <w:sz w:val="21"/>
                <w:szCs w:val="21"/>
                <w:highlight w:val="none"/>
              </w:rPr>
              <w:t xml:space="preserve"> ——</w:t>
            </w:r>
            <w:r>
              <w:rPr>
                <w:color w:val="auto"/>
                <w:spacing w:val="0"/>
                <w:position w:val="0"/>
                <w:sz w:val="21"/>
                <w:szCs w:val="21"/>
                <w:highlight w:val="none"/>
              </w:rPr>
              <w:t>建设项目声源在预测点产生的噪声贡献值，</w:t>
            </w:r>
            <w:r>
              <w:rPr>
                <w:rFonts w:ascii="Times New Roman" w:hAnsi="Times New Roman" w:eastAsia="Times New Roman"/>
                <w:color w:val="auto"/>
                <w:spacing w:val="0"/>
                <w:position w:val="0"/>
                <w:sz w:val="21"/>
                <w:szCs w:val="21"/>
                <w:highlight w:val="none"/>
              </w:rPr>
              <w:t>dB</w:t>
            </w:r>
            <w:r>
              <w:rPr>
                <w:color w:val="auto"/>
                <w:spacing w:val="0"/>
                <w:position w:val="0"/>
                <w:sz w:val="21"/>
                <w:szCs w:val="21"/>
                <w:highlight w:val="none"/>
              </w:rPr>
              <w:t>；</w:t>
            </w:r>
          </w:p>
          <w:p w14:paraId="43AFF25A">
            <w:pPr>
              <w:keepNext w:val="0"/>
              <w:keepLines w:val="0"/>
              <w:pageBreakBefore w:val="0"/>
              <w:widowControl w:val="0"/>
              <w:kinsoku/>
              <w:wordWrap/>
              <w:overflowPunct/>
              <w:topLinePunct w:val="0"/>
              <w:autoSpaceDE/>
              <w:autoSpaceDN/>
              <w:bidi w:val="0"/>
              <w:adjustRightInd/>
              <w:snapToGrid/>
              <w:spacing w:before="37" w:line="360" w:lineRule="auto"/>
              <w:ind w:left="951" w:right="0" w:firstLine="0"/>
              <w:jc w:val="left"/>
              <w:textAlignment w:val="auto"/>
              <w:rPr>
                <w:color w:val="auto"/>
                <w:spacing w:val="0"/>
                <w:position w:val="0"/>
                <w:sz w:val="21"/>
                <w:szCs w:val="21"/>
                <w:highlight w:val="none"/>
              </w:rPr>
            </w:pPr>
            <w:r>
              <w:rPr>
                <w:rFonts w:ascii="Times New Roman" w:hAnsi="Times New Roman" w:eastAsia="Times New Roman"/>
                <w:i/>
                <w:color w:val="auto"/>
                <w:spacing w:val="0"/>
                <w:position w:val="0"/>
                <w:sz w:val="21"/>
                <w:szCs w:val="21"/>
                <w:highlight w:val="none"/>
              </w:rPr>
              <w:t>L</w:t>
            </w:r>
            <w:r>
              <w:rPr>
                <w:rFonts w:ascii="Times New Roman" w:hAnsi="Times New Roman" w:eastAsia="Times New Roman"/>
                <w:color w:val="auto"/>
                <w:spacing w:val="0"/>
                <w:position w:val="0"/>
                <w:sz w:val="21"/>
                <w:szCs w:val="21"/>
                <w:highlight w:val="none"/>
                <w:vertAlign w:val="subscript"/>
              </w:rPr>
              <w:t>eqb</w:t>
            </w:r>
            <w:r>
              <w:rPr>
                <w:rFonts w:ascii="Times New Roman" w:hAnsi="Times New Roman" w:eastAsia="Times New Roman"/>
                <w:color w:val="auto"/>
                <w:spacing w:val="0"/>
                <w:position w:val="0"/>
                <w:sz w:val="21"/>
                <w:szCs w:val="21"/>
                <w:highlight w:val="none"/>
              </w:rPr>
              <w:t xml:space="preserve"> ——</w:t>
            </w:r>
            <w:r>
              <w:rPr>
                <w:color w:val="auto"/>
                <w:spacing w:val="0"/>
                <w:position w:val="0"/>
                <w:sz w:val="21"/>
                <w:szCs w:val="21"/>
                <w:highlight w:val="none"/>
              </w:rPr>
              <w:t>预测点的背景噪声值，</w:t>
            </w:r>
            <w:r>
              <w:rPr>
                <w:rFonts w:ascii="Times New Roman" w:hAnsi="Times New Roman" w:eastAsia="Times New Roman"/>
                <w:color w:val="auto"/>
                <w:spacing w:val="0"/>
                <w:position w:val="0"/>
                <w:sz w:val="21"/>
                <w:szCs w:val="21"/>
                <w:highlight w:val="none"/>
              </w:rPr>
              <w:t>dB</w:t>
            </w:r>
            <w:r>
              <w:rPr>
                <w:color w:val="auto"/>
                <w:spacing w:val="0"/>
                <w:position w:val="0"/>
                <w:sz w:val="21"/>
                <w:szCs w:val="21"/>
                <w:highlight w:val="none"/>
              </w:rPr>
              <w:t>。</w:t>
            </w:r>
          </w:p>
          <w:p w14:paraId="172F4DD5">
            <w:pPr>
              <w:pStyle w:val="23"/>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color w:val="auto"/>
                <w:sz w:val="21"/>
                <w:szCs w:val="21"/>
                <w:highlight w:val="none"/>
              </w:rPr>
            </w:pPr>
            <w:r>
              <w:rPr>
                <w:rFonts w:hint="eastAsia"/>
                <w:color w:val="auto"/>
                <w:sz w:val="21"/>
                <w:szCs w:val="21"/>
                <w:highlight w:val="none"/>
                <w:lang w:val="en-US" w:eastAsia="zh-CN"/>
              </w:rPr>
              <w:t>综上，根据表4-1设备数量及单台设备噪声源强及分布情况，采用以上公式核算分析，本项目厂界噪声达标情况分析见下表</w:t>
            </w:r>
            <w:r>
              <w:rPr>
                <w:rFonts w:hint="eastAsia"/>
                <w:color w:val="auto"/>
                <w:sz w:val="21"/>
                <w:szCs w:val="21"/>
                <w:highlight w:val="none"/>
              </w:rPr>
              <w:t>。</w:t>
            </w:r>
          </w:p>
          <w:p w14:paraId="73E8BA09">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sz w:val="21"/>
                <w:szCs w:val="21"/>
                <w:highlight w:val="none"/>
              </w:rPr>
              <w:t>表4-</w:t>
            </w: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 xml:space="preserve">    本项目厂界噪声达标情况分析一览表</w:t>
            </w:r>
          </w:p>
          <w:tbl>
            <w:tblPr>
              <w:tblStyle w:val="24"/>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372"/>
              <w:gridCol w:w="757"/>
              <w:gridCol w:w="667"/>
              <w:gridCol w:w="1601"/>
              <w:gridCol w:w="2748"/>
            </w:tblGrid>
            <w:tr w14:paraId="4BC66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1456" w:type="pct"/>
                  <w:vMerge w:val="restart"/>
                  <w:tcBorders>
                    <w:tl2br w:val="nil"/>
                    <w:tr2bl w:val="nil"/>
                  </w:tcBorders>
                  <w:noWrap/>
                  <w:vAlign w:val="center"/>
                </w:tcPr>
                <w:p w14:paraId="751BD0E9">
                  <w:pPr>
                    <w:pStyle w:val="54"/>
                    <w:bidi w:val="0"/>
                    <w:jc w:val="center"/>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名称</w:t>
                  </w:r>
                </w:p>
              </w:tc>
              <w:tc>
                <w:tcPr>
                  <w:tcW w:w="874" w:type="pct"/>
                  <w:gridSpan w:val="2"/>
                  <w:tcBorders>
                    <w:tl2br w:val="nil"/>
                    <w:tr2bl w:val="nil"/>
                  </w:tcBorders>
                  <w:noWrap/>
                  <w:vAlign w:val="center"/>
                </w:tcPr>
                <w:p w14:paraId="15E8CD3B">
                  <w:pPr>
                    <w:pStyle w:val="54"/>
                    <w:bidi w:val="0"/>
                    <w:jc w:val="center"/>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噪声标准/dB(A)</w:t>
                  </w:r>
                </w:p>
              </w:tc>
              <w:tc>
                <w:tcPr>
                  <w:tcW w:w="982" w:type="pct"/>
                  <w:vMerge w:val="restart"/>
                  <w:tcBorders>
                    <w:tl2br w:val="nil"/>
                    <w:tr2bl w:val="nil"/>
                  </w:tcBorders>
                  <w:noWrap/>
                  <w:vAlign w:val="center"/>
                </w:tcPr>
                <w:p w14:paraId="3DAF79D9">
                  <w:pPr>
                    <w:pStyle w:val="54"/>
                    <w:bidi w:val="0"/>
                    <w:jc w:val="center"/>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lang w:val="en-US" w:eastAsia="zh-CN"/>
                    </w:rPr>
                    <w:t>贡献值</w:t>
                  </w:r>
                  <w:r>
                    <w:rPr>
                      <w:rFonts w:hint="default" w:ascii="Times New Roman" w:hAnsi="Times New Roman" w:cs="Times New Roman"/>
                      <w:b w:val="0"/>
                      <w:bCs w:val="0"/>
                      <w:color w:val="auto"/>
                      <w:sz w:val="18"/>
                      <w:szCs w:val="18"/>
                      <w:highlight w:val="none"/>
                    </w:rPr>
                    <w:t>/dB(A)</w:t>
                  </w:r>
                </w:p>
              </w:tc>
              <w:tc>
                <w:tcPr>
                  <w:tcW w:w="1686" w:type="pct"/>
                  <w:vMerge w:val="restart"/>
                  <w:tcBorders>
                    <w:tl2br w:val="nil"/>
                    <w:tr2bl w:val="nil"/>
                  </w:tcBorders>
                  <w:noWrap/>
                  <w:vAlign w:val="center"/>
                </w:tcPr>
                <w:p w14:paraId="6DB9B7F2">
                  <w:pPr>
                    <w:pStyle w:val="54"/>
                    <w:bidi w:val="0"/>
                    <w:jc w:val="center"/>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达标情况/dB(A)</w:t>
                  </w:r>
                </w:p>
              </w:tc>
            </w:tr>
            <w:tr w14:paraId="51A27C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56" w:type="pct"/>
                  <w:vMerge w:val="continue"/>
                  <w:tcBorders>
                    <w:tl2br w:val="nil"/>
                    <w:tr2bl w:val="nil"/>
                  </w:tcBorders>
                  <w:noWrap/>
                  <w:vAlign w:val="center"/>
                </w:tcPr>
                <w:p w14:paraId="0AB30990">
                  <w:pPr>
                    <w:pStyle w:val="54"/>
                    <w:bidi w:val="0"/>
                    <w:jc w:val="center"/>
                    <w:rPr>
                      <w:rFonts w:hint="default" w:ascii="Times New Roman" w:hAnsi="Times New Roman" w:cs="Times New Roman"/>
                      <w:b w:val="0"/>
                      <w:bCs w:val="0"/>
                      <w:color w:val="auto"/>
                      <w:sz w:val="18"/>
                      <w:szCs w:val="18"/>
                      <w:highlight w:val="none"/>
                    </w:rPr>
                  </w:pPr>
                </w:p>
              </w:tc>
              <w:tc>
                <w:tcPr>
                  <w:tcW w:w="465" w:type="pct"/>
                  <w:tcBorders>
                    <w:tl2br w:val="nil"/>
                    <w:tr2bl w:val="nil"/>
                  </w:tcBorders>
                  <w:noWrap/>
                  <w:vAlign w:val="center"/>
                </w:tcPr>
                <w:p w14:paraId="4B93FC09">
                  <w:pPr>
                    <w:pStyle w:val="54"/>
                    <w:bidi w:val="0"/>
                    <w:jc w:val="center"/>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昼间</w:t>
                  </w:r>
                </w:p>
              </w:tc>
              <w:tc>
                <w:tcPr>
                  <w:tcW w:w="408" w:type="pct"/>
                  <w:tcBorders>
                    <w:tl2br w:val="nil"/>
                    <w:tr2bl w:val="nil"/>
                  </w:tcBorders>
                  <w:noWrap/>
                  <w:vAlign w:val="center"/>
                </w:tcPr>
                <w:p w14:paraId="080262CF">
                  <w:pPr>
                    <w:pStyle w:val="54"/>
                    <w:bidi w:val="0"/>
                    <w:jc w:val="center"/>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夜间</w:t>
                  </w:r>
                </w:p>
              </w:tc>
              <w:tc>
                <w:tcPr>
                  <w:tcW w:w="982" w:type="pct"/>
                  <w:vMerge w:val="continue"/>
                  <w:tcBorders>
                    <w:tl2br w:val="nil"/>
                    <w:tr2bl w:val="nil"/>
                  </w:tcBorders>
                  <w:noWrap/>
                  <w:vAlign w:val="center"/>
                </w:tcPr>
                <w:p w14:paraId="5D77C01A">
                  <w:pPr>
                    <w:pStyle w:val="54"/>
                    <w:bidi w:val="0"/>
                    <w:jc w:val="center"/>
                    <w:rPr>
                      <w:rFonts w:hint="default" w:ascii="Times New Roman" w:hAnsi="Times New Roman" w:cs="Times New Roman"/>
                      <w:b w:val="0"/>
                      <w:bCs w:val="0"/>
                      <w:color w:val="auto"/>
                      <w:sz w:val="18"/>
                      <w:szCs w:val="18"/>
                      <w:highlight w:val="none"/>
                      <w:lang w:val="en-US" w:eastAsia="zh-CN"/>
                    </w:rPr>
                  </w:pPr>
                </w:p>
              </w:tc>
              <w:tc>
                <w:tcPr>
                  <w:tcW w:w="1686" w:type="pct"/>
                  <w:vMerge w:val="continue"/>
                  <w:tcBorders>
                    <w:tl2br w:val="nil"/>
                    <w:tr2bl w:val="nil"/>
                  </w:tcBorders>
                  <w:noWrap/>
                  <w:vAlign w:val="center"/>
                </w:tcPr>
                <w:p w14:paraId="533CEBB9">
                  <w:pPr>
                    <w:pStyle w:val="54"/>
                    <w:bidi w:val="0"/>
                    <w:jc w:val="center"/>
                    <w:rPr>
                      <w:rFonts w:hint="default" w:ascii="Times New Roman" w:hAnsi="Times New Roman" w:cs="Times New Roman"/>
                      <w:b w:val="0"/>
                      <w:bCs w:val="0"/>
                      <w:color w:val="auto"/>
                      <w:sz w:val="18"/>
                      <w:szCs w:val="18"/>
                      <w:highlight w:val="none"/>
                    </w:rPr>
                  </w:pPr>
                </w:p>
              </w:tc>
            </w:tr>
            <w:tr w14:paraId="4FFE78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56" w:type="pct"/>
                  <w:tcBorders>
                    <w:tl2br w:val="nil"/>
                    <w:tr2bl w:val="nil"/>
                  </w:tcBorders>
                  <w:noWrap/>
                  <w:vAlign w:val="center"/>
                </w:tcPr>
                <w:p w14:paraId="25A353AC">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东厂界</w:t>
                  </w:r>
                </w:p>
              </w:tc>
              <w:tc>
                <w:tcPr>
                  <w:tcW w:w="465" w:type="pct"/>
                  <w:tcBorders>
                    <w:tl2br w:val="nil"/>
                    <w:tr2bl w:val="nil"/>
                  </w:tcBorders>
                  <w:noWrap/>
                  <w:vAlign w:val="center"/>
                </w:tcPr>
                <w:p w14:paraId="32AFB1D1">
                  <w:pPr>
                    <w:pStyle w:val="54"/>
                    <w:bidi w:val="0"/>
                    <w:jc w:val="center"/>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65</w:t>
                  </w:r>
                </w:p>
              </w:tc>
              <w:tc>
                <w:tcPr>
                  <w:tcW w:w="408" w:type="pct"/>
                  <w:tcBorders>
                    <w:tl2br w:val="nil"/>
                    <w:tr2bl w:val="nil"/>
                  </w:tcBorders>
                  <w:noWrap/>
                  <w:vAlign w:val="center"/>
                </w:tcPr>
                <w:p w14:paraId="60D33E12">
                  <w:pPr>
                    <w:pStyle w:val="54"/>
                    <w:bidi w:val="0"/>
                    <w:jc w:val="center"/>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55</w:t>
                  </w:r>
                </w:p>
              </w:tc>
              <w:tc>
                <w:tcPr>
                  <w:tcW w:w="982" w:type="pct"/>
                  <w:tcBorders>
                    <w:tl2br w:val="nil"/>
                    <w:tr2bl w:val="nil"/>
                  </w:tcBorders>
                  <w:noWrap/>
                  <w:vAlign w:val="center"/>
                </w:tcPr>
                <w:p w14:paraId="54C1BEC6">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16.97</w:t>
                  </w:r>
                </w:p>
              </w:tc>
              <w:tc>
                <w:tcPr>
                  <w:tcW w:w="1686" w:type="pct"/>
                  <w:tcBorders>
                    <w:tl2br w:val="nil"/>
                    <w:tr2bl w:val="nil"/>
                  </w:tcBorders>
                  <w:noWrap/>
                  <w:vAlign w:val="center"/>
                </w:tcPr>
                <w:p w14:paraId="4795ABEE">
                  <w:pPr>
                    <w:pStyle w:val="54"/>
                    <w:bidi w:val="0"/>
                    <w:jc w:val="center"/>
                    <w:rPr>
                      <w:rFonts w:hint="default" w:ascii="Times New Roman" w:hAnsi="Times New Roman" w:cs="Times New Roman"/>
                      <w:b w:val="0"/>
                      <w:bCs w:val="0"/>
                      <w:color w:val="auto"/>
                      <w:sz w:val="18"/>
                      <w:szCs w:val="18"/>
                      <w:highlight w:val="none"/>
                    </w:rPr>
                  </w:pPr>
                  <w:r>
                    <w:rPr>
                      <w:rFonts w:hint="default" w:ascii="Times New Roman" w:hAnsi="Times New Roman" w:cs="Times New Roman"/>
                      <w:b w:val="0"/>
                      <w:bCs w:val="0"/>
                      <w:color w:val="auto"/>
                      <w:sz w:val="18"/>
                      <w:szCs w:val="18"/>
                      <w:highlight w:val="none"/>
                    </w:rPr>
                    <w:t>达标</w:t>
                  </w:r>
                </w:p>
              </w:tc>
            </w:tr>
            <w:tr w14:paraId="6F363A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56" w:type="pct"/>
                  <w:tcBorders>
                    <w:tl2br w:val="nil"/>
                    <w:tr2bl w:val="nil"/>
                  </w:tcBorders>
                  <w:noWrap/>
                  <w:vAlign w:val="center"/>
                </w:tcPr>
                <w:p w14:paraId="35EF57AF">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南厂界</w:t>
                  </w:r>
                </w:p>
              </w:tc>
              <w:tc>
                <w:tcPr>
                  <w:tcW w:w="710" w:type="dxa"/>
                  <w:tcBorders>
                    <w:tl2br w:val="nil"/>
                    <w:tr2bl w:val="nil"/>
                  </w:tcBorders>
                  <w:noWrap/>
                  <w:vAlign w:val="center"/>
                </w:tcPr>
                <w:p w14:paraId="14980883">
                  <w:pPr>
                    <w:pStyle w:val="54"/>
                    <w:bidi w:val="0"/>
                    <w:ind w:left="21" w:leftChars="10" w:right="21" w:rightChars="10" w:firstLine="0" w:firstLineChars="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65</w:t>
                  </w:r>
                </w:p>
              </w:tc>
              <w:tc>
                <w:tcPr>
                  <w:tcW w:w="625" w:type="dxa"/>
                  <w:tcBorders>
                    <w:tl2br w:val="nil"/>
                    <w:tr2bl w:val="nil"/>
                  </w:tcBorders>
                  <w:noWrap/>
                  <w:vAlign w:val="center"/>
                </w:tcPr>
                <w:p w14:paraId="4F1C5D13">
                  <w:pPr>
                    <w:pStyle w:val="54"/>
                    <w:bidi w:val="0"/>
                    <w:ind w:left="21" w:leftChars="10" w:right="21" w:rightChars="1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55</w:t>
                  </w:r>
                </w:p>
              </w:tc>
              <w:tc>
                <w:tcPr>
                  <w:tcW w:w="982" w:type="pct"/>
                  <w:tcBorders>
                    <w:tl2br w:val="nil"/>
                    <w:tr2bl w:val="nil"/>
                  </w:tcBorders>
                  <w:noWrap/>
                  <w:vAlign w:val="center"/>
                </w:tcPr>
                <w:p w14:paraId="4012DF64">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21.64</w:t>
                  </w:r>
                </w:p>
              </w:tc>
              <w:tc>
                <w:tcPr>
                  <w:tcW w:w="1686" w:type="pct"/>
                  <w:tcBorders>
                    <w:tl2br w:val="nil"/>
                    <w:tr2bl w:val="nil"/>
                  </w:tcBorders>
                  <w:noWrap/>
                  <w:vAlign w:val="center"/>
                </w:tcPr>
                <w:p w14:paraId="0D28ECB4">
                  <w:pPr>
                    <w:pStyle w:val="54"/>
                    <w:bidi w:val="0"/>
                    <w:jc w:val="center"/>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达标</w:t>
                  </w:r>
                </w:p>
              </w:tc>
            </w:tr>
            <w:tr w14:paraId="0F7D1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2" w:hRule="atLeast"/>
                <w:jc w:val="center"/>
              </w:trPr>
              <w:tc>
                <w:tcPr>
                  <w:tcW w:w="1456" w:type="pct"/>
                  <w:tcBorders>
                    <w:tl2br w:val="nil"/>
                    <w:tr2bl w:val="nil"/>
                  </w:tcBorders>
                  <w:noWrap/>
                  <w:vAlign w:val="center"/>
                </w:tcPr>
                <w:p w14:paraId="2AA255E1">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西厂界</w:t>
                  </w:r>
                </w:p>
              </w:tc>
              <w:tc>
                <w:tcPr>
                  <w:tcW w:w="710" w:type="dxa"/>
                  <w:tcBorders>
                    <w:tl2br w:val="nil"/>
                    <w:tr2bl w:val="nil"/>
                  </w:tcBorders>
                  <w:noWrap/>
                  <w:vAlign w:val="center"/>
                </w:tcPr>
                <w:p w14:paraId="6BC9DA1F">
                  <w:pPr>
                    <w:pStyle w:val="54"/>
                    <w:bidi w:val="0"/>
                    <w:ind w:left="21" w:leftChars="10" w:right="21" w:rightChars="10" w:firstLine="0" w:firstLineChars="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65</w:t>
                  </w:r>
                </w:p>
              </w:tc>
              <w:tc>
                <w:tcPr>
                  <w:tcW w:w="625" w:type="dxa"/>
                  <w:tcBorders>
                    <w:tl2br w:val="nil"/>
                    <w:tr2bl w:val="nil"/>
                  </w:tcBorders>
                  <w:noWrap/>
                  <w:vAlign w:val="center"/>
                </w:tcPr>
                <w:p w14:paraId="5237B583">
                  <w:pPr>
                    <w:pStyle w:val="54"/>
                    <w:bidi w:val="0"/>
                    <w:ind w:left="21" w:leftChars="10" w:right="21" w:rightChars="1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55</w:t>
                  </w:r>
                </w:p>
              </w:tc>
              <w:tc>
                <w:tcPr>
                  <w:tcW w:w="982" w:type="pct"/>
                  <w:tcBorders>
                    <w:tl2br w:val="nil"/>
                    <w:tr2bl w:val="nil"/>
                  </w:tcBorders>
                  <w:noWrap/>
                  <w:vAlign w:val="center"/>
                </w:tcPr>
                <w:p w14:paraId="47F77B32">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32.11</w:t>
                  </w:r>
                </w:p>
              </w:tc>
              <w:tc>
                <w:tcPr>
                  <w:tcW w:w="1686" w:type="pct"/>
                  <w:tcBorders>
                    <w:tl2br w:val="nil"/>
                    <w:tr2bl w:val="nil"/>
                  </w:tcBorders>
                  <w:noWrap/>
                  <w:vAlign w:val="center"/>
                </w:tcPr>
                <w:p w14:paraId="269E9768">
                  <w:pPr>
                    <w:pStyle w:val="54"/>
                    <w:bidi w:val="0"/>
                    <w:jc w:val="center"/>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达标</w:t>
                  </w:r>
                </w:p>
              </w:tc>
            </w:tr>
            <w:tr w14:paraId="7E6C34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1456" w:type="pct"/>
                  <w:tcBorders>
                    <w:tl2br w:val="nil"/>
                    <w:tr2bl w:val="nil"/>
                  </w:tcBorders>
                  <w:noWrap/>
                  <w:vAlign w:val="center"/>
                </w:tcPr>
                <w:p w14:paraId="57618FE1">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北厂界</w:t>
                  </w:r>
                </w:p>
              </w:tc>
              <w:tc>
                <w:tcPr>
                  <w:tcW w:w="710" w:type="dxa"/>
                  <w:tcBorders>
                    <w:tl2br w:val="nil"/>
                    <w:tr2bl w:val="nil"/>
                  </w:tcBorders>
                  <w:noWrap/>
                  <w:vAlign w:val="center"/>
                </w:tcPr>
                <w:p w14:paraId="1A01EBCA">
                  <w:pPr>
                    <w:pStyle w:val="54"/>
                    <w:bidi w:val="0"/>
                    <w:ind w:left="21" w:leftChars="10" w:right="21" w:rightChars="10" w:firstLine="0" w:firstLineChars="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65</w:t>
                  </w:r>
                </w:p>
              </w:tc>
              <w:tc>
                <w:tcPr>
                  <w:tcW w:w="625" w:type="dxa"/>
                  <w:tcBorders>
                    <w:tl2br w:val="nil"/>
                    <w:tr2bl w:val="nil"/>
                  </w:tcBorders>
                  <w:noWrap/>
                  <w:vAlign w:val="center"/>
                </w:tcPr>
                <w:p w14:paraId="019F3253">
                  <w:pPr>
                    <w:pStyle w:val="54"/>
                    <w:bidi w:val="0"/>
                    <w:ind w:left="21" w:leftChars="10" w:right="21" w:rightChars="10" w:firstLine="0" w:firstLineChars="0"/>
                    <w:jc w:val="center"/>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55</w:t>
                  </w:r>
                </w:p>
              </w:tc>
              <w:tc>
                <w:tcPr>
                  <w:tcW w:w="982" w:type="pct"/>
                  <w:tcBorders>
                    <w:tl2br w:val="nil"/>
                    <w:tr2bl w:val="nil"/>
                  </w:tcBorders>
                  <w:noWrap/>
                  <w:vAlign w:val="center"/>
                </w:tcPr>
                <w:p w14:paraId="0FFA3712">
                  <w:pPr>
                    <w:pStyle w:val="54"/>
                    <w:bidi w:val="0"/>
                    <w:jc w:val="center"/>
                    <w:rPr>
                      <w:rFonts w:hint="default" w:ascii="Times New Roman" w:hAnsi="Times New Roman"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27.44</w:t>
                  </w:r>
                </w:p>
              </w:tc>
              <w:tc>
                <w:tcPr>
                  <w:tcW w:w="1686" w:type="pct"/>
                  <w:tcBorders>
                    <w:tl2br w:val="nil"/>
                    <w:tr2bl w:val="nil"/>
                  </w:tcBorders>
                  <w:noWrap/>
                  <w:vAlign w:val="center"/>
                </w:tcPr>
                <w:p w14:paraId="62AA7BA7">
                  <w:pPr>
                    <w:pStyle w:val="54"/>
                    <w:bidi w:val="0"/>
                    <w:jc w:val="center"/>
                    <w:rPr>
                      <w:rFonts w:hint="default" w:ascii="Times New Roman" w:hAnsi="Times New Roman" w:cs="Times New Roman"/>
                      <w:b w:val="0"/>
                      <w:bCs w:val="0"/>
                      <w:color w:val="auto"/>
                      <w:sz w:val="18"/>
                      <w:szCs w:val="18"/>
                      <w:highlight w:val="none"/>
                      <w:lang w:val="en-US" w:eastAsia="zh-CN"/>
                    </w:rPr>
                  </w:pPr>
                  <w:r>
                    <w:rPr>
                      <w:rFonts w:hint="default" w:ascii="Times New Roman" w:hAnsi="Times New Roman" w:cs="Times New Roman"/>
                      <w:b w:val="0"/>
                      <w:bCs w:val="0"/>
                      <w:color w:val="auto"/>
                      <w:sz w:val="18"/>
                      <w:szCs w:val="18"/>
                      <w:highlight w:val="none"/>
                    </w:rPr>
                    <w:t>达标</w:t>
                  </w:r>
                </w:p>
              </w:tc>
            </w:tr>
          </w:tbl>
          <w:p w14:paraId="1B76A62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color w:val="auto"/>
                <w:highlight w:val="none"/>
                <w:lang w:val="en-US" w:eastAsia="zh-CN"/>
              </w:rPr>
            </w:pPr>
            <w:r>
              <w:rPr>
                <w:rFonts w:hint="eastAsia"/>
                <w:color w:val="auto"/>
                <w:sz w:val="21"/>
                <w:szCs w:val="21"/>
                <w:highlight w:val="none"/>
              </w:rPr>
              <w:t>由表4-</w:t>
            </w:r>
            <w:r>
              <w:rPr>
                <w:rFonts w:hint="eastAsia"/>
                <w:color w:val="auto"/>
                <w:sz w:val="21"/>
                <w:szCs w:val="21"/>
                <w:highlight w:val="none"/>
                <w:lang w:val="en-US" w:eastAsia="zh-CN"/>
              </w:rPr>
              <w:t>2</w:t>
            </w:r>
            <w:r>
              <w:rPr>
                <w:rFonts w:hint="eastAsia"/>
                <w:color w:val="auto"/>
                <w:sz w:val="21"/>
                <w:szCs w:val="21"/>
                <w:highlight w:val="none"/>
              </w:rPr>
              <w:t>知，本项目运营期，噪声源在各</w:t>
            </w:r>
            <w:r>
              <w:rPr>
                <w:color w:val="auto"/>
                <w:sz w:val="21"/>
                <w:szCs w:val="21"/>
                <w:highlight w:val="none"/>
              </w:rPr>
              <w:t>厂界昼间噪声贡献值在</w:t>
            </w:r>
            <w:r>
              <w:rPr>
                <w:rFonts w:hint="eastAsia"/>
                <w:color w:val="auto"/>
                <w:sz w:val="21"/>
                <w:szCs w:val="21"/>
                <w:highlight w:val="none"/>
                <w:lang w:val="en-US" w:eastAsia="zh-CN"/>
              </w:rPr>
              <w:t>16.97</w:t>
            </w:r>
            <w:r>
              <w:rPr>
                <w:color w:val="auto"/>
                <w:sz w:val="21"/>
                <w:szCs w:val="21"/>
                <w:highlight w:val="none"/>
              </w:rPr>
              <w:t>～</w:t>
            </w:r>
            <w:r>
              <w:rPr>
                <w:rFonts w:hint="eastAsia"/>
                <w:color w:val="auto"/>
                <w:sz w:val="21"/>
                <w:szCs w:val="21"/>
                <w:highlight w:val="none"/>
                <w:lang w:val="en-US" w:eastAsia="zh-CN"/>
              </w:rPr>
              <w:t>32.11</w:t>
            </w:r>
            <w:r>
              <w:rPr>
                <w:color w:val="auto"/>
                <w:sz w:val="21"/>
                <w:szCs w:val="21"/>
                <w:highlight w:val="none"/>
              </w:rPr>
              <w:t>dB(A)之间，满足《工业企业厂界环境噪声排放标准》（GB12348-2008）</w:t>
            </w:r>
            <w:r>
              <w:rPr>
                <w:rFonts w:hint="eastAsia"/>
                <w:color w:val="auto"/>
                <w:sz w:val="21"/>
                <w:szCs w:val="21"/>
                <w:highlight w:val="none"/>
                <w:lang w:val="en-US" w:eastAsia="zh-CN"/>
              </w:rPr>
              <w:t>3</w:t>
            </w:r>
            <w:r>
              <w:rPr>
                <w:color w:val="auto"/>
                <w:sz w:val="21"/>
                <w:szCs w:val="21"/>
                <w:highlight w:val="none"/>
              </w:rPr>
              <w:t>类标准限值要求，厂界噪声达标</w:t>
            </w:r>
            <w:r>
              <w:rPr>
                <w:rFonts w:hint="eastAsia"/>
                <w:color w:val="auto"/>
                <w:sz w:val="21"/>
                <w:szCs w:val="21"/>
                <w:highlight w:val="none"/>
              </w:rPr>
              <w:t>。厂界外50m范围内无声环境敏感目标，项目对声环境的影响可接受。</w:t>
            </w:r>
          </w:p>
          <w:p w14:paraId="2712450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default"/>
                <w:b/>
                <w:bCs/>
                <w:color w:val="auto"/>
                <w:highlight w:val="none"/>
                <w:lang w:val="en-US" w:eastAsia="zh-CN"/>
              </w:rPr>
            </w:pPr>
            <w:r>
              <w:rPr>
                <w:rFonts w:hint="eastAsia"/>
                <w:b/>
                <w:bCs/>
                <w:color w:val="auto"/>
                <w:highlight w:val="none"/>
                <w:lang w:val="en-US" w:eastAsia="zh-CN"/>
              </w:rPr>
              <w:t>4、固废</w:t>
            </w:r>
          </w:p>
          <w:p w14:paraId="4EC8F14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default"/>
                <w:color w:val="auto"/>
                <w:highlight w:val="none"/>
                <w:lang w:val="en-US" w:eastAsia="zh-CN"/>
              </w:rPr>
            </w:pPr>
            <w:r>
              <w:rPr>
                <w:rFonts w:hint="eastAsia"/>
                <w:color w:val="auto"/>
                <w:highlight w:val="none"/>
                <w:lang w:val="en-US" w:eastAsia="zh-CN"/>
              </w:rPr>
              <w:t>运营期固废主要为生活垃圾和后续入驻基地的中试项目产生的危废。</w:t>
            </w:r>
            <w:r>
              <w:rPr>
                <w:rFonts w:hint="default" w:ascii="Times New Roman" w:hAnsi="Times New Roman" w:eastAsia="宋体" w:cs="Times New Roman"/>
                <w:color w:val="auto"/>
                <w:sz w:val="21"/>
                <w:szCs w:val="21"/>
                <w:highlight w:val="none"/>
              </w:rPr>
              <w:t>生活垃圾</w:t>
            </w:r>
            <w:r>
              <w:rPr>
                <w:rFonts w:hint="eastAsia" w:ascii="Times New Roman" w:hAnsi="Times New Roman" w:eastAsia="宋体" w:cs="Times New Roman"/>
                <w:color w:val="auto"/>
                <w:sz w:val="21"/>
                <w:szCs w:val="21"/>
                <w:highlight w:val="none"/>
                <w:lang w:val="en-US" w:eastAsia="zh-CN"/>
              </w:rPr>
              <w:t>集中收集后定期</w:t>
            </w:r>
            <w:r>
              <w:rPr>
                <w:rFonts w:hint="default" w:ascii="Times New Roman" w:hAnsi="Times New Roman" w:eastAsia="宋体" w:cs="Times New Roman"/>
                <w:color w:val="auto"/>
                <w:sz w:val="21"/>
                <w:szCs w:val="21"/>
                <w:highlight w:val="none"/>
              </w:rPr>
              <w:t>清运</w:t>
            </w:r>
            <w:r>
              <w:rPr>
                <w:rFonts w:hint="eastAsia" w:ascii="Times New Roman" w:hAnsi="Times New Roman" w:eastAsia="宋体" w:cs="Times New Roman"/>
                <w:color w:val="auto"/>
                <w:sz w:val="21"/>
                <w:szCs w:val="21"/>
                <w:highlight w:val="none"/>
                <w:lang w:val="en-US" w:eastAsia="zh-CN"/>
              </w:rPr>
              <w:t>至就近生活垃圾填埋场处置</w:t>
            </w:r>
            <w:r>
              <w:rPr>
                <w:rFonts w:hint="eastAsia"/>
                <w:color w:val="auto"/>
                <w:highlight w:val="none"/>
                <w:lang w:val="en-US" w:eastAsia="zh-CN"/>
              </w:rPr>
              <w:t>；危废暂存于本项目建设的危废库内，定期外委有资质单位处置，不外排。本项目固废均得到妥善处理处置，不会对环境产生影响。</w:t>
            </w:r>
          </w:p>
          <w:p w14:paraId="18B55F30">
            <w:pPr>
              <w:pStyle w:val="5"/>
              <w:keepNext w:val="0"/>
              <w:keepLines w:val="0"/>
              <w:pageBreakBefore w:val="0"/>
              <w:widowControl w:val="0"/>
              <w:kinsoku/>
              <w:wordWrap/>
              <w:overflowPunct/>
              <w:topLinePunct w:val="0"/>
              <w:autoSpaceDE/>
              <w:autoSpaceDN/>
              <w:bidi w:val="0"/>
              <w:adjustRightInd/>
              <w:snapToGrid/>
              <w:ind w:firstLine="422" w:firstLineChars="200"/>
              <w:textAlignment w:val="auto"/>
              <w:rPr>
                <w:b/>
                <w:bCs/>
                <w:color w:val="auto"/>
                <w:kern w:val="21"/>
                <w:sz w:val="21"/>
                <w:szCs w:val="21"/>
                <w:highlight w:val="none"/>
              </w:rPr>
            </w:pPr>
            <w:r>
              <w:rPr>
                <w:rFonts w:hint="eastAsia"/>
                <w:b/>
                <w:bCs/>
                <w:color w:val="auto"/>
                <w:kern w:val="21"/>
                <w:sz w:val="21"/>
                <w:szCs w:val="21"/>
                <w:highlight w:val="none"/>
              </w:rPr>
              <w:t>5、地下水、土壤</w:t>
            </w:r>
          </w:p>
          <w:p w14:paraId="5899934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b w:val="0"/>
                <w:bCs w:val="0"/>
                <w:color w:val="auto"/>
                <w:kern w:val="21"/>
                <w:sz w:val="21"/>
                <w:szCs w:val="21"/>
                <w:highlight w:val="none"/>
                <w:lang w:val="en-US" w:eastAsia="zh-CN"/>
              </w:rPr>
            </w:pPr>
            <w:r>
              <w:rPr>
                <w:rFonts w:hint="eastAsia"/>
                <w:b w:val="0"/>
                <w:bCs w:val="0"/>
                <w:color w:val="auto"/>
                <w:kern w:val="21"/>
                <w:sz w:val="21"/>
                <w:szCs w:val="21"/>
                <w:highlight w:val="none"/>
                <w:lang w:val="en-US" w:eastAsia="zh-CN"/>
              </w:rPr>
              <w:t>本项目为中试基地基础设施建设项目，不直接涉及工业生产，不会对地下水、土壤产生污染。由于本项目建设的厂房、库房等为后续入驻的中试项目的生产场所，因此对地下水、土壤的污染影响主要来自后续入驻中试项目使用的原辅料、产生的污染物发生泄漏而产生的影响，本项目对源头厂房、库房实施分区防渗措施，可避免后续项目的影响。</w:t>
            </w:r>
          </w:p>
          <w:p w14:paraId="44220110">
            <w:pPr>
              <w:pStyle w:val="5"/>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auto"/>
                <w:kern w:val="21"/>
                <w:sz w:val="21"/>
                <w:szCs w:val="21"/>
                <w:highlight w:val="none"/>
              </w:rPr>
            </w:pPr>
            <w:r>
              <w:rPr>
                <w:rFonts w:hint="default" w:ascii="Times New Roman" w:hAnsi="Times New Roman" w:eastAsia="宋体" w:cs="Times New Roman"/>
                <w:b/>
                <w:bCs/>
                <w:color w:val="auto"/>
                <w:kern w:val="21"/>
                <w:sz w:val="21"/>
                <w:szCs w:val="21"/>
                <w:highlight w:val="none"/>
                <w:lang w:val="en-US" w:eastAsia="zh-CN"/>
              </w:rPr>
              <w:t>6</w:t>
            </w:r>
            <w:r>
              <w:rPr>
                <w:rFonts w:hint="default" w:ascii="Times New Roman" w:hAnsi="Times New Roman" w:eastAsia="宋体" w:cs="Times New Roman"/>
                <w:b/>
                <w:bCs/>
                <w:color w:val="auto"/>
                <w:kern w:val="21"/>
                <w:sz w:val="21"/>
                <w:szCs w:val="21"/>
                <w:highlight w:val="none"/>
              </w:rPr>
              <w:t>、环境风险</w:t>
            </w:r>
          </w:p>
          <w:p w14:paraId="78537714">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本项目环境风险源</w:t>
            </w:r>
            <w:r>
              <w:rPr>
                <w:rFonts w:hint="eastAsia" w:ascii="Times New Roman" w:hAnsi="Times New Roman" w:eastAsia="宋体" w:cs="Times New Roman"/>
                <w:b w:val="0"/>
                <w:bCs w:val="0"/>
                <w:color w:val="auto"/>
                <w:sz w:val="21"/>
                <w:szCs w:val="21"/>
                <w:highlight w:val="none"/>
                <w:lang w:val="en-US" w:eastAsia="zh-CN"/>
              </w:rPr>
              <w:t>包括</w:t>
            </w:r>
            <w:r>
              <w:rPr>
                <w:rFonts w:hint="default" w:ascii="Times New Roman" w:hAnsi="Times New Roman" w:eastAsia="宋体" w:cs="Times New Roman"/>
                <w:b w:val="0"/>
                <w:bCs w:val="0"/>
                <w:color w:val="auto"/>
                <w:sz w:val="21"/>
                <w:szCs w:val="21"/>
                <w:highlight w:val="none"/>
                <w:lang w:val="en-US" w:eastAsia="zh-CN"/>
              </w:rPr>
              <w:t>管廊上的氢气管道、富一氧化碳管道、天然气管道</w:t>
            </w:r>
            <w:r>
              <w:rPr>
                <w:rFonts w:hint="eastAsia" w:ascii="Times New Roman" w:hAnsi="Times New Roman" w:eastAsia="宋体" w:cs="Times New Roman"/>
                <w:b w:val="0"/>
                <w:bCs w:val="0"/>
                <w:color w:val="auto"/>
                <w:sz w:val="21"/>
                <w:szCs w:val="21"/>
                <w:highlight w:val="none"/>
                <w:lang w:val="en-US" w:eastAsia="zh-CN"/>
              </w:rPr>
              <w:t>和危废库暂存的危险废物。</w:t>
            </w:r>
            <w:r>
              <w:rPr>
                <w:rFonts w:hint="default" w:ascii="Times New Roman" w:hAnsi="Times New Roman" w:eastAsia="宋体" w:cs="Times New Roman"/>
                <w:b w:val="0"/>
                <w:bCs w:val="0"/>
                <w:color w:val="auto"/>
                <w:sz w:val="21"/>
                <w:szCs w:val="21"/>
                <w:highlight w:val="none"/>
                <w:lang w:val="en-US" w:eastAsia="zh-CN"/>
              </w:rPr>
              <w:t>管道不与地面接触，且气体泄漏后以大气扩散为主，因此发生环境风险事故后，主要环境风险影响为对大气环境的影响，基本不会对地表水、地下水产生影响。</w:t>
            </w:r>
          </w:p>
          <w:p w14:paraId="39F44708">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危险废物来自</w:t>
            </w:r>
            <w:r>
              <w:rPr>
                <w:rFonts w:hint="default" w:ascii="Times New Roman" w:hAnsi="Times New Roman" w:cs="Times New Roman"/>
                <w:b w:val="0"/>
                <w:bCs w:val="0"/>
                <w:color w:val="auto"/>
                <w:sz w:val="21"/>
                <w:szCs w:val="21"/>
                <w:highlight w:val="none"/>
                <w:lang w:val="en-US" w:eastAsia="zh-CN"/>
              </w:rPr>
              <w:t>后续入驻的中试项目</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考虑到中试项目以煤化工相关工艺为主，其实际运行过程中可能产生的危险废物种类及数量，将根据未来具体入驻项目的工艺路线、原料特性及实际运行情况确定</w:t>
            </w:r>
            <w:r>
              <w:rPr>
                <w:rFonts w:hint="eastAsia" w:ascii="Times New Roman" w:hAnsi="Times New Roman" w:cs="Times New Roman"/>
                <w:b w:val="0"/>
                <w:bCs w:val="0"/>
                <w:color w:val="auto"/>
                <w:sz w:val="21"/>
                <w:szCs w:val="21"/>
                <w:highlight w:val="none"/>
                <w:lang w:val="en-US" w:eastAsia="zh-CN"/>
              </w:rPr>
              <w:t>，目前无法确定</w:t>
            </w:r>
            <w:r>
              <w:rPr>
                <w:rFonts w:hint="default" w:ascii="Times New Roman" w:hAnsi="Times New Roman" w:cs="Times New Roman"/>
                <w:b w:val="0"/>
                <w:bCs w:val="0"/>
                <w:color w:val="auto"/>
                <w:sz w:val="21"/>
                <w:szCs w:val="21"/>
                <w:highlight w:val="none"/>
                <w:lang w:val="en-US" w:eastAsia="zh-CN"/>
              </w:rPr>
              <w:t>。危</w:t>
            </w:r>
            <w:r>
              <w:rPr>
                <w:rFonts w:hint="eastAsia"/>
                <w:b w:val="0"/>
                <w:bCs w:val="0"/>
                <w:color w:val="auto"/>
                <w:sz w:val="21"/>
                <w:szCs w:val="21"/>
                <w:highlight w:val="none"/>
                <w:lang w:val="en-US" w:eastAsia="zh-CN"/>
              </w:rPr>
              <w:t>废库严格按照</w:t>
            </w:r>
            <w:r>
              <w:rPr>
                <w:rFonts w:hint="default" w:ascii="Times New Roman" w:hAnsi="Times New Roman" w:eastAsia="宋体" w:cs="Times New Roman"/>
                <w:b w:val="0"/>
                <w:bCs w:val="0"/>
                <w:color w:val="auto"/>
                <w:sz w:val="21"/>
                <w:szCs w:val="21"/>
                <w:highlight w:val="none"/>
              </w:rPr>
              <w:t>《危险废物贮存污染控制标准》（GB18597-2023）要求</w:t>
            </w:r>
            <w:r>
              <w:rPr>
                <w:rFonts w:hint="eastAsia" w:ascii="Times New Roman" w:hAnsi="Times New Roman" w:eastAsia="宋体" w:cs="Times New Roman"/>
                <w:b w:val="0"/>
                <w:bCs w:val="0"/>
                <w:color w:val="auto"/>
                <w:sz w:val="21"/>
                <w:szCs w:val="21"/>
                <w:highlight w:val="none"/>
                <w:lang w:val="en-US" w:eastAsia="zh-CN"/>
              </w:rPr>
              <w:t>建设，采取了严格的防渗措施，不会对地下水产生影响。</w:t>
            </w:r>
          </w:p>
          <w:p w14:paraId="5429085B">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7、生态影响</w:t>
            </w:r>
          </w:p>
          <w:p w14:paraId="0DF8BE30">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eastAsia"/>
                <w:b w:val="0"/>
                <w:bCs w:val="0"/>
                <w:color w:val="auto"/>
                <w:kern w:val="21"/>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本项目运营期不会造成进一步的生态破坏，且通过加强基地绿化，可在一定程度上减缓施工期因植被破坏造成的生态影响。</w:t>
            </w:r>
          </w:p>
        </w:tc>
      </w:tr>
      <w:tr w14:paraId="377DB9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1" w:hRule="atLeast"/>
          <w:jc w:val="center"/>
        </w:trPr>
        <w:tc>
          <w:tcPr>
            <w:tcW w:w="879" w:type="dxa"/>
            <w:noWrap w:val="0"/>
            <w:vAlign w:val="center"/>
          </w:tcPr>
          <w:p w14:paraId="29818677">
            <w:pPr>
              <w:pStyle w:val="20"/>
              <w:adjustRightInd w:val="0"/>
              <w:snapToGrid w:val="0"/>
              <w:spacing w:before="0" w:beforeAutospacing="0" w:after="0" w:afterAutospacing="0"/>
              <w:jc w:val="center"/>
              <w:rPr>
                <w:rFonts w:cs="宋体"/>
                <w:bCs/>
                <w:color w:val="auto"/>
                <w:kern w:val="2"/>
                <w:sz w:val="21"/>
                <w:szCs w:val="21"/>
                <w:highlight w:val="none"/>
              </w:rPr>
            </w:pPr>
            <w:r>
              <w:rPr>
                <w:rFonts w:hint="eastAsia" w:cs="宋体"/>
                <w:bCs/>
                <w:color w:val="auto"/>
                <w:kern w:val="2"/>
                <w:sz w:val="21"/>
                <w:szCs w:val="21"/>
                <w:highlight w:val="none"/>
              </w:rPr>
              <w:t>选址选线环境合理性分析</w:t>
            </w:r>
          </w:p>
        </w:tc>
        <w:tc>
          <w:tcPr>
            <w:tcW w:w="8363" w:type="dxa"/>
            <w:noWrap w:val="0"/>
            <w:vAlign w:val="top"/>
          </w:tcPr>
          <w:p w14:paraId="30E92AD2">
            <w:pPr>
              <w:pStyle w:val="5"/>
              <w:keepNext w:val="0"/>
              <w:keepLines w:val="0"/>
              <w:pageBreakBefore w:val="0"/>
              <w:widowControl w:val="0"/>
              <w:kinsoku/>
              <w:wordWrap/>
              <w:overflowPunct/>
              <w:topLinePunct w:val="0"/>
              <w:autoSpaceDE/>
              <w:autoSpaceDN/>
              <w:bidi w:val="0"/>
              <w:adjustRightInd/>
              <w:snapToGrid/>
              <w:ind w:firstLine="482"/>
              <w:textAlignment w:val="auto"/>
              <w:rPr>
                <w:rFonts w:hint="default" w:ascii="Times New Roman" w:hAnsi="Times New Roman" w:eastAsia="宋体" w:cs="Times New Roman"/>
                <w:color w:val="auto"/>
                <w:sz w:val="21"/>
                <w:szCs w:val="21"/>
                <w:highlight w:val="none"/>
                <w:shd w:val="clear" w:color="auto" w:fill="FFFFFF"/>
                <w:lang w:val="en-US" w:eastAsia="zh-CN"/>
              </w:rPr>
            </w:pPr>
            <w:r>
              <w:rPr>
                <w:rFonts w:hint="default" w:ascii="Times New Roman" w:hAnsi="Times New Roman" w:eastAsia="宋体" w:cs="Times New Roman"/>
                <w:color w:val="auto"/>
                <w:sz w:val="21"/>
                <w:szCs w:val="21"/>
                <w:highlight w:val="none"/>
                <w:shd w:val="clear" w:color="auto" w:fill="FFFFFF"/>
                <w:lang w:val="en-US" w:eastAsia="zh-CN"/>
              </w:rPr>
              <w:t>本项目选址位于</w:t>
            </w:r>
            <w:r>
              <w:rPr>
                <w:rFonts w:hint="default" w:ascii="Times New Roman" w:hAnsi="Times New Roman" w:eastAsia="宋体" w:cs="Times New Roman"/>
                <w:color w:val="auto"/>
                <w:kern w:val="0"/>
                <w:sz w:val="21"/>
                <w:szCs w:val="21"/>
                <w:highlight w:val="none"/>
                <w:lang w:val="en-US" w:eastAsia="zh-CN" w:bidi="ar"/>
              </w:rPr>
              <w:t>苏里格经济开发区图克工业项目区</w:t>
            </w:r>
            <w:r>
              <w:rPr>
                <w:rFonts w:hint="default" w:ascii="Times New Roman" w:hAnsi="Times New Roman" w:eastAsia="宋体" w:cs="Times New Roman"/>
                <w:bCs/>
                <w:color w:val="auto"/>
                <w:kern w:val="0"/>
                <w:sz w:val="21"/>
                <w:szCs w:val="21"/>
                <w:highlight w:val="none"/>
                <w:lang w:val="en-US" w:eastAsia="zh-CN"/>
              </w:rPr>
              <w:t>南化工片区</w:t>
            </w:r>
            <w:r>
              <w:rPr>
                <w:rFonts w:hint="default" w:ascii="Times New Roman" w:hAnsi="Times New Roman" w:eastAsia="宋体" w:cs="Times New Roman"/>
                <w:color w:val="auto"/>
                <w:kern w:val="0"/>
                <w:sz w:val="21"/>
                <w:szCs w:val="21"/>
                <w:highlight w:val="none"/>
                <w:lang w:val="en-US" w:eastAsia="zh-CN" w:bidi="ar"/>
              </w:rPr>
              <w:t>，根据规划环评，本项目符合园区产业定位，选址符合园区产业功能布局。根据乌审旗自然资源局颁发的建设用地规划许可证，本项目用地为工业用地，符合园区土地规划用途；</w:t>
            </w:r>
            <w:r>
              <w:rPr>
                <w:rFonts w:hint="eastAsia" w:ascii="Times New Roman" w:hAnsi="Times New Roman" w:eastAsia="宋体" w:cs="Times New Roman"/>
                <w:color w:val="auto"/>
                <w:kern w:val="0"/>
                <w:sz w:val="21"/>
                <w:szCs w:val="21"/>
                <w:highlight w:val="none"/>
                <w:lang w:val="en-US" w:eastAsia="zh-CN" w:bidi="ar"/>
              </w:rPr>
              <w:t>本项目后续中试项目均属于小型试验装置，用水量小，通过图克工业项目区中水管网供给可满足本项目需求。</w:t>
            </w:r>
            <w:r>
              <w:rPr>
                <w:rFonts w:hint="default" w:ascii="Times New Roman" w:hAnsi="Times New Roman" w:eastAsia="宋体" w:cs="Times New Roman"/>
                <w:color w:val="auto"/>
                <w:kern w:val="0"/>
                <w:sz w:val="21"/>
                <w:szCs w:val="21"/>
                <w:highlight w:val="none"/>
                <w:lang w:val="en-US" w:eastAsia="zh-CN" w:bidi="ar"/>
              </w:rPr>
              <w:t>项目选址</w:t>
            </w:r>
            <w:r>
              <w:rPr>
                <w:rFonts w:hint="default" w:ascii="Times New Roman" w:hAnsi="Times New Roman" w:eastAsia="宋体" w:cs="Times New Roman"/>
                <w:color w:val="auto"/>
                <w:sz w:val="21"/>
                <w:szCs w:val="21"/>
                <w:highlight w:val="none"/>
                <w:shd w:val="clear" w:color="auto" w:fill="FFFFFF"/>
                <w:lang w:val="en-US" w:eastAsia="zh-CN"/>
              </w:rPr>
              <w:t>不涉及自然保护区、生态</w:t>
            </w:r>
            <w:r>
              <w:rPr>
                <w:rFonts w:hint="eastAsia" w:ascii="Times New Roman" w:hAnsi="Times New Roman" w:eastAsia="宋体" w:cs="Times New Roman"/>
                <w:color w:val="auto"/>
                <w:sz w:val="21"/>
                <w:szCs w:val="21"/>
                <w:highlight w:val="none"/>
                <w:shd w:val="clear" w:color="auto" w:fill="FFFFFF"/>
                <w:lang w:val="en-US" w:eastAsia="zh-CN"/>
              </w:rPr>
              <w:t>保护</w:t>
            </w:r>
            <w:r>
              <w:rPr>
                <w:rFonts w:hint="default" w:ascii="Times New Roman" w:hAnsi="Times New Roman" w:eastAsia="宋体" w:cs="Times New Roman"/>
                <w:color w:val="auto"/>
                <w:sz w:val="21"/>
                <w:szCs w:val="21"/>
                <w:highlight w:val="none"/>
                <w:shd w:val="clear" w:color="auto" w:fill="FFFFFF"/>
                <w:lang w:val="en-US" w:eastAsia="zh-CN"/>
              </w:rPr>
              <w:t>红线、集中式水源保护地和文物遗址等敏感目标以及其它需要特别保护的对象，不存在重大制约因素。</w:t>
            </w:r>
          </w:p>
          <w:p w14:paraId="12AE4FE1">
            <w:pPr>
              <w:pStyle w:val="5"/>
              <w:keepNext w:val="0"/>
              <w:keepLines w:val="0"/>
              <w:pageBreakBefore w:val="0"/>
              <w:widowControl w:val="0"/>
              <w:kinsoku/>
              <w:wordWrap/>
              <w:overflowPunct/>
              <w:topLinePunct w:val="0"/>
              <w:autoSpaceDE/>
              <w:autoSpaceDN/>
              <w:bidi w:val="0"/>
              <w:adjustRightInd/>
              <w:snapToGrid/>
              <w:ind w:firstLine="482"/>
              <w:textAlignment w:val="auto"/>
              <w:rPr>
                <w:rFonts w:hint="default" w:ascii="Times New Roman" w:hAnsi="Times New Roman" w:eastAsia="宋体" w:cs="Times New Roman"/>
                <w:color w:val="auto"/>
                <w:sz w:val="21"/>
                <w:szCs w:val="21"/>
                <w:highlight w:val="none"/>
                <w:shd w:val="clear" w:color="auto" w:fill="FFFFFF"/>
                <w:lang w:val="en-US" w:eastAsia="zh-CN"/>
              </w:rPr>
            </w:pPr>
            <w:r>
              <w:rPr>
                <w:rFonts w:hint="default" w:ascii="Times New Roman" w:hAnsi="Times New Roman" w:eastAsia="宋体" w:cs="Times New Roman"/>
                <w:color w:val="auto"/>
                <w:sz w:val="21"/>
                <w:szCs w:val="21"/>
                <w:highlight w:val="none"/>
                <w:shd w:val="clear" w:color="auto" w:fill="FFFFFF"/>
                <w:lang w:val="en-US" w:eastAsia="zh-CN"/>
              </w:rPr>
              <w:t>本项目为中试基地基础设施工程，位于已批复规划环评的工业园区内，项目占现状为牧草地，规划用途为工业用地。项目对生态环境的影响局限于对占地范围内植被的破坏和对土壤的扰动，对生态环境影响小，可接受。本项目建成后废气主要来自危废库贮存的危险废物可能产生的废气以及火炬系统燃烧烟气排放。</w:t>
            </w:r>
            <w:r>
              <w:rPr>
                <w:rFonts w:hint="eastAsia" w:ascii="Times New Roman" w:hAnsi="Times New Roman" w:eastAsia="宋体" w:cs="Times New Roman"/>
                <w:color w:val="auto"/>
                <w:sz w:val="21"/>
                <w:szCs w:val="21"/>
                <w:highlight w:val="none"/>
                <w:shd w:val="clear" w:color="auto" w:fill="FFFFFF"/>
                <w:lang w:val="en-US" w:eastAsia="zh-CN"/>
              </w:rPr>
              <w:t>危险废物</w:t>
            </w:r>
            <w:r>
              <w:rPr>
                <w:rFonts w:hint="default" w:ascii="Times New Roman" w:hAnsi="Times New Roman" w:eastAsia="宋体" w:cs="Times New Roman"/>
                <w:color w:val="auto"/>
                <w:sz w:val="21"/>
                <w:szCs w:val="21"/>
                <w:highlight w:val="none"/>
                <w:shd w:val="clear" w:color="auto" w:fill="FFFFFF"/>
                <w:lang w:val="en-US" w:eastAsia="zh-CN"/>
              </w:rPr>
              <w:t>通过</w:t>
            </w:r>
            <w:r>
              <w:rPr>
                <w:rFonts w:ascii="宋体" w:hAnsi="宋体" w:eastAsia="宋体" w:cs="宋体"/>
                <w:color w:val="auto"/>
                <w:kern w:val="0"/>
                <w:sz w:val="21"/>
                <w:szCs w:val="21"/>
                <w:highlight w:val="none"/>
                <w:lang w:val="en-US" w:eastAsia="zh-CN" w:bidi="ar"/>
              </w:rPr>
              <w:t>选用合适的</w:t>
            </w:r>
            <w:r>
              <w:rPr>
                <w:rFonts w:hint="eastAsia" w:ascii="宋体" w:hAnsi="宋体" w:eastAsia="宋体" w:cs="宋体"/>
                <w:color w:val="auto"/>
                <w:kern w:val="0"/>
                <w:sz w:val="21"/>
                <w:szCs w:val="21"/>
                <w:highlight w:val="none"/>
                <w:lang w:val="en-US" w:eastAsia="zh-CN" w:bidi="ar"/>
              </w:rPr>
              <w:t>闭口</w:t>
            </w:r>
            <w:r>
              <w:rPr>
                <w:rFonts w:ascii="宋体" w:hAnsi="宋体" w:eastAsia="宋体" w:cs="宋体"/>
                <w:color w:val="auto"/>
                <w:kern w:val="0"/>
                <w:sz w:val="21"/>
                <w:szCs w:val="21"/>
                <w:highlight w:val="none"/>
                <w:lang w:val="en-US" w:eastAsia="zh-CN" w:bidi="ar"/>
              </w:rPr>
              <w:t>容器收集</w:t>
            </w:r>
            <w:r>
              <w:rPr>
                <w:rFonts w:hint="eastAsia" w:ascii="宋体" w:hAnsi="宋体" w:eastAsia="宋体" w:cs="宋体"/>
                <w:color w:val="auto"/>
                <w:kern w:val="0"/>
                <w:sz w:val="21"/>
                <w:szCs w:val="21"/>
                <w:highlight w:val="none"/>
                <w:lang w:val="en-US" w:eastAsia="zh-CN" w:bidi="ar"/>
              </w:rPr>
              <w:t>盛装</w:t>
            </w:r>
            <w:r>
              <w:rPr>
                <w:rFonts w:hint="default" w:ascii="Times New Roman" w:hAnsi="Times New Roman" w:eastAsia="宋体" w:cs="Times New Roman"/>
                <w:color w:val="auto"/>
                <w:kern w:val="0"/>
                <w:sz w:val="21"/>
                <w:szCs w:val="21"/>
                <w:highlight w:val="none"/>
                <w:lang w:val="en-US" w:eastAsia="zh-CN" w:bidi="ar"/>
              </w:rPr>
              <w:t>，缩短贮存时间等可有效减少废气产排，后期根据危险废物实际性质，若有大量废气产生，将采取负压收集与净化措施，危废库废气排放量极少，对环境影响可接受；火炬系统本身为环保设施，可有效减少中试项目</w:t>
            </w:r>
            <w:r>
              <w:rPr>
                <w:rFonts w:hint="eastAsia" w:ascii="Times New Roman" w:hAnsi="Times New Roman" w:eastAsia="宋体" w:cs="Times New Roman"/>
                <w:color w:val="auto"/>
                <w:kern w:val="0"/>
                <w:sz w:val="21"/>
                <w:szCs w:val="21"/>
                <w:highlight w:val="none"/>
                <w:lang w:val="en-US" w:eastAsia="zh-CN" w:bidi="ar"/>
              </w:rPr>
              <w:t>事故</w:t>
            </w:r>
            <w:r>
              <w:rPr>
                <w:rFonts w:hint="default" w:ascii="Times New Roman" w:hAnsi="Times New Roman" w:eastAsia="宋体" w:cs="Times New Roman"/>
                <w:color w:val="auto"/>
                <w:kern w:val="0"/>
                <w:sz w:val="21"/>
                <w:szCs w:val="21"/>
                <w:highlight w:val="none"/>
                <w:lang w:val="en-US" w:eastAsia="zh-CN" w:bidi="ar"/>
              </w:rPr>
              <w:t>废气</w:t>
            </w:r>
            <w:r>
              <w:rPr>
                <w:rFonts w:hint="eastAsia" w:ascii="Times New Roman" w:hAnsi="Times New Roman" w:eastAsia="宋体" w:cs="Times New Roman"/>
                <w:color w:val="auto"/>
                <w:kern w:val="0"/>
                <w:sz w:val="21"/>
                <w:szCs w:val="21"/>
                <w:highlight w:val="none"/>
                <w:lang w:val="en-US" w:eastAsia="zh-CN" w:bidi="ar"/>
              </w:rPr>
              <w:t>的</w:t>
            </w:r>
            <w:r>
              <w:rPr>
                <w:rFonts w:hint="default" w:ascii="Times New Roman" w:hAnsi="Times New Roman" w:eastAsia="宋体" w:cs="Times New Roman"/>
                <w:color w:val="auto"/>
                <w:kern w:val="0"/>
                <w:sz w:val="21"/>
                <w:szCs w:val="21"/>
                <w:highlight w:val="none"/>
                <w:lang w:val="en-US" w:eastAsia="zh-CN" w:bidi="ar"/>
              </w:rPr>
              <w:t>排放</w:t>
            </w:r>
            <w:r>
              <w:rPr>
                <w:rFonts w:hint="eastAsia" w:ascii="Times New Roman" w:hAnsi="Times New Roman" w:eastAsia="宋体" w:cs="Times New Roman"/>
                <w:color w:val="auto"/>
                <w:sz w:val="21"/>
                <w:szCs w:val="21"/>
                <w:highlight w:val="none"/>
                <w:shd w:val="clear" w:color="auto" w:fill="FFFFFF"/>
                <w:lang w:val="en-US" w:eastAsia="zh-CN"/>
              </w:rPr>
              <w:t>，</w:t>
            </w:r>
            <w:r>
              <w:rPr>
                <w:rFonts w:hint="default" w:ascii="Times New Roman" w:hAnsi="Times New Roman" w:eastAsia="宋体" w:cs="Times New Roman"/>
                <w:color w:val="auto"/>
                <w:sz w:val="21"/>
                <w:szCs w:val="21"/>
                <w:highlight w:val="none"/>
                <w:lang w:val="en-US" w:eastAsia="zh-CN"/>
              </w:rPr>
              <w:t>本项目不会改变大气现状容量；</w:t>
            </w:r>
            <w:r>
              <w:rPr>
                <w:rFonts w:hint="eastAsia" w:ascii="Times New Roman" w:hAnsi="Times New Roman" w:eastAsia="宋体" w:cs="Times New Roman"/>
                <w:color w:val="auto"/>
                <w:sz w:val="21"/>
                <w:szCs w:val="21"/>
                <w:highlight w:val="none"/>
                <w:lang w:val="en-US" w:eastAsia="zh-CN"/>
              </w:rPr>
              <w:t>本项目主要噪声源为</w:t>
            </w:r>
            <w:r>
              <w:rPr>
                <w:rFonts w:hint="default" w:ascii="Times New Roman" w:hAnsi="Times New Roman" w:eastAsia="宋体" w:cs="Times New Roman"/>
                <w:color w:val="auto"/>
                <w:sz w:val="21"/>
                <w:szCs w:val="21"/>
                <w:highlight w:val="none"/>
                <w:shd w:val="clear" w:color="auto" w:fill="FFFFFF"/>
                <w:lang w:val="en-US" w:eastAsia="zh-CN"/>
              </w:rPr>
              <w:t>公用设施循环水站、空压站</w:t>
            </w:r>
            <w:r>
              <w:rPr>
                <w:rFonts w:hint="eastAsia" w:ascii="Times New Roman" w:hAnsi="Times New Roman" w:eastAsia="宋体" w:cs="Times New Roman"/>
                <w:color w:val="auto"/>
                <w:sz w:val="21"/>
                <w:szCs w:val="21"/>
                <w:highlight w:val="none"/>
                <w:shd w:val="clear" w:color="auto" w:fill="FFFFFF"/>
                <w:lang w:val="en-US" w:eastAsia="zh-CN"/>
              </w:rPr>
              <w:t>的设备噪声，通过选用低噪声设备、厂房隔声和距离衰减，厂界</w:t>
            </w:r>
            <w:r>
              <w:rPr>
                <w:rFonts w:hint="default" w:ascii="Times New Roman" w:hAnsi="Times New Roman" w:eastAsia="宋体" w:cs="Times New Roman"/>
                <w:color w:val="auto"/>
                <w:sz w:val="21"/>
                <w:szCs w:val="21"/>
                <w:highlight w:val="none"/>
                <w:shd w:val="clear" w:color="auto" w:fill="FFFFFF"/>
                <w:lang w:val="en-US" w:eastAsia="zh-CN"/>
              </w:rPr>
              <w:t>噪声排放满足</w:t>
            </w:r>
            <w:r>
              <w:rPr>
                <w:rFonts w:hint="default" w:ascii="Times New Roman" w:hAnsi="Times New Roman" w:eastAsia="宋体" w:cs="Times New Roman"/>
                <w:color w:val="auto"/>
                <w:sz w:val="21"/>
                <w:szCs w:val="21"/>
                <w:highlight w:val="none"/>
              </w:rPr>
              <w:t>《工业企业厂界环境噪声排放标准》（GB12348-2008）</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类标准</w:t>
            </w:r>
            <w:r>
              <w:rPr>
                <w:rFonts w:hint="default" w:ascii="Times New Roman" w:hAnsi="Times New Roman" w:eastAsia="宋体" w:cs="Times New Roman"/>
                <w:color w:val="auto"/>
                <w:sz w:val="21"/>
                <w:szCs w:val="21"/>
                <w:highlight w:val="none"/>
                <w:lang w:val="en-US" w:eastAsia="zh-CN"/>
              </w:rPr>
              <w:t>；生活垃圾</w:t>
            </w:r>
            <w:r>
              <w:rPr>
                <w:rFonts w:hint="eastAsia" w:ascii="Times New Roman" w:hAnsi="Times New Roman" w:eastAsia="宋体" w:cs="Times New Roman"/>
                <w:color w:val="auto"/>
                <w:sz w:val="21"/>
                <w:szCs w:val="21"/>
                <w:highlight w:val="none"/>
                <w:lang w:val="en-US" w:eastAsia="zh-CN"/>
              </w:rPr>
              <w:t>送</w:t>
            </w:r>
            <w:r>
              <w:rPr>
                <w:rFonts w:hint="default" w:ascii="Times New Roman" w:hAnsi="Times New Roman" w:eastAsia="宋体" w:cs="Times New Roman"/>
                <w:color w:val="auto"/>
                <w:sz w:val="21"/>
                <w:szCs w:val="21"/>
                <w:highlight w:val="none"/>
                <w:lang w:val="en-US" w:eastAsia="zh-CN"/>
              </w:rPr>
              <w:t>就近垃圾填埋场处理</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项目产生的循环水和火炬</w:t>
            </w:r>
            <w:r>
              <w:rPr>
                <w:rFonts w:hint="eastAsia" w:ascii="Times New Roman" w:hAnsi="Times New Roman" w:eastAsia="宋体" w:cs="Times New Roman"/>
                <w:color w:val="auto"/>
                <w:sz w:val="21"/>
                <w:szCs w:val="21"/>
                <w:highlight w:val="none"/>
                <w:lang w:val="en-US" w:eastAsia="zh-CN"/>
              </w:rPr>
              <w:t>系统废水</w:t>
            </w:r>
            <w:r>
              <w:rPr>
                <w:rFonts w:hint="default" w:ascii="Times New Roman" w:hAnsi="Times New Roman" w:eastAsia="宋体" w:cs="Times New Roman"/>
                <w:color w:val="auto"/>
                <w:sz w:val="21"/>
                <w:szCs w:val="21"/>
                <w:highlight w:val="none"/>
                <w:lang w:val="en-US" w:eastAsia="zh-CN"/>
              </w:rPr>
              <w:t>通过管道送</w:t>
            </w:r>
            <w:r>
              <w:rPr>
                <w:rFonts w:hint="eastAsia" w:ascii="Times New Roman" w:hAnsi="Times New Roman" w:cs="Times New Roman"/>
                <w:color w:val="auto"/>
                <w:sz w:val="21"/>
                <w:szCs w:val="21"/>
                <w:highlight w:val="none"/>
                <w:u w:val="none"/>
                <w:lang w:val="en-US" w:eastAsia="zh-CN"/>
              </w:rPr>
              <w:t>中煤鄂尔多斯能源化工有限公司</w:t>
            </w:r>
            <w:r>
              <w:rPr>
                <w:rFonts w:hint="eastAsia" w:ascii="Times New Roman" w:hAnsi="Times New Roman" w:eastAsia="宋体" w:cs="Times New Roman"/>
                <w:color w:val="auto"/>
                <w:kern w:val="0"/>
                <w:sz w:val="21"/>
                <w:szCs w:val="21"/>
                <w:highlight w:val="none"/>
                <w:lang w:val="en-US" w:eastAsia="zh-CN" w:bidi="ar"/>
              </w:rPr>
              <w:t>回用水处理站和生化水处理站处理</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shd w:val="clear" w:color="auto" w:fill="FFFFFF"/>
                <w:lang w:val="en-US" w:eastAsia="zh-CN"/>
              </w:rPr>
              <w:t>生活污水拉运至</w:t>
            </w:r>
            <w:r>
              <w:rPr>
                <w:rFonts w:hint="eastAsia" w:ascii="Times New Roman" w:hAnsi="Times New Roman" w:eastAsia="宋体" w:cs="Times New Roman"/>
                <w:color w:val="auto"/>
                <w:sz w:val="21"/>
                <w:szCs w:val="21"/>
                <w:highlight w:val="none"/>
                <w:shd w:val="clear" w:color="auto" w:fill="FFFFFF"/>
                <w:lang w:val="en-US" w:eastAsia="zh-CN"/>
              </w:rPr>
              <w:t>园区生活污水处理厂</w:t>
            </w:r>
            <w:r>
              <w:rPr>
                <w:rFonts w:hint="default" w:ascii="Times New Roman" w:hAnsi="Times New Roman" w:eastAsia="宋体" w:cs="Times New Roman"/>
                <w:color w:val="auto"/>
                <w:sz w:val="21"/>
                <w:szCs w:val="21"/>
                <w:highlight w:val="none"/>
                <w:shd w:val="clear" w:color="auto" w:fill="FFFFFF"/>
                <w:lang w:val="en-US" w:eastAsia="zh-CN"/>
              </w:rPr>
              <w:t>处理。</w:t>
            </w:r>
          </w:p>
          <w:p w14:paraId="22B7F37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本项目通过制定较为周全的风险事故防范措施和事故应急预案，当发生风险事故时立即启动事故应急预案，能确保事故不扩大，不会对周边环境造成较大危害。在采取有效风险防范措施和应急预案后，项目环境风险可控。</w:t>
            </w:r>
          </w:p>
          <w:p w14:paraId="29609AEA">
            <w:pPr>
              <w:adjustRightInd w:val="0"/>
              <w:snapToGrid w:val="0"/>
              <w:rPr>
                <w:rFonts w:ascii="宋体" w:hAnsi="宋体" w:cs="宋体"/>
                <w:bCs/>
                <w:color w:val="auto"/>
                <w:szCs w:val="21"/>
                <w:highlight w:val="none"/>
              </w:rPr>
            </w:pPr>
            <w:r>
              <w:rPr>
                <w:rFonts w:hint="default" w:ascii="Times New Roman" w:hAnsi="Times New Roman" w:eastAsia="宋体" w:cs="Times New Roman"/>
                <w:color w:val="auto"/>
                <w:sz w:val="21"/>
                <w:szCs w:val="21"/>
                <w:highlight w:val="none"/>
                <w:shd w:val="clear" w:color="auto" w:fill="FFFFFF"/>
              </w:rPr>
              <w:t>综上所述，本项目</w:t>
            </w:r>
            <w:r>
              <w:rPr>
                <w:rFonts w:hint="default" w:ascii="Times New Roman" w:hAnsi="Times New Roman" w:eastAsia="宋体" w:cs="Times New Roman"/>
                <w:color w:val="auto"/>
                <w:sz w:val="21"/>
                <w:szCs w:val="21"/>
                <w:highlight w:val="none"/>
                <w:shd w:val="clear" w:color="auto" w:fill="FFFFFF"/>
                <w:lang w:val="en-US" w:eastAsia="zh-CN"/>
              </w:rPr>
              <w:t>产生的污染物均得到有效处理处置</w:t>
            </w:r>
            <w:r>
              <w:rPr>
                <w:rFonts w:hint="eastAsia" w:ascii="Times New Roman" w:hAnsi="Times New Roman" w:eastAsia="宋体" w:cs="Times New Roman"/>
                <w:color w:val="auto"/>
                <w:sz w:val="21"/>
                <w:szCs w:val="21"/>
                <w:highlight w:val="none"/>
                <w:shd w:val="clear" w:color="auto" w:fill="FFFFFF"/>
                <w:lang w:val="en-US" w:eastAsia="zh-CN"/>
              </w:rPr>
              <w:t>，达标排放，对周边</w:t>
            </w:r>
            <w:r>
              <w:rPr>
                <w:rFonts w:hint="default" w:ascii="Times New Roman" w:hAnsi="Times New Roman" w:eastAsia="宋体" w:cs="Times New Roman"/>
                <w:color w:val="auto"/>
                <w:sz w:val="21"/>
                <w:szCs w:val="21"/>
                <w:highlight w:val="none"/>
                <w:shd w:val="clear" w:color="auto" w:fill="FFFFFF"/>
              </w:rPr>
              <w:t>外环境无明显制约因素，</w:t>
            </w:r>
            <w:r>
              <w:rPr>
                <w:rFonts w:hint="eastAsia" w:ascii="Times New Roman" w:hAnsi="Times New Roman" w:eastAsia="宋体" w:cs="Times New Roman"/>
                <w:color w:val="auto"/>
                <w:sz w:val="21"/>
                <w:szCs w:val="21"/>
                <w:highlight w:val="none"/>
                <w:shd w:val="clear" w:color="auto" w:fill="FFFFFF"/>
                <w:lang w:val="en-US" w:eastAsia="zh-CN"/>
              </w:rPr>
              <w:t>故</w:t>
            </w:r>
            <w:r>
              <w:rPr>
                <w:rFonts w:hint="default" w:ascii="Times New Roman" w:hAnsi="Times New Roman" w:eastAsia="宋体" w:cs="Times New Roman"/>
                <w:color w:val="auto"/>
                <w:sz w:val="21"/>
                <w:szCs w:val="21"/>
                <w:highlight w:val="none"/>
                <w:shd w:val="clear" w:color="auto" w:fill="FFFFFF"/>
              </w:rPr>
              <w:t>选址合理。</w:t>
            </w:r>
          </w:p>
        </w:tc>
      </w:tr>
    </w:tbl>
    <w:p w14:paraId="24E7CE29">
      <w:pPr>
        <w:pStyle w:val="20"/>
        <w:jc w:val="center"/>
        <w:rPr>
          <w:rFonts w:ascii="黑体" w:hAnsi="黑体" w:eastAsia="黑体"/>
          <w:snapToGrid w:val="0"/>
          <w:color w:val="auto"/>
          <w:sz w:val="36"/>
          <w:szCs w:val="36"/>
          <w:highlight w:val="none"/>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30B1141E">
      <w:pPr>
        <w:pStyle w:val="20"/>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五、主要生态环境保护措施</w:t>
      </w:r>
    </w:p>
    <w:tbl>
      <w:tblPr>
        <w:tblStyle w:val="24"/>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57"/>
      </w:tblGrid>
      <w:tr w14:paraId="5E614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753" w:type="dxa"/>
            <w:noWrap w:val="0"/>
            <w:tcMar>
              <w:left w:w="28" w:type="dxa"/>
              <w:right w:w="28" w:type="dxa"/>
            </w:tcMar>
            <w:vAlign w:val="center"/>
          </w:tcPr>
          <w:p w14:paraId="5D1962C6">
            <w:pPr>
              <w:adjustRightInd w:val="0"/>
              <w:snapToGrid w:val="0"/>
              <w:jc w:val="center"/>
              <w:rPr>
                <w:rFonts w:ascii="宋体" w:hAnsi="宋体"/>
                <w:bCs/>
                <w:color w:val="auto"/>
                <w:szCs w:val="21"/>
                <w:highlight w:val="none"/>
              </w:rPr>
            </w:pPr>
            <w:r>
              <w:rPr>
                <w:rFonts w:hint="eastAsia" w:ascii="宋体" w:hAnsi="宋体" w:cs="宋体"/>
                <w:bCs/>
                <w:color w:val="auto"/>
                <w:spacing w:val="10"/>
                <w:szCs w:val="21"/>
                <w:highlight w:val="none"/>
              </w:rPr>
              <w:t>施工期生态环境保护措施</w:t>
            </w:r>
          </w:p>
        </w:tc>
        <w:tc>
          <w:tcPr>
            <w:tcW w:w="8457" w:type="dxa"/>
            <w:noWrap w:val="0"/>
            <w:vAlign w:val="top"/>
          </w:tcPr>
          <w:p w14:paraId="1962B247">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1.生态保护措施</w:t>
            </w:r>
          </w:p>
          <w:p w14:paraId="6AFB81C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（1）中试基地施工严格控制施工范围，施工营地等均设置在基地占地范围内，外部不设置临时占地工程</w:t>
            </w:r>
            <w:r>
              <w:rPr>
                <w:rFonts w:hint="eastAsia" w:ascii="Times New Roman" w:hAnsi="Times New Roman" w:eastAsia="宋体" w:cs="Times New Roman"/>
                <w:b w:val="0"/>
                <w:bCs w:val="0"/>
                <w:color w:val="auto"/>
                <w:kern w:val="0"/>
                <w:sz w:val="21"/>
                <w:szCs w:val="21"/>
                <w:highlight w:val="none"/>
                <w:lang w:val="en-US" w:eastAsia="zh-CN" w:bidi="ar"/>
              </w:rPr>
              <w:t>，减少项目施工扰动范围</w:t>
            </w:r>
            <w:r>
              <w:rPr>
                <w:rFonts w:hint="default" w:ascii="Times New Roman" w:hAnsi="Times New Roman" w:eastAsia="宋体" w:cs="Times New Roman"/>
                <w:b w:val="0"/>
                <w:bCs w:val="0"/>
                <w:color w:val="auto"/>
                <w:kern w:val="0"/>
                <w:sz w:val="21"/>
                <w:szCs w:val="21"/>
                <w:highlight w:val="none"/>
                <w:lang w:val="en-US" w:eastAsia="zh-CN" w:bidi="ar"/>
              </w:rPr>
              <w:t>；</w:t>
            </w:r>
          </w:p>
          <w:p w14:paraId="75EF55B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kern w:val="0"/>
                <w:sz w:val="21"/>
                <w:szCs w:val="21"/>
                <w:highlight w:val="none"/>
                <w:lang w:val="en-US" w:eastAsia="zh-CN" w:bidi="ar"/>
              </w:rPr>
              <w:t>（2）对施工范围内表层熟土（厚20-30cm）进行剥离，单独堆存于临时堆土场（周边设置挡墙+防尘网），堆高≤2m，用于后期绿化恢复，避免生土裸露导致肥力流失。</w:t>
            </w:r>
          </w:p>
          <w:p w14:paraId="64087DC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kern w:val="0"/>
                <w:sz w:val="21"/>
                <w:szCs w:val="21"/>
                <w:highlight w:val="none"/>
                <w:lang w:val="en-US" w:eastAsia="zh-CN" w:bidi="ar"/>
              </w:rPr>
              <w:t>场地平整、管沟开挖等产生的边坡（坡度＞15°）采用三维植被网喷播或浆砌片石护坡，防止雨水冲刷；临时堆土场周边开挖截水沟（深0.5m、宽0.4m），下游设沉沙池（容积≥5m³），拦截泥沙后清水排入园区雨水管网。</w:t>
            </w:r>
          </w:p>
          <w:p w14:paraId="62C4FAC5">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（4）施工结束后，所有施工区域应通过硬化和绿化措施加强地面覆盖，减少土地裸露面积，减缓水土流失。</w:t>
            </w:r>
          </w:p>
          <w:p w14:paraId="492FAB65">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2" w:firstLineChars="200"/>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.施工期废气</w:t>
            </w:r>
          </w:p>
          <w:p w14:paraId="352781EF">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2" w:firstLineChars="200"/>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扬尘</w:t>
            </w:r>
          </w:p>
          <w:p w14:paraId="6FE17BE3">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（1）督促施工单位编制建设工程施工扬尘污染防治专项方案，并落实各项扬尘污染防治措施。</w:t>
            </w:r>
          </w:p>
          <w:p w14:paraId="58CB4354">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（2）建立扬尘污染防治公示制度，在施工现场出入口将工程概况、扬尘污染防治措施等信息向社会公示。</w:t>
            </w:r>
          </w:p>
          <w:p w14:paraId="41BB6BC5">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（3）施工现场实行围挡封闭，采取洒水、覆盖、遮盖等降尘措施，出入口、主要道路、加工区等采取硬化处理措施。</w:t>
            </w:r>
          </w:p>
          <w:p w14:paraId="4B64B35F">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（4）针对产生扬尘的区域均匀设置喷雾、喷淋降尘设施，确保喷雾能有效覆盖</w:t>
            </w:r>
            <w:r>
              <w:rPr>
                <w:rFonts w:hint="eastAsia" w:ascii="Times New Roman" w:hAnsi="Times New Roman" w:eastAsia="宋体" w:cs="Times New Roman"/>
                <w:color w:val="auto"/>
                <w:sz w:val="21"/>
                <w:szCs w:val="21"/>
                <w:highlight w:val="none"/>
                <w:lang w:val="en-US" w:eastAsia="zh-CN"/>
              </w:rPr>
              <w:t>扬</w:t>
            </w:r>
            <w:r>
              <w:rPr>
                <w:rFonts w:hint="default" w:ascii="Times New Roman" w:hAnsi="Times New Roman" w:eastAsia="宋体" w:cs="Times New Roman"/>
                <w:color w:val="auto"/>
                <w:sz w:val="21"/>
                <w:szCs w:val="21"/>
                <w:highlight w:val="none"/>
              </w:rPr>
              <w:t>尘区域；在干燥及污染天气等</w:t>
            </w:r>
            <w:r>
              <w:rPr>
                <w:rFonts w:hint="eastAsia" w:ascii="Times New Roman" w:hAnsi="Times New Roman" w:eastAsia="宋体" w:cs="Times New Roman"/>
                <w:color w:val="auto"/>
                <w:sz w:val="21"/>
                <w:szCs w:val="21"/>
                <w:highlight w:val="none"/>
                <w:lang w:val="en-US" w:eastAsia="zh-CN"/>
              </w:rPr>
              <w:t>情况下</w:t>
            </w:r>
            <w:r>
              <w:rPr>
                <w:rFonts w:hint="default" w:ascii="Times New Roman" w:hAnsi="Times New Roman" w:eastAsia="宋体" w:cs="Times New Roman"/>
                <w:color w:val="auto"/>
                <w:sz w:val="21"/>
                <w:szCs w:val="21"/>
                <w:highlight w:val="none"/>
              </w:rPr>
              <w:t>增加洒水、喷雾次数。</w:t>
            </w:r>
          </w:p>
          <w:p w14:paraId="5CF91482">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建筑土方开挖后应当尽快回填，不能及时回填的应采取覆盖或者固化等措施；对施工现场进行科学管理，石灰粉、砂石、建筑土方等易扬尘材料应当集中分类堆放，设置围挡，并采取覆盖、喷淋、洒水等防尘措施。</w:t>
            </w:r>
          </w:p>
          <w:p w14:paraId="0BC9005C">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汽车运输砂石料等进场时，对易起尘的物料进行苫盖；建筑土方、建筑垃圾、工程渣土等散装物料以及灰浆等流体物料运输应当由具备相应资质的运输企业承担，运输车辆应当经车辆法定检测机构检测合格有效；运输作业时应当确保车辆封闭严密，不得超载、超高、超宽或者撒漏，且应当按规定的时间、线路等要求，清运到指定场所处理；运输车辆出厂前清洗车辆上的尘土。</w:t>
            </w:r>
          </w:p>
          <w:p w14:paraId="710CE302">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在无雨季节，当风力较大时，施工现场表层1~1.5cm的浮土可能扬起，经类比调查可知，在不采取措施的情况下，扬尘的影响范围可超过施工现场边缘以外50~100m。</w:t>
            </w:r>
          </w:p>
          <w:p w14:paraId="2F31A59D">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bCs/>
                <w:color w:val="auto"/>
                <w:kern w:val="2"/>
                <w:sz w:val="21"/>
                <w:szCs w:val="21"/>
                <w:highlight w:val="none"/>
              </w:rPr>
            </w:pPr>
            <w:r>
              <w:rPr>
                <w:rFonts w:hint="default" w:ascii="Times New Roman" w:hAnsi="Times New Roman" w:eastAsia="宋体" w:cs="Times New Roman"/>
                <w:color w:val="auto"/>
                <w:sz w:val="21"/>
                <w:szCs w:val="21"/>
                <w:highlight w:val="none"/>
              </w:rPr>
              <w:t>采用洒水等措施后，扬尘的影响可控制在施工现场边缘50m范围内。厂址施工场地距离最近的环境敏感点较远，产生的施工扬尘不会对居民生活产生影响。</w:t>
            </w:r>
          </w:p>
          <w:p w14:paraId="591B5C5F">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2" w:firstLineChars="200"/>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施工作业废气</w:t>
            </w:r>
          </w:p>
          <w:p w14:paraId="4235B33C">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期间加强对施工机械、车辆的维修保养，运输车辆禁止超载运行，提倡使用高清洁度燃料，不得使用劣质燃料，控制尾气污染。根据类比调查，在一般的情况下，距离施工现场150m处一氧化碳、氮氧化物等污染物的浓度均能满足《环境空气质量标准》（GB3095-2012）二级标准</w:t>
            </w:r>
            <w:r>
              <w:rPr>
                <w:rFonts w:hint="eastAsia"/>
                <w:color w:val="auto"/>
                <w:sz w:val="21"/>
                <w:szCs w:val="21"/>
                <w:highlight w:val="none"/>
                <w:lang w:val="en-US" w:eastAsia="zh-CN"/>
              </w:rPr>
              <w:t>及修改单</w:t>
            </w:r>
            <w:r>
              <w:rPr>
                <w:rFonts w:hint="default" w:ascii="Times New Roman" w:hAnsi="Times New Roman" w:eastAsia="宋体" w:cs="Times New Roman"/>
                <w:color w:val="auto"/>
                <w:sz w:val="21"/>
                <w:szCs w:val="21"/>
                <w:highlight w:val="none"/>
              </w:rPr>
              <w:t>要求。污染范围多集中在厂址内及周边区域，当施工结束后，该影响将随之消失。由于施工场地远离居民区，因此不会对周边区域的居民生活环境产生明显影响。</w:t>
            </w:r>
          </w:p>
          <w:p w14:paraId="0747E613">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2" w:firstLineChars="200"/>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焊接烟气</w:t>
            </w:r>
          </w:p>
          <w:p w14:paraId="0D87B52D">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eastAsia="宋体" w:cs="Times New Roman"/>
                <w:bCs/>
                <w:color w:val="auto"/>
                <w:kern w:val="2"/>
                <w:sz w:val="21"/>
                <w:szCs w:val="21"/>
                <w:highlight w:val="none"/>
              </w:rPr>
            </w:pPr>
            <w:r>
              <w:rPr>
                <w:rFonts w:hint="default" w:ascii="Times New Roman" w:hAnsi="Times New Roman" w:eastAsia="宋体" w:cs="Times New Roman"/>
                <w:color w:val="auto"/>
                <w:sz w:val="21"/>
                <w:szCs w:val="21"/>
                <w:highlight w:val="none"/>
              </w:rPr>
              <w:t>本项目施工期间焊接烟气出现在设备、管道及钢结构安装过程，焊接点分散在</w:t>
            </w:r>
            <w:r>
              <w:rPr>
                <w:rFonts w:hint="eastAsia" w:ascii="Times New Roman" w:hAnsi="Times New Roman" w:eastAsia="宋体" w:cs="Times New Roman"/>
                <w:color w:val="auto"/>
                <w:sz w:val="21"/>
                <w:szCs w:val="21"/>
                <w:highlight w:val="none"/>
                <w:lang w:val="en-US" w:eastAsia="zh-CN"/>
              </w:rPr>
              <w:t>施工区</w:t>
            </w:r>
            <w:r>
              <w:rPr>
                <w:rFonts w:hint="default" w:ascii="Times New Roman" w:hAnsi="Times New Roman" w:eastAsia="宋体" w:cs="Times New Roman"/>
                <w:color w:val="auto"/>
                <w:sz w:val="21"/>
                <w:szCs w:val="21"/>
                <w:highlight w:val="none"/>
              </w:rPr>
              <w:t>内。项目设备和管道尽量采用法兰连接，减少焊接施工；施工作业应合理选择焊接作业方式，减少焊接烟尘的产生量，尽量减少焊接烟尘对周围环境空气的影响。 焊接烟气属于间断的无组织排放，产生的烟尘自重较大，影响范围集中在作业现场附近。当施工结束后，该影响将随之消失，因此施工期间的焊接烟尘属于短期影响， 焊接烟气产生点较为分散，且为露天操作，对周围环境的影响不大。</w:t>
            </w:r>
          </w:p>
          <w:p w14:paraId="2EC204B5">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2" w:firstLineChars="200"/>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rPr>
              <w:t>施工期废水</w:t>
            </w:r>
          </w:p>
          <w:p w14:paraId="5D55446A">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施工期废水包括运输车辆轮胎冲洗废水和管道试压冲洗废水。管道</w:t>
            </w:r>
            <w:r>
              <w:rPr>
                <w:rFonts w:hint="default" w:ascii="Times New Roman" w:hAnsi="Times New Roman" w:eastAsia="宋体" w:cs="Times New Roman"/>
                <w:color w:val="auto"/>
                <w:sz w:val="21"/>
                <w:szCs w:val="21"/>
                <w:highlight w:val="none"/>
              </w:rPr>
              <w:t>内产生的试压清洗废水含少量铁锈、泥沙等，</w:t>
            </w:r>
            <w:r>
              <w:rPr>
                <w:rFonts w:hint="eastAsia" w:ascii="Times New Roman" w:hAnsi="Times New Roman" w:eastAsia="宋体" w:cs="Times New Roman"/>
                <w:color w:val="auto"/>
                <w:sz w:val="21"/>
                <w:szCs w:val="21"/>
                <w:highlight w:val="none"/>
                <w:lang w:val="en-US" w:eastAsia="zh-CN"/>
              </w:rPr>
              <w:t>车辆轮胎冲洗废水含有较多的泥沙。通过设置临时沉淀池对试压清洗废水和车辆轮胎冲洗废水进行收集沉淀，沉淀后</w:t>
            </w:r>
            <w:r>
              <w:rPr>
                <w:rFonts w:hint="default" w:ascii="Times New Roman" w:hAnsi="Times New Roman" w:eastAsia="宋体" w:cs="Times New Roman"/>
                <w:color w:val="auto"/>
                <w:sz w:val="21"/>
                <w:szCs w:val="21"/>
                <w:highlight w:val="none"/>
              </w:rPr>
              <w:t>用于</w:t>
            </w:r>
            <w:r>
              <w:rPr>
                <w:rFonts w:hint="eastAsia" w:ascii="Times New Roman" w:hAnsi="Times New Roman" w:eastAsia="宋体" w:cs="Times New Roman"/>
                <w:color w:val="auto"/>
                <w:sz w:val="21"/>
                <w:szCs w:val="21"/>
                <w:highlight w:val="none"/>
                <w:lang w:val="en-US" w:eastAsia="zh-CN"/>
              </w:rPr>
              <w:t>施工</w:t>
            </w:r>
            <w:r>
              <w:rPr>
                <w:rFonts w:hint="default" w:ascii="Times New Roman" w:hAnsi="Times New Roman" w:eastAsia="宋体" w:cs="Times New Roman"/>
                <w:color w:val="auto"/>
                <w:sz w:val="21"/>
                <w:szCs w:val="21"/>
                <w:highlight w:val="none"/>
              </w:rPr>
              <w:t>场地内洒水降尘、绿化等。</w:t>
            </w:r>
          </w:p>
          <w:p w14:paraId="61EAF1BE">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cs="Times New Roman"/>
                <w:bCs/>
                <w:color w:val="auto"/>
                <w:kern w:val="2"/>
                <w:sz w:val="21"/>
                <w:szCs w:val="21"/>
                <w:highlight w:val="none"/>
              </w:rPr>
            </w:pPr>
            <w:r>
              <w:rPr>
                <w:rFonts w:hint="default" w:ascii="Times New Roman" w:hAnsi="Times New Roman" w:eastAsia="宋体" w:cs="Times New Roman"/>
                <w:color w:val="auto"/>
                <w:sz w:val="21"/>
                <w:szCs w:val="21"/>
                <w:highlight w:val="none"/>
              </w:rPr>
              <w:t>项目施工过程中会产生一定量的生活污水，主要污染物为COD、BOD</w:t>
            </w:r>
            <w:r>
              <w:rPr>
                <w:rFonts w:hint="default" w:ascii="Times New Roman" w:hAnsi="Times New Roman" w:eastAsia="宋体" w:cs="Times New Roman"/>
                <w:color w:val="auto"/>
                <w:sz w:val="21"/>
                <w:szCs w:val="21"/>
                <w:highlight w:val="none"/>
                <w:vertAlign w:val="subscript"/>
              </w:rPr>
              <w:t>5</w:t>
            </w:r>
            <w:r>
              <w:rPr>
                <w:rFonts w:hint="default" w:ascii="Times New Roman" w:hAnsi="Times New Roman" w:eastAsia="宋体" w:cs="Times New Roman"/>
                <w:color w:val="auto"/>
                <w:sz w:val="21"/>
                <w:szCs w:val="21"/>
                <w:highlight w:val="none"/>
              </w:rPr>
              <w:t>、氨氮等。施工现场设置移动厕所，现场施工人员产生的生活污水均排入移动厕所，定期清运</w:t>
            </w:r>
            <w:r>
              <w:rPr>
                <w:rFonts w:hint="eastAsia" w:ascii="Times New Roman" w:hAnsi="Times New Roman" w:eastAsia="宋体" w:cs="Times New Roman"/>
                <w:color w:val="auto"/>
                <w:sz w:val="21"/>
                <w:szCs w:val="21"/>
                <w:highlight w:val="none"/>
                <w:lang w:val="en-US" w:eastAsia="zh-CN"/>
              </w:rPr>
              <w:t>至园区生活污水处理厂</w:t>
            </w:r>
            <w:r>
              <w:rPr>
                <w:rFonts w:hint="default" w:ascii="Times New Roman" w:hAnsi="Times New Roman" w:eastAsia="宋体" w:cs="Times New Roman"/>
                <w:color w:val="auto"/>
                <w:sz w:val="21"/>
                <w:szCs w:val="21"/>
                <w:highlight w:val="none"/>
              </w:rPr>
              <w:t>处理。</w:t>
            </w:r>
          </w:p>
          <w:p w14:paraId="4D389AAB">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cs="Times New Roman"/>
                <w:bCs/>
                <w:color w:val="auto"/>
                <w:kern w:val="2"/>
                <w:sz w:val="21"/>
                <w:szCs w:val="21"/>
                <w:highlight w:val="none"/>
              </w:rPr>
            </w:pPr>
            <w:r>
              <w:rPr>
                <w:rFonts w:hint="eastAsia" w:ascii="Times New Roman" w:hAnsi="Times New Roman" w:eastAsia="宋体" w:cs="Times New Roman"/>
                <w:color w:val="auto"/>
                <w:sz w:val="21"/>
                <w:szCs w:val="21"/>
                <w:highlight w:val="none"/>
                <w:lang w:val="en-US" w:eastAsia="zh-CN"/>
              </w:rPr>
              <w:t>综上，</w:t>
            </w:r>
            <w:r>
              <w:rPr>
                <w:rFonts w:hint="default" w:ascii="Times New Roman" w:hAnsi="Times New Roman" w:eastAsia="宋体" w:cs="Times New Roman"/>
                <w:color w:val="auto"/>
                <w:sz w:val="21"/>
                <w:szCs w:val="21"/>
                <w:highlight w:val="none"/>
              </w:rPr>
              <w:t>施工期废水的污染防治措施目前较为成熟，在多数的施工中采用较为广泛，措施合理可行。</w:t>
            </w:r>
          </w:p>
          <w:p w14:paraId="74C7306C">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2" w:firstLineChars="200"/>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rPr>
              <w:t xml:space="preserve">施工期固体废物 </w:t>
            </w:r>
          </w:p>
          <w:p w14:paraId="52397845">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施工期间固体废物主要来自工程建设过程产生的建筑垃圾和施工人员的生活垃圾。针对不同固体废物在施工现场应采取定点临时堆放，分类收集，分类处理的防治措施。</w:t>
            </w:r>
          </w:p>
          <w:p w14:paraId="3DFF750B">
            <w:pPr>
              <w:pStyle w:val="7"/>
              <w:keepNext w:val="0"/>
              <w:keepLines w:val="0"/>
              <w:pageBreakBefore w:val="0"/>
              <w:widowControl/>
              <w:numPr>
                <w:ilvl w:val="0"/>
                <w:numId w:val="5"/>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建筑垃圾主要有</w:t>
            </w:r>
            <w:r>
              <w:rPr>
                <w:rFonts w:hint="eastAsia" w:ascii="Times New Roman" w:hAnsi="Times New Roman" w:eastAsia="宋体" w:cs="Times New Roman"/>
                <w:color w:val="auto"/>
                <w:sz w:val="21"/>
                <w:szCs w:val="21"/>
                <w:highlight w:val="none"/>
                <w:lang w:val="en-US" w:eastAsia="zh-CN"/>
              </w:rPr>
              <w:t>建筑施工及装修过程产生的施工废料以及临时沉淀池产生的污泥</w:t>
            </w:r>
            <w:r>
              <w:rPr>
                <w:rFonts w:hint="default" w:ascii="Times New Roman" w:hAnsi="Times New Roman" w:eastAsia="宋体" w:cs="Times New Roman"/>
                <w:color w:val="auto"/>
                <w:sz w:val="21"/>
                <w:szCs w:val="21"/>
                <w:highlight w:val="none"/>
              </w:rPr>
              <w:t>等</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施工废料中有利用价值的</w:t>
            </w:r>
            <w:r>
              <w:rPr>
                <w:rFonts w:hint="default" w:ascii="Times New Roman" w:hAnsi="Times New Roman" w:eastAsia="宋体" w:cs="Times New Roman"/>
                <w:color w:val="auto"/>
                <w:sz w:val="21"/>
                <w:szCs w:val="21"/>
                <w:highlight w:val="none"/>
              </w:rPr>
              <w:t>优先回收利用，无法回收或不具回收价值的送往</w:t>
            </w:r>
            <w:r>
              <w:rPr>
                <w:rFonts w:hint="eastAsia" w:ascii="Times New Roman" w:hAnsi="Times New Roman" w:eastAsia="宋体" w:cs="Times New Roman"/>
                <w:color w:val="auto"/>
                <w:sz w:val="21"/>
                <w:szCs w:val="21"/>
                <w:highlight w:val="none"/>
                <w:lang w:val="en-US" w:eastAsia="zh-CN"/>
              </w:rPr>
              <w:t>就近的</w:t>
            </w:r>
            <w:r>
              <w:rPr>
                <w:rFonts w:hint="default" w:ascii="Times New Roman" w:hAnsi="Times New Roman" w:eastAsia="宋体" w:cs="Times New Roman"/>
                <w:color w:val="auto"/>
                <w:sz w:val="21"/>
                <w:szCs w:val="21"/>
                <w:highlight w:val="none"/>
              </w:rPr>
              <w:t>建筑垃圾</w:t>
            </w:r>
            <w:r>
              <w:rPr>
                <w:rFonts w:hint="eastAsia" w:ascii="Times New Roman" w:hAnsi="Times New Roman" w:eastAsia="宋体" w:cs="Times New Roman"/>
                <w:color w:val="auto"/>
                <w:sz w:val="21"/>
                <w:szCs w:val="21"/>
                <w:highlight w:val="none"/>
                <w:lang w:val="en-US" w:eastAsia="zh-CN"/>
              </w:rPr>
              <w:t>填埋</w:t>
            </w:r>
            <w:r>
              <w:rPr>
                <w:rFonts w:hint="default" w:ascii="Times New Roman" w:hAnsi="Times New Roman" w:eastAsia="宋体" w:cs="Times New Roman"/>
                <w:color w:val="auto"/>
                <w:sz w:val="21"/>
                <w:szCs w:val="21"/>
                <w:highlight w:val="none"/>
              </w:rPr>
              <w:t>场进行处置</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临时沉淀池污泥自然风干后送就近的</w:t>
            </w:r>
            <w:r>
              <w:rPr>
                <w:rFonts w:hint="default" w:ascii="Times New Roman" w:hAnsi="Times New Roman" w:eastAsia="宋体" w:cs="Times New Roman"/>
                <w:color w:val="auto"/>
                <w:sz w:val="21"/>
                <w:szCs w:val="21"/>
                <w:highlight w:val="none"/>
              </w:rPr>
              <w:t>建筑垃圾</w:t>
            </w:r>
            <w:r>
              <w:rPr>
                <w:rFonts w:hint="eastAsia" w:ascii="Times New Roman" w:hAnsi="Times New Roman" w:eastAsia="宋体" w:cs="Times New Roman"/>
                <w:color w:val="auto"/>
                <w:sz w:val="21"/>
                <w:szCs w:val="21"/>
                <w:highlight w:val="none"/>
                <w:lang w:val="en-US" w:eastAsia="zh-CN"/>
              </w:rPr>
              <w:t>填埋</w:t>
            </w:r>
            <w:r>
              <w:rPr>
                <w:rFonts w:hint="default" w:ascii="Times New Roman" w:hAnsi="Times New Roman" w:eastAsia="宋体" w:cs="Times New Roman"/>
                <w:color w:val="auto"/>
                <w:sz w:val="21"/>
                <w:szCs w:val="21"/>
                <w:highlight w:val="none"/>
              </w:rPr>
              <w:t>场进行处置</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val="en-US" w:eastAsia="zh-CN"/>
              </w:rPr>
              <w:t>施工结束后拆除临时沉淀池，并对沉淀池位置进行硬化或绿化处理。</w:t>
            </w:r>
          </w:p>
          <w:p w14:paraId="1AF9F2B3">
            <w:pPr>
              <w:pStyle w:val="7"/>
              <w:keepNext w:val="0"/>
              <w:keepLines w:val="0"/>
              <w:pageBreakBefore w:val="0"/>
              <w:widowControl/>
              <w:numPr>
                <w:ilvl w:val="0"/>
                <w:numId w:val="5"/>
              </w:numPr>
              <w:kinsoku/>
              <w:wordWrap/>
              <w:overflowPunct/>
              <w:topLinePunct w:val="0"/>
              <w:autoSpaceDE/>
              <w:autoSpaceDN/>
              <w:bidi w:val="0"/>
              <w:adjustRightInd/>
              <w:snapToGrid w:val="0"/>
              <w:spacing w:before="0" w:after="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在施工现场设置垃圾收集箱，</w:t>
            </w:r>
            <w:r>
              <w:rPr>
                <w:rFonts w:hint="eastAsia" w:ascii="Times New Roman" w:hAnsi="Times New Roman" w:eastAsia="宋体" w:cs="Times New Roman"/>
                <w:color w:val="auto"/>
                <w:sz w:val="21"/>
                <w:szCs w:val="21"/>
                <w:highlight w:val="none"/>
                <w:lang w:val="en-US" w:eastAsia="zh-CN"/>
              </w:rPr>
              <w:t>生活垃圾</w:t>
            </w:r>
            <w:r>
              <w:rPr>
                <w:rFonts w:hint="default" w:ascii="Times New Roman" w:hAnsi="Times New Roman" w:eastAsia="宋体" w:cs="Times New Roman"/>
                <w:color w:val="auto"/>
                <w:sz w:val="21"/>
                <w:szCs w:val="21"/>
                <w:highlight w:val="none"/>
              </w:rPr>
              <w:t>要求分类收集，</w:t>
            </w:r>
            <w:r>
              <w:rPr>
                <w:rFonts w:hint="eastAsia" w:ascii="Times New Roman" w:hAnsi="Times New Roman" w:eastAsia="宋体" w:cs="Times New Roman"/>
                <w:color w:val="auto"/>
                <w:sz w:val="21"/>
                <w:szCs w:val="21"/>
                <w:highlight w:val="none"/>
                <w:lang w:val="en-US" w:eastAsia="zh-CN"/>
              </w:rPr>
              <w:t>定期送至就近的生活垃圾填埋场处置。</w:t>
            </w:r>
          </w:p>
          <w:p w14:paraId="7A0383C5">
            <w:pPr>
              <w:pStyle w:val="7"/>
              <w:keepNext w:val="0"/>
              <w:keepLines w:val="0"/>
              <w:pageBreakBefore w:val="0"/>
              <w:widowControl/>
              <w:numPr>
                <w:ilvl w:val="0"/>
                <w:numId w:val="5"/>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施工结束后，及时清理施工现场，拆除临时工棚等临时建筑物，</w:t>
            </w:r>
            <w:r>
              <w:rPr>
                <w:rFonts w:hint="eastAsia" w:ascii="Times New Roman" w:hAnsi="Times New Roman" w:eastAsia="宋体" w:cs="Times New Roman"/>
                <w:color w:val="auto"/>
                <w:sz w:val="21"/>
                <w:szCs w:val="21"/>
                <w:highlight w:val="none"/>
                <w:lang w:val="en-US" w:eastAsia="zh-CN"/>
              </w:rPr>
              <w:t>产生的建筑垃圾</w:t>
            </w:r>
            <w:r>
              <w:rPr>
                <w:rFonts w:hint="default" w:ascii="Times New Roman" w:hAnsi="Times New Roman" w:eastAsia="宋体" w:cs="Times New Roman"/>
                <w:color w:val="auto"/>
                <w:sz w:val="21"/>
                <w:szCs w:val="21"/>
                <w:highlight w:val="none"/>
              </w:rPr>
              <w:t>送往</w:t>
            </w:r>
            <w:r>
              <w:rPr>
                <w:rFonts w:hint="eastAsia" w:ascii="Times New Roman" w:hAnsi="Times New Roman" w:eastAsia="宋体" w:cs="Times New Roman"/>
                <w:color w:val="auto"/>
                <w:sz w:val="21"/>
                <w:szCs w:val="21"/>
                <w:highlight w:val="none"/>
                <w:lang w:val="en-US" w:eastAsia="zh-CN"/>
              </w:rPr>
              <w:t>就近的</w:t>
            </w:r>
            <w:r>
              <w:rPr>
                <w:rFonts w:hint="default" w:ascii="Times New Roman" w:hAnsi="Times New Roman" w:eastAsia="宋体" w:cs="Times New Roman"/>
                <w:color w:val="auto"/>
                <w:sz w:val="21"/>
                <w:szCs w:val="21"/>
                <w:highlight w:val="none"/>
              </w:rPr>
              <w:t>建筑垃圾</w:t>
            </w:r>
            <w:r>
              <w:rPr>
                <w:rFonts w:hint="eastAsia" w:ascii="Times New Roman" w:hAnsi="Times New Roman" w:eastAsia="宋体" w:cs="Times New Roman"/>
                <w:color w:val="auto"/>
                <w:sz w:val="21"/>
                <w:szCs w:val="21"/>
                <w:highlight w:val="none"/>
                <w:lang w:val="en-US" w:eastAsia="zh-CN"/>
              </w:rPr>
              <w:t>填埋</w:t>
            </w:r>
            <w:r>
              <w:rPr>
                <w:rFonts w:hint="default" w:ascii="Times New Roman" w:hAnsi="Times New Roman" w:eastAsia="宋体" w:cs="Times New Roman"/>
                <w:color w:val="auto"/>
                <w:sz w:val="21"/>
                <w:szCs w:val="21"/>
                <w:highlight w:val="none"/>
              </w:rPr>
              <w:t>场进行处置。</w:t>
            </w:r>
          </w:p>
          <w:p w14:paraId="6AA6E352">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hint="default" w:ascii="Times New Roman" w:hAnsi="Times New Roman" w:cs="Times New Roman"/>
                <w:bCs/>
                <w:color w:val="auto"/>
                <w:kern w:val="2"/>
                <w:sz w:val="21"/>
                <w:szCs w:val="21"/>
                <w:highlight w:val="none"/>
              </w:rPr>
            </w:pPr>
            <w:r>
              <w:rPr>
                <w:rFonts w:hint="default" w:ascii="Times New Roman" w:hAnsi="Times New Roman" w:eastAsia="宋体" w:cs="Times New Roman"/>
                <w:color w:val="auto"/>
                <w:sz w:val="21"/>
                <w:szCs w:val="21"/>
                <w:highlight w:val="none"/>
              </w:rPr>
              <w:t>实施以上环境保护措施后，施工期产生的固体废物均妥善处置，不会对周围环境产生不利影响。</w:t>
            </w:r>
          </w:p>
          <w:p w14:paraId="38E424C8">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2" w:firstLineChars="200"/>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rPr>
              <w:t>施工期噪声</w:t>
            </w:r>
          </w:p>
          <w:p w14:paraId="451A6787">
            <w:pPr>
              <w:pStyle w:val="7"/>
              <w:keepNext w:val="0"/>
              <w:keepLines w:val="0"/>
              <w:pageBreakBefore w:val="0"/>
              <w:widowControl/>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施工期的主要噪声源为各种施工机械所产生的噪声，噪声值相对较高，虽持续时间较短，但会对周围环境产生一定的影响，应加强管理措施，加强对施工人员的教育和管理，做到文明施工，将施工期间产生的噪声污染降低到最低程度。施工期采取的主要环境保护措施如下： </w:t>
            </w:r>
          </w:p>
          <w:p w14:paraId="696EBEC6">
            <w:pPr>
              <w:pStyle w:val="7"/>
              <w:keepNext w:val="0"/>
              <w:keepLines w:val="0"/>
              <w:pageBreakBefore w:val="0"/>
              <w:widowControl/>
              <w:numPr>
                <w:ilvl w:val="0"/>
                <w:numId w:val="6"/>
              </w:numPr>
              <w:kinsoku/>
              <w:wordWrap/>
              <w:overflowPunct/>
              <w:topLinePunct w:val="0"/>
              <w:autoSpaceDE/>
              <w:autoSpaceDN/>
              <w:bidi w:val="0"/>
              <w:adjustRightInd/>
              <w:snapToGrid w:val="0"/>
              <w:spacing w:before="0" w:after="0" w:line="360" w:lineRule="auto"/>
              <w:ind w:leftChars="0" w:right="0" w:firstLine="420" w:firstLineChars="200"/>
              <w:textAlignment w:val="auto"/>
              <w:rPr>
                <w:rFonts w:hint="default" w:ascii="Times New Roman" w:hAnsi="Times New Roman" w:cs="Times New Roman"/>
                <w:bCs/>
                <w:color w:val="auto"/>
                <w:kern w:val="2"/>
                <w:sz w:val="21"/>
                <w:szCs w:val="21"/>
                <w:highlight w:val="none"/>
              </w:rPr>
            </w:pPr>
            <w:r>
              <w:rPr>
                <w:rFonts w:hint="default" w:ascii="Times New Roman" w:hAnsi="Times New Roman" w:eastAsia="宋体" w:cs="Times New Roman"/>
                <w:color w:val="auto"/>
                <w:sz w:val="21"/>
                <w:szCs w:val="21"/>
                <w:highlight w:val="none"/>
              </w:rPr>
              <w:t xml:space="preserve">尽量采用低噪声设备，尽可能使用液压工具代替气压工具，减轻施工噪声源强。 </w:t>
            </w:r>
          </w:p>
          <w:p w14:paraId="0FE06C35">
            <w:pPr>
              <w:pStyle w:val="7"/>
              <w:keepNext w:val="0"/>
              <w:keepLines w:val="0"/>
              <w:pageBreakBefore w:val="0"/>
              <w:widowControl/>
              <w:numPr>
                <w:ilvl w:val="0"/>
                <w:numId w:val="6"/>
              </w:numPr>
              <w:kinsoku/>
              <w:wordWrap/>
              <w:overflowPunct/>
              <w:topLinePunct w:val="0"/>
              <w:autoSpaceDE/>
              <w:autoSpaceDN/>
              <w:bidi w:val="0"/>
              <w:adjustRightInd/>
              <w:snapToGrid w:val="0"/>
              <w:spacing w:before="0" w:after="0" w:line="360" w:lineRule="auto"/>
              <w:ind w:left="0" w:leftChars="0" w:right="0" w:righ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施工机械要注意保养、合理操作，尽量使机械噪声降低至最低水平。 </w:t>
            </w:r>
          </w:p>
          <w:p w14:paraId="68ADFB0D">
            <w:pPr>
              <w:pStyle w:val="7"/>
              <w:keepNext w:val="0"/>
              <w:keepLines w:val="0"/>
              <w:pageBreakBefore w:val="0"/>
              <w:widowControl/>
              <w:numPr>
                <w:ilvl w:val="0"/>
                <w:numId w:val="6"/>
              </w:numPr>
              <w:kinsoku/>
              <w:wordWrap/>
              <w:overflowPunct/>
              <w:topLinePunct w:val="0"/>
              <w:autoSpaceDE/>
              <w:autoSpaceDN/>
              <w:bidi w:val="0"/>
              <w:adjustRightInd/>
              <w:snapToGrid w:val="0"/>
              <w:spacing w:before="0" w:after="0" w:line="360" w:lineRule="auto"/>
              <w:ind w:left="0" w:leftChars="0" w:right="0" w:rightChars="0" w:firstLine="420" w:firstLineChars="200"/>
              <w:textAlignment w:val="auto"/>
              <w:rPr>
                <w:rFonts w:hint="default" w:ascii="Times New Roman" w:hAnsi="Times New Roman" w:cs="Times New Roman"/>
                <w:bCs/>
                <w:color w:val="auto"/>
                <w:kern w:val="2"/>
                <w:sz w:val="21"/>
                <w:szCs w:val="21"/>
                <w:highlight w:val="none"/>
              </w:rPr>
            </w:pPr>
            <w:r>
              <w:rPr>
                <w:rFonts w:hint="default" w:ascii="Times New Roman" w:hAnsi="Times New Roman" w:eastAsia="宋体" w:cs="Times New Roman"/>
                <w:color w:val="auto"/>
                <w:sz w:val="21"/>
                <w:szCs w:val="21"/>
                <w:highlight w:val="none"/>
              </w:rPr>
              <w:t>合理制定施工计划，严格控制和管理产生噪声的设备使用时间，尽量避免高噪声设备同时施工。</w:t>
            </w:r>
          </w:p>
          <w:p w14:paraId="6348D3E0">
            <w:pPr>
              <w:pStyle w:val="7"/>
              <w:keepNext w:val="0"/>
              <w:keepLines w:val="0"/>
              <w:pageBreakBefore w:val="0"/>
              <w:widowControl/>
              <w:numPr>
                <w:ilvl w:val="0"/>
                <w:numId w:val="6"/>
              </w:numPr>
              <w:kinsoku/>
              <w:wordWrap/>
              <w:overflowPunct/>
              <w:topLinePunct w:val="0"/>
              <w:autoSpaceDE/>
              <w:autoSpaceDN/>
              <w:bidi w:val="0"/>
              <w:adjustRightInd/>
              <w:snapToGrid w:val="0"/>
              <w:spacing w:before="0" w:after="0" w:line="360" w:lineRule="auto"/>
              <w:ind w:left="0" w:leftChars="0" w:right="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限定运输车速，降低运输过程中的噪声影响。 </w:t>
            </w:r>
          </w:p>
          <w:p w14:paraId="1271DD72">
            <w:pPr>
              <w:pStyle w:val="7"/>
              <w:keepNext w:val="0"/>
              <w:keepLines w:val="0"/>
              <w:pageBreakBefore w:val="0"/>
              <w:widowControl/>
              <w:numPr>
                <w:ilvl w:val="0"/>
                <w:numId w:val="6"/>
              </w:numPr>
              <w:kinsoku/>
              <w:wordWrap/>
              <w:overflowPunct/>
              <w:topLinePunct w:val="0"/>
              <w:autoSpaceDE/>
              <w:autoSpaceDN/>
              <w:bidi w:val="0"/>
              <w:adjustRightInd/>
              <w:snapToGrid w:val="0"/>
              <w:spacing w:before="0" w:after="0" w:line="360" w:lineRule="auto"/>
              <w:ind w:left="0" w:leftChars="0" w:right="0" w:firstLine="420" w:firstLineChars="200"/>
              <w:textAlignment w:val="auto"/>
              <w:rPr>
                <w:rFonts w:hint="default" w:ascii="Times New Roman" w:hAnsi="Times New Roman" w:cs="Times New Roman"/>
                <w:bCs/>
                <w:color w:val="auto"/>
                <w:kern w:val="2"/>
                <w:sz w:val="21"/>
                <w:szCs w:val="21"/>
                <w:highlight w:val="none"/>
              </w:rPr>
            </w:pPr>
            <w:r>
              <w:rPr>
                <w:rFonts w:ascii="宋体" w:hAnsi="宋体" w:eastAsia="宋体" w:cs="宋体"/>
                <w:b w:val="0"/>
                <w:bCs w:val="0"/>
                <w:color w:val="auto"/>
                <w:sz w:val="21"/>
                <w:szCs w:val="21"/>
                <w:highlight w:val="none"/>
              </w:rPr>
              <w:t>建立施工围挡等遮挡措施</w:t>
            </w:r>
            <w:r>
              <w:rPr>
                <w:rFonts w:hint="default" w:ascii="Times New Roman" w:hAnsi="Times New Roman" w:eastAsia="宋体" w:cs="Times New Roman"/>
                <w:color w:val="auto"/>
                <w:sz w:val="21"/>
                <w:szCs w:val="21"/>
                <w:highlight w:val="none"/>
              </w:rPr>
              <w:t>，减轻施工噪声对环境的影响。</w:t>
            </w:r>
          </w:p>
          <w:p w14:paraId="0C306624">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Chars="0" w:right="0" w:rightChars="0" w:firstLine="420" w:firstLineChars="200"/>
              <w:textAlignment w:val="auto"/>
              <w:rPr>
                <w:rFonts w:ascii="宋体" w:hAnsi="宋体" w:cs="宋体"/>
                <w:bCs/>
                <w:color w:val="auto"/>
                <w:spacing w:val="10"/>
                <w:szCs w:val="21"/>
                <w:highlight w:val="none"/>
              </w:rPr>
            </w:pPr>
            <w:r>
              <w:rPr>
                <w:rFonts w:hint="default" w:ascii="Times New Roman" w:hAnsi="Times New Roman" w:eastAsia="宋体" w:cs="Times New Roman"/>
                <w:color w:val="auto"/>
                <w:sz w:val="21"/>
                <w:szCs w:val="21"/>
                <w:highlight w:val="none"/>
              </w:rPr>
              <w:t>施工过程采取的环境保护措施是目前施工场所最经常采用的措施，具有一定的通用性和广泛性，措施合理可行</w:t>
            </w:r>
            <w:r>
              <w:rPr>
                <w:rFonts w:hint="default" w:ascii="Times New Roman" w:hAnsi="Times New Roman" w:eastAsia="宋体" w:cs="Times New Roman"/>
                <w:color w:val="auto"/>
                <w:sz w:val="21"/>
                <w:szCs w:val="21"/>
                <w:highlight w:val="none"/>
                <w:lang w:eastAsia="zh-CN"/>
              </w:rPr>
              <w:t>。</w:t>
            </w:r>
          </w:p>
        </w:tc>
      </w:tr>
      <w:tr w14:paraId="55C4B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noWrap w:val="0"/>
            <w:tcMar>
              <w:left w:w="28" w:type="dxa"/>
              <w:right w:w="28" w:type="dxa"/>
            </w:tcMar>
            <w:vAlign w:val="center"/>
          </w:tcPr>
          <w:p w14:paraId="68B6C290">
            <w:pPr>
              <w:adjustRightInd w:val="0"/>
              <w:snapToGrid w:val="0"/>
              <w:jc w:val="center"/>
              <w:rPr>
                <w:rFonts w:ascii="宋体" w:hAnsi="宋体" w:cs="宋体"/>
                <w:bCs/>
                <w:color w:val="auto"/>
                <w:spacing w:val="10"/>
                <w:szCs w:val="21"/>
                <w:highlight w:val="none"/>
              </w:rPr>
            </w:pPr>
            <w:r>
              <w:rPr>
                <w:rFonts w:hint="eastAsia" w:ascii="宋体" w:hAnsi="宋体" w:cs="宋体"/>
                <w:bCs/>
                <w:color w:val="auto"/>
                <w:spacing w:val="10"/>
                <w:szCs w:val="21"/>
                <w:highlight w:val="none"/>
              </w:rPr>
              <w:t>运营期生态环境保护措施</w:t>
            </w:r>
          </w:p>
        </w:tc>
        <w:tc>
          <w:tcPr>
            <w:tcW w:w="8457" w:type="dxa"/>
            <w:noWrap w:val="0"/>
            <w:vAlign w:val="top"/>
          </w:tcPr>
          <w:p w14:paraId="7C842E9D">
            <w:pPr>
              <w:pStyle w:val="8"/>
              <w:keepLines w:val="0"/>
              <w:pageBreakBefore w:val="0"/>
              <w:kinsoku/>
              <w:wordWrap/>
              <w:overflowPunct/>
              <w:topLinePunct w:val="0"/>
              <w:autoSpaceDE/>
              <w:autoSpaceDN/>
              <w:bidi w:val="0"/>
              <w:spacing w:after="0" w:line="360" w:lineRule="auto"/>
              <w:ind w:left="0" w:leftChars="0" w:firstLine="422" w:firstLineChars="200"/>
              <w:textAlignment w:val="auto"/>
              <w:rPr>
                <w:rFonts w:hint="eastAsia" w:eastAsia="宋体"/>
                <w:b/>
                <w:color w:val="auto"/>
                <w:sz w:val="21"/>
                <w:szCs w:val="21"/>
                <w:highlight w:val="none"/>
                <w:lang w:val="en-US" w:eastAsia="zh-CN"/>
              </w:rPr>
            </w:pPr>
            <w:r>
              <w:rPr>
                <w:b/>
                <w:color w:val="auto"/>
                <w:sz w:val="21"/>
                <w:szCs w:val="21"/>
                <w:highlight w:val="none"/>
              </w:rPr>
              <w:t>1、废气</w:t>
            </w:r>
            <w:r>
              <w:rPr>
                <w:rFonts w:hint="eastAsia"/>
                <w:b/>
                <w:color w:val="auto"/>
                <w:sz w:val="21"/>
                <w:szCs w:val="21"/>
                <w:highlight w:val="none"/>
                <w:lang w:val="en-US" w:eastAsia="zh-CN"/>
              </w:rPr>
              <w:t>防治措施</w:t>
            </w:r>
          </w:p>
          <w:p w14:paraId="261258BE">
            <w:pPr>
              <w:keepLines w:val="0"/>
              <w:pageBreakBefore w:val="0"/>
              <w:widowControl/>
              <w:kinsoku/>
              <w:wordWrap/>
              <w:overflowPunct/>
              <w:topLinePunct w:val="0"/>
              <w:autoSpaceDE/>
              <w:autoSpaceDN/>
              <w:bidi w:val="0"/>
              <w:spacing w:line="360" w:lineRule="auto"/>
              <w:ind w:firstLine="420" w:firstLineChars="200"/>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本项目为中试基地基础工程，自身不会排放废气污染物，然而基地危废库用于贮存后续中试项目产生的危废，可能产生废气排放；火炬系统用于处理中试项目事故状态下排放的驰放废气。</w:t>
            </w:r>
          </w:p>
          <w:p w14:paraId="4DA487D3">
            <w:pPr>
              <w:keepLines w:val="0"/>
              <w:pageBreakBefore w:val="0"/>
              <w:widowControl/>
              <w:kinsoku/>
              <w:wordWrap/>
              <w:overflowPunct/>
              <w:topLinePunct w:val="0"/>
              <w:autoSpaceDE/>
              <w:autoSpaceDN/>
              <w:bidi w:val="0"/>
              <w:spacing w:line="360" w:lineRule="auto"/>
              <w:ind w:firstLine="420" w:firstLineChars="200"/>
              <w:textAlignment w:val="auto"/>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（1）危废库废气</w:t>
            </w:r>
          </w:p>
          <w:p w14:paraId="272BFA29">
            <w:pPr>
              <w:keepLines w:val="0"/>
              <w:pageBreakBefore w:val="0"/>
              <w:widowControl/>
              <w:kinsoku/>
              <w:wordWrap/>
              <w:overflowPunct/>
              <w:topLinePunct w:val="0"/>
              <w:autoSpaceDE/>
              <w:autoSpaceDN/>
              <w:bidi w:val="0"/>
              <w:spacing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本项目建设的危废库用于贮存基地入驻中试项目产生的危险废物。中试项目主要为</w:t>
            </w:r>
            <w:r>
              <w:rPr>
                <w:rFonts w:hint="eastAsia" w:ascii="Times New Roman" w:hAnsi="Times New Roman" w:eastAsia="宋体" w:cs="Times New Roman"/>
                <w:b w:val="0"/>
                <w:bCs w:val="0"/>
                <w:color w:val="auto"/>
                <w:sz w:val="21"/>
                <w:szCs w:val="21"/>
                <w:highlight w:val="none"/>
                <w:lang w:val="en-US" w:eastAsia="zh-CN"/>
              </w:rPr>
              <w:t>现代</w:t>
            </w:r>
            <w:r>
              <w:rPr>
                <w:rFonts w:hint="default" w:ascii="Times New Roman" w:hAnsi="Times New Roman" w:eastAsia="宋体" w:cs="Times New Roman"/>
                <w:b w:val="0"/>
                <w:bCs w:val="0"/>
                <w:color w:val="auto"/>
                <w:sz w:val="21"/>
                <w:szCs w:val="21"/>
                <w:highlight w:val="none"/>
                <w:lang w:val="en-US" w:eastAsia="zh-CN"/>
              </w:rPr>
              <w:t>煤化工类中试生产线，</w:t>
            </w:r>
            <w:r>
              <w:rPr>
                <w:rFonts w:hint="eastAsia" w:ascii="Times New Roman" w:hAnsi="Times New Roman" w:eastAsia="宋体" w:cs="Times New Roman"/>
                <w:b w:val="0"/>
                <w:bCs w:val="0"/>
                <w:color w:val="auto"/>
                <w:sz w:val="21"/>
                <w:szCs w:val="21"/>
                <w:highlight w:val="none"/>
                <w:lang w:val="en-US" w:eastAsia="zh-CN"/>
              </w:rPr>
              <w:t>但由于具体中试项目未入驻，危废库实际贮存的危废种类、数量现在阶段无法确定，</w:t>
            </w:r>
            <w:r>
              <w:rPr>
                <w:rFonts w:hint="default" w:ascii="Times New Roman" w:hAnsi="Times New Roman" w:eastAsia="宋体" w:cs="Times New Roman"/>
                <w:b w:val="0"/>
                <w:bCs w:val="0"/>
                <w:color w:val="auto"/>
                <w:sz w:val="21"/>
                <w:szCs w:val="21"/>
                <w:highlight w:val="none"/>
                <w:lang w:val="en-US" w:eastAsia="zh-CN"/>
              </w:rPr>
              <w:t>其实际运行过程中可能产生的危险废物种类及数量将根据未来具体入驻项目的工艺路线、原料特性及实际运行情况确定。</w:t>
            </w:r>
            <w:r>
              <w:rPr>
                <w:rFonts w:hint="eastAsia" w:ascii="Times New Roman" w:hAnsi="Times New Roman" w:eastAsia="宋体" w:cs="Times New Roman"/>
                <w:b w:val="0"/>
                <w:bCs w:val="0"/>
                <w:color w:val="auto"/>
                <w:sz w:val="21"/>
                <w:szCs w:val="21"/>
                <w:highlight w:val="none"/>
                <w:lang w:val="en-US" w:eastAsia="zh-CN"/>
              </w:rPr>
              <w:t>本次环评要求届时实际产生的各类危废</w:t>
            </w:r>
            <w:r>
              <w:rPr>
                <w:rFonts w:hint="eastAsia" w:ascii="Times New Roman" w:hAnsi="Times New Roman" w:eastAsia="宋体" w:cs="Times New Roman"/>
                <w:color w:val="auto"/>
                <w:kern w:val="0"/>
                <w:sz w:val="21"/>
                <w:szCs w:val="21"/>
                <w:highlight w:val="none"/>
                <w:lang w:val="en-US" w:eastAsia="zh-CN" w:bidi="ar"/>
              </w:rPr>
              <w:t>应</w:t>
            </w:r>
            <w:r>
              <w:rPr>
                <w:rFonts w:ascii="宋体" w:hAnsi="宋体" w:eastAsia="宋体" w:cs="宋体"/>
                <w:color w:val="auto"/>
                <w:kern w:val="0"/>
                <w:sz w:val="21"/>
                <w:szCs w:val="21"/>
                <w:highlight w:val="none"/>
                <w:lang w:val="en-US" w:eastAsia="zh-CN" w:bidi="ar"/>
              </w:rPr>
              <w:t>根据其物理化学性质及相容性，选用合适的</w:t>
            </w:r>
            <w:r>
              <w:rPr>
                <w:rFonts w:hint="eastAsia" w:ascii="宋体" w:hAnsi="宋体" w:eastAsia="宋体" w:cs="宋体"/>
                <w:color w:val="auto"/>
                <w:kern w:val="0"/>
                <w:sz w:val="21"/>
                <w:szCs w:val="21"/>
                <w:highlight w:val="none"/>
                <w:lang w:val="en-US" w:eastAsia="zh-CN" w:bidi="ar"/>
              </w:rPr>
              <w:t>闭口</w:t>
            </w:r>
            <w:r>
              <w:rPr>
                <w:rFonts w:ascii="宋体" w:hAnsi="宋体" w:eastAsia="宋体" w:cs="宋体"/>
                <w:color w:val="auto"/>
                <w:kern w:val="0"/>
                <w:sz w:val="21"/>
                <w:szCs w:val="21"/>
                <w:highlight w:val="none"/>
                <w:lang w:val="en-US" w:eastAsia="zh-CN" w:bidi="ar"/>
              </w:rPr>
              <w:t>容器进行收集</w:t>
            </w:r>
            <w:r>
              <w:rPr>
                <w:rFonts w:hint="eastAsia" w:ascii="Times New Roman" w:hAnsi="Times New Roman" w:eastAsia="宋体" w:cs="Times New Roman"/>
                <w:color w:val="auto"/>
                <w:kern w:val="0"/>
                <w:sz w:val="21"/>
                <w:szCs w:val="21"/>
                <w:highlight w:val="none"/>
                <w:lang w:val="en-US" w:eastAsia="zh-CN" w:bidi="ar"/>
              </w:rPr>
              <w:t>，</w:t>
            </w:r>
            <w:r>
              <w:rPr>
                <w:rFonts w:hint="eastAsia" w:ascii="Times New Roman" w:hAnsi="Times New Roman" w:eastAsia="宋体" w:cs="Times New Roman"/>
                <w:b w:val="0"/>
                <w:bCs w:val="0"/>
                <w:color w:val="auto"/>
                <w:sz w:val="21"/>
                <w:szCs w:val="21"/>
                <w:highlight w:val="none"/>
                <w:lang w:val="en-US" w:eastAsia="zh-CN"/>
              </w:rPr>
              <w:t>并实施分区贮存，减少贮存时间等措施，减少可能的废气排放。</w:t>
            </w:r>
          </w:p>
          <w:p w14:paraId="5A55DBDA">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鉴于中试基地当前阶段中试项目具体类型及实施内容尚未最终确定，中试过程产生的危险废物种类、特性等关键信息暂无法明确，因此相关危废是否属于易产生粉尘、挥发性有机物（VOCs）、酸雾、有毒有害大气污染物或刺激性气味气体的特殊类别废物亦难以提前界定。基于此，本次环境影响评价工作中，危废贮存库</w:t>
            </w:r>
            <w:r>
              <w:rPr>
                <w:rFonts w:hint="eastAsia" w:ascii="Times New Roman" w:hAnsi="Times New Roman" w:cs="Times New Roman"/>
                <w:color w:val="auto"/>
                <w:sz w:val="21"/>
                <w:szCs w:val="21"/>
                <w:highlight w:val="none"/>
                <w:lang w:val="en-US" w:eastAsia="zh-CN"/>
              </w:rPr>
              <w:t>应</w:t>
            </w:r>
            <w:r>
              <w:rPr>
                <w:rFonts w:hint="default" w:ascii="Times New Roman" w:hAnsi="Times New Roman" w:cs="Times New Roman"/>
                <w:color w:val="auto"/>
                <w:sz w:val="21"/>
                <w:szCs w:val="21"/>
                <w:highlight w:val="none"/>
              </w:rPr>
              <w:t>严格按照《危险废物贮存污染控制标准》（GB18597-2023）的要求落实污染防治措施：一是对</w:t>
            </w:r>
            <w:r>
              <w:rPr>
                <w:rFonts w:hint="eastAsia" w:ascii="Times New Roman" w:hAnsi="Times New Roman" w:cs="Times New Roman"/>
                <w:color w:val="auto"/>
                <w:sz w:val="21"/>
                <w:szCs w:val="21"/>
                <w:highlight w:val="none"/>
                <w:lang w:val="en-US" w:eastAsia="zh-CN"/>
              </w:rPr>
              <w:t>贮存库地面、裙脚等</w:t>
            </w:r>
            <w:r>
              <w:rPr>
                <w:rFonts w:hint="default" w:ascii="Times New Roman" w:hAnsi="Times New Roman" w:cs="Times New Roman"/>
                <w:color w:val="auto"/>
                <w:sz w:val="21"/>
                <w:szCs w:val="21"/>
                <w:highlight w:val="none"/>
              </w:rPr>
              <w:t>进行全面防腐防渗处理，有效防范危废泄漏对土壤及地下水环境的影响；二是采用封闭式设计，最大限度减少危废贮存过程中无组织废气的散逸风险。同时，为应对后续中试项目落地后可能产生的特殊废气污染问题，在危废库功能布局中</w:t>
            </w:r>
            <w:r>
              <w:rPr>
                <w:rFonts w:hint="eastAsia" w:ascii="Times New Roman" w:hAnsi="Times New Roman" w:cs="Times New Roman"/>
                <w:color w:val="auto"/>
                <w:sz w:val="21"/>
                <w:szCs w:val="21"/>
                <w:highlight w:val="none"/>
                <w:lang w:val="en-US" w:eastAsia="zh-CN"/>
              </w:rPr>
              <w:t>应</w:t>
            </w:r>
            <w:r>
              <w:rPr>
                <w:rFonts w:hint="default" w:ascii="Times New Roman" w:hAnsi="Times New Roman" w:cs="Times New Roman"/>
                <w:color w:val="auto"/>
                <w:sz w:val="21"/>
                <w:szCs w:val="21"/>
                <w:highlight w:val="none"/>
              </w:rPr>
              <w:t>前瞻性预留废气收集与净化设施的安装空间及配套接口。</w:t>
            </w:r>
          </w:p>
          <w:p w14:paraId="25A79293">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后续待中试项目环评工作推进、危废属性明确后，若经识别确认涉及易产生粉尘、VOCs、酸雾、有毒有害大气污染物或刺激性气味气体的危险废物，将严格依据GB18597-2023标准要求，针对性增设负压收集系统以强化废气捕集效率，并配套建设适宜的气体净化设施（如活性炭吸附、喷淋吸收等），同步规范设置废气排气筒，确保贮存过程中产生的特征污染物得到有效处理与达标排放，切实保障区域大气环境质量安全。</w:t>
            </w:r>
          </w:p>
          <w:p w14:paraId="13B22B8E">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（2）火炬焚烧废气</w:t>
            </w:r>
          </w:p>
          <w:p w14:paraId="264B17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color w:val="auto"/>
                <w:highlight w:val="none"/>
                <w:lang w:val="en-US" w:eastAsia="zh-CN"/>
              </w:rPr>
            </w:pPr>
            <w:r>
              <w:rPr>
                <w:rFonts w:hint="eastAsia"/>
                <w:color w:val="auto"/>
                <w:highlight w:val="none"/>
                <w:lang w:val="en-US" w:eastAsia="zh-CN"/>
              </w:rPr>
              <w:t>本项目建设两套火炬，分别为烃类高热值火炬和烃类低热值火炬，两套火炬驰放气处理量分别为2000m</w:t>
            </w:r>
            <w:r>
              <w:rPr>
                <w:rFonts w:hint="eastAsia"/>
                <w:color w:val="auto"/>
                <w:highlight w:val="none"/>
                <w:vertAlign w:val="superscript"/>
                <w:lang w:val="en-US" w:eastAsia="zh-CN"/>
              </w:rPr>
              <w:t>3</w:t>
            </w:r>
            <w:r>
              <w:rPr>
                <w:rFonts w:hint="eastAsia"/>
                <w:color w:val="auto"/>
                <w:highlight w:val="none"/>
                <w:lang w:val="en-US" w:eastAsia="zh-CN"/>
              </w:rPr>
              <w:t>/h和7000m</w:t>
            </w:r>
            <w:r>
              <w:rPr>
                <w:rFonts w:hint="eastAsia"/>
                <w:color w:val="auto"/>
                <w:highlight w:val="none"/>
                <w:vertAlign w:val="superscript"/>
                <w:lang w:val="en-US" w:eastAsia="zh-CN"/>
              </w:rPr>
              <w:t>3</w:t>
            </w:r>
            <w:r>
              <w:rPr>
                <w:rFonts w:hint="eastAsia"/>
                <w:color w:val="auto"/>
                <w:highlight w:val="none"/>
                <w:lang w:val="en-US" w:eastAsia="zh-CN"/>
              </w:rPr>
              <w:t>/h。用于集中处理中试基地后续入驻中试项目事故状态下的驰放气。</w:t>
            </w:r>
          </w:p>
          <w:p w14:paraId="6195CB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color w:val="auto"/>
                <w:highlight w:val="none"/>
                <w:lang w:val="en-US" w:eastAsia="zh-CN"/>
              </w:rPr>
            </w:pPr>
            <w:r>
              <w:rPr>
                <w:rFonts w:hint="eastAsia"/>
                <w:color w:val="auto"/>
                <w:highlight w:val="none"/>
                <w:lang w:val="en-US" w:eastAsia="zh-CN"/>
              </w:rPr>
              <w:t>驰放气一般包括煤气化驰放气、甲醇合成驰放气、合成氨驰放气、低阶煤热解驰放气等，以上驰放气中污染物质包括CO、甲烷、氨、硫化物等，经火炬焚烧处理后，可显著减少以上污染物质的排放。</w:t>
            </w:r>
          </w:p>
          <w:p w14:paraId="6315BC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color w:val="auto"/>
                <w:highlight w:val="none"/>
                <w:lang w:val="en-US" w:eastAsia="zh-CN"/>
              </w:rPr>
            </w:pPr>
            <w:r>
              <w:rPr>
                <w:rFonts w:hint="eastAsia"/>
                <w:color w:val="auto"/>
                <w:highlight w:val="none"/>
                <w:lang w:val="en-US" w:eastAsia="zh-CN"/>
              </w:rPr>
              <w:t>本项目排放口设置情况见表5-1。</w:t>
            </w:r>
          </w:p>
          <w:p w14:paraId="13679C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b/>
                <w:bCs/>
                <w:color w:val="auto"/>
                <w:highlight w:val="none"/>
                <w:lang w:val="en-US" w:eastAsia="zh-CN"/>
              </w:rPr>
            </w:pPr>
            <w:r>
              <w:rPr>
                <w:rFonts w:hint="eastAsia"/>
                <w:b/>
                <w:bCs/>
                <w:color w:val="auto"/>
                <w:highlight w:val="none"/>
                <w:lang w:val="en-US" w:eastAsia="zh-CN"/>
              </w:rPr>
              <w:t>表5-1    本项目排放口设置情况一栏表</w:t>
            </w:r>
          </w:p>
          <w:tbl>
            <w:tblPr>
              <w:tblStyle w:val="24"/>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486"/>
              <w:gridCol w:w="975"/>
              <w:gridCol w:w="944"/>
              <w:gridCol w:w="779"/>
              <w:gridCol w:w="1181"/>
              <w:gridCol w:w="2375"/>
            </w:tblGrid>
            <w:tr w14:paraId="4BBC89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01" w:type="pct"/>
                  <w:gridSpan w:val="2"/>
                  <w:tcBorders>
                    <w:tl2br w:val="nil"/>
                    <w:tr2bl w:val="nil"/>
                  </w:tcBorders>
                  <w:noWrap w:val="0"/>
                  <w:vAlign w:val="center"/>
                </w:tcPr>
                <w:p w14:paraId="3FDADFA0">
                  <w:pP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排放口名称</w:t>
                  </w:r>
                </w:p>
              </w:tc>
              <w:tc>
                <w:tcPr>
                  <w:tcW w:w="592" w:type="pct"/>
                  <w:tcBorders>
                    <w:tl2br w:val="nil"/>
                    <w:tr2bl w:val="nil"/>
                  </w:tcBorders>
                  <w:noWrap w:val="0"/>
                  <w:vAlign w:val="center"/>
                </w:tcPr>
                <w:p w14:paraId="09F1027B">
                  <w:pPr>
                    <w:jc w:val="center"/>
                    <w:rPr>
                      <w:color w:val="auto"/>
                      <w:sz w:val="18"/>
                      <w:szCs w:val="18"/>
                      <w:highlight w:val="none"/>
                    </w:rPr>
                  </w:pPr>
                  <w:r>
                    <w:rPr>
                      <w:rFonts w:hint="eastAsia"/>
                      <w:color w:val="auto"/>
                      <w:sz w:val="18"/>
                      <w:szCs w:val="18"/>
                      <w:highlight w:val="none"/>
                    </w:rPr>
                    <w:t>类型</w:t>
                  </w:r>
                </w:p>
              </w:tc>
              <w:tc>
                <w:tcPr>
                  <w:tcW w:w="573" w:type="pct"/>
                  <w:tcBorders>
                    <w:tl2br w:val="nil"/>
                    <w:tr2bl w:val="nil"/>
                  </w:tcBorders>
                  <w:noWrap w:val="0"/>
                  <w:vAlign w:val="center"/>
                </w:tcPr>
                <w:p w14:paraId="30F0F2B1">
                  <w:pP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排放规律</w:t>
                  </w:r>
                </w:p>
              </w:tc>
              <w:tc>
                <w:tcPr>
                  <w:tcW w:w="473" w:type="pct"/>
                  <w:tcBorders>
                    <w:tl2br w:val="nil"/>
                    <w:tr2bl w:val="nil"/>
                  </w:tcBorders>
                  <w:noWrap w:val="0"/>
                  <w:vAlign w:val="center"/>
                </w:tcPr>
                <w:p w14:paraId="585494FB">
                  <w:pP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高度</w:t>
                  </w:r>
                </w:p>
              </w:tc>
              <w:tc>
                <w:tcPr>
                  <w:tcW w:w="717" w:type="pct"/>
                  <w:tcBorders>
                    <w:tl2br w:val="nil"/>
                    <w:tr2bl w:val="nil"/>
                  </w:tcBorders>
                  <w:noWrap w:val="0"/>
                  <w:vAlign w:val="center"/>
                </w:tcPr>
                <w:p w14:paraId="6D615164">
                  <w:pP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废气处理量</w:t>
                  </w:r>
                </w:p>
              </w:tc>
              <w:tc>
                <w:tcPr>
                  <w:tcW w:w="1442" w:type="pct"/>
                  <w:tcBorders>
                    <w:tl2br w:val="nil"/>
                    <w:tr2bl w:val="nil"/>
                  </w:tcBorders>
                  <w:noWrap w:val="0"/>
                  <w:vAlign w:val="center"/>
                </w:tcPr>
                <w:p w14:paraId="1E2E3549">
                  <w:pPr>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备注</w:t>
                  </w:r>
                </w:p>
              </w:tc>
            </w:tr>
            <w:tr w14:paraId="4C86A4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9" w:type="pct"/>
                  <w:vMerge w:val="restart"/>
                  <w:tcBorders>
                    <w:tl2br w:val="nil"/>
                    <w:tr2bl w:val="nil"/>
                  </w:tcBorders>
                  <w:noWrap w:val="0"/>
                  <w:vAlign w:val="center"/>
                </w:tcPr>
                <w:p w14:paraId="7A1B1A64">
                  <w:pPr>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火炬</w:t>
                  </w:r>
                </w:p>
              </w:tc>
              <w:tc>
                <w:tcPr>
                  <w:tcW w:w="901" w:type="pct"/>
                  <w:tcBorders>
                    <w:tl2br w:val="nil"/>
                    <w:tr2bl w:val="nil"/>
                  </w:tcBorders>
                  <w:noWrap w:val="0"/>
                  <w:vAlign w:val="center"/>
                </w:tcPr>
                <w:p w14:paraId="087A6ACE">
                  <w:pP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烃类高热值火炬</w:t>
                  </w:r>
                </w:p>
              </w:tc>
              <w:tc>
                <w:tcPr>
                  <w:tcW w:w="592" w:type="pct"/>
                  <w:vMerge w:val="restart"/>
                  <w:tcBorders>
                    <w:tl2br w:val="nil"/>
                    <w:tr2bl w:val="nil"/>
                  </w:tcBorders>
                  <w:noWrap w:val="0"/>
                  <w:vAlign w:val="center"/>
                </w:tcPr>
                <w:p w14:paraId="52FF2D8E">
                  <w:pPr>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特殊排放口</w:t>
                  </w:r>
                </w:p>
              </w:tc>
              <w:tc>
                <w:tcPr>
                  <w:tcW w:w="573" w:type="pct"/>
                  <w:vMerge w:val="restart"/>
                  <w:tcBorders>
                    <w:tl2br w:val="nil"/>
                    <w:tr2bl w:val="nil"/>
                  </w:tcBorders>
                  <w:noWrap w:val="0"/>
                  <w:vAlign w:val="center"/>
                </w:tcPr>
                <w:p w14:paraId="66DED0FC">
                  <w:pPr>
                    <w:jc w:val="center"/>
                    <w:rPr>
                      <w:rFonts w:hint="default"/>
                      <w:color w:val="auto"/>
                      <w:sz w:val="18"/>
                      <w:szCs w:val="18"/>
                      <w:highlight w:val="none"/>
                      <w:lang w:val="en-US" w:eastAsia="zh-CN"/>
                    </w:rPr>
                  </w:pPr>
                  <w:r>
                    <w:rPr>
                      <w:rFonts w:hint="eastAsia"/>
                      <w:color w:val="auto"/>
                      <w:sz w:val="18"/>
                      <w:szCs w:val="18"/>
                      <w:highlight w:val="none"/>
                      <w:lang w:val="en-US" w:eastAsia="zh-CN"/>
                    </w:rPr>
                    <w:t>间断</w:t>
                  </w:r>
                </w:p>
              </w:tc>
              <w:tc>
                <w:tcPr>
                  <w:tcW w:w="473" w:type="pct"/>
                  <w:vMerge w:val="restart"/>
                  <w:tcBorders>
                    <w:tl2br w:val="nil"/>
                    <w:tr2bl w:val="nil"/>
                  </w:tcBorders>
                  <w:noWrap w:val="0"/>
                  <w:vAlign w:val="center"/>
                </w:tcPr>
                <w:p w14:paraId="31DD417C">
                  <w:pP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20m</w:t>
                  </w:r>
                </w:p>
              </w:tc>
              <w:tc>
                <w:tcPr>
                  <w:tcW w:w="717" w:type="pct"/>
                  <w:tcBorders>
                    <w:tl2br w:val="nil"/>
                    <w:tr2bl w:val="nil"/>
                  </w:tcBorders>
                  <w:noWrap w:val="0"/>
                  <w:vAlign w:val="center"/>
                </w:tcPr>
                <w:p w14:paraId="639C8A6F">
                  <w:pP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2000m</w:t>
                  </w:r>
                  <w:r>
                    <w:rPr>
                      <w:rFonts w:hint="eastAsia"/>
                      <w:color w:val="auto"/>
                      <w:sz w:val="18"/>
                      <w:szCs w:val="18"/>
                      <w:highlight w:val="none"/>
                      <w:vertAlign w:val="superscript"/>
                      <w:lang w:val="en-US" w:eastAsia="zh-CN"/>
                    </w:rPr>
                    <w:t>3</w:t>
                  </w:r>
                  <w:r>
                    <w:rPr>
                      <w:rFonts w:hint="eastAsia"/>
                      <w:color w:val="auto"/>
                      <w:sz w:val="18"/>
                      <w:szCs w:val="18"/>
                      <w:highlight w:val="none"/>
                      <w:lang w:val="en-US" w:eastAsia="zh-CN"/>
                    </w:rPr>
                    <w:t>/h</w:t>
                  </w:r>
                </w:p>
              </w:tc>
              <w:tc>
                <w:tcPr>
                  <w:tcW w:w="1442" w:type="pct"/>
                  <w:vMerge w:val="restart"/>
                  <w:tcBorders>
                    <w:tl2br w:val="nil"/>
                    <w:tr2bl w:val="nil"/>
                  </w:tcBorders>
                  <w:noWrap w:val="0"/>
                  <w:vAlign w:val="center"/>
                </w:tcPr>
                <w:p w14:paraId="1A08D603">
                  <w:pPr>
                    <w:jc w:val="center"/>
                    <w:rPr>
                      <w:rFonts w:hint="default" w:eastAsia="宋体"/>
                      <w:color w:val="auto"/>
                      <w:sz w:val="18"/>
                      <w:szCs w:val="18"/>
                      <w:highlight w:val="none"/>
                      <w:lang w:val="en-US" w:eastAsia="zh-CN"/>
                    </w:rPr>
                  </w:pPr>
                  <w:r>
                    <w:rPr>
                      <w:rFonts w:hint="eastAsia" w:ascii="Times New Roman" w:hAnsi="Times New Roman" w:eastAsia="宋体" w:cs="Times New Roman"/>
                      <w:color w:val="auto"/>
                      <w:spacing w:val="0"/>
                      <w:sz w:val="18"/>
                      <w:szCs w:val="18"/>
                      <w:highlight w:val="none"/>
                      <w:lang w:val="en-US" w:eastAsia="zh-CN"/>
                    </w:rPr>
                    <w:t>两火炬共用一座塔架。用于处理中试基地入驻中试项目事故状态下的驰放气</w:t>
                  </w:r>
                </w:p>
              </w:tc>
            </w:tr>
            <w:tr w14:paraId="124C3C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9" w:type="pct"/>
                  <w:vMerge w:val="continue"/>
                  <w:tcBorders>
                    <w:tl2br w:val="nil"/>
                    <w:tr2bl w:val="nil"/>
                  </w:tcBorders>
                  <w:noWrap w:val="0"/>
                  <w:vAlign w:val="center"/>
                </w:tcPr>
                <w:p w14:paraId="404AFBA4">
                  <w:pPr>
                    <w:jc w:val="center"/>
                    <w:rPr>
                      <w:rFonts w:hint="eastAsia" w:eastAsia="宋体"/>
                      <w:color w:val="auto"/>
                      <w:sz w:val="18"/>
                      <w:szCs w:val="18"/>
                      <w:highlight w:val="none"/>
                      <w:lang w:val="en-US" w:eastAsia="zh-CN"/>
                    </w:rPr>
                  </w:pPr>
                </w:p>
              </w:tc>
              <w:tc>
                <w:tcPr>
                  <w:tcW w:w="901" w:type="pct"/>
                  <w:tcBorders>
                    <w:tl2br w:val="nil"/>
                    <w:tr2bl w:val="nil"/>
                  </w:tcBorders>
                  <w:noWrap w:val="0"/>
                  <w:vAlign w:val="center"/>
                </w:tcPr>
                <w:p w14:paraId="16192536">
                  <w:pP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烃类低热值火炬</w:t>
                  </w:r>
                </w:p>
              </w:tc>
              <w:tc>
                <w:tcPr>
                  <w:tcW w:w="592" w:type="pct"/>
                  <w:vMerge w:val="continue"/>
                  <w:tcBorders>
                    <w:tl2br w:val="nil"/>
                    <w:tr2bl w:val="nil"/>
                  </w:tcBorders>
                  <w:noWrap w:val="0"/>
                  <w:vAlign w:val="center"/>
                </w:tcPr>
                <w:p w14:paraId="7BB39485">
                  <w:pPr>
                    <w:jc w:val="center"/>
                    <w:rPr>
                      <w:rFonts w:hint="eastAsia" w:eastAsia="宋体"/>
                      <w:color w:val="auto"/>
                      <w:sz w:val="18"/>
                      <w:szCs w:val="18"/>
                      <w:highlight w:val="none"/>
                      <w:lang w:val="en-US" w:eastAsia="zh-CN"/>
                    </w:rPr>
                  </w:pPr>
                </w:p>
              </w:tc>
              <w:tc>
                <w:tcPr>
                  <w:tcW w:w="573" w:type="pct"/>
                  <w:vMerge w:val="continue"/>
                  <w:tcBorders>
                    <w:tl2br w:val="nil"/>
                    <w:tr2bl w:val="nil"/>
                  </w:tcBorders>
                  <w:noWrap w:val="0"/>
                  <w:vAlign w:val="center"/>
                </w:tcPr>
                <w:p w14:paraId="67B27D51">
                  <w:pPr>
                    <w:jc w:val="center"/>
                    <w:rPr>
                      <w:rFonts w:hint="eastAsia"/>
                      <w:color w:val="auto"/>
                      <w:sz w:val="18"/>
                      <w:szCs w:val="18"/>
                      <w:highlight w:val="none"/>
                      <w:lang w:val="en-US" w:eastAsia="zh-CN"/>
                    </w:rPr>
                  </w:pPr>
                </w:p>
              </w:tc>
              <w:tc>
                <w:tcPr>
                  <w:tcW w:w="473" w:type="pct"/>
                  <w:vMerge w:val="continue"/>
                  <w:tcBorders>
                    <w:tl2br w:val="nil"/>
                    <w:tr2bl w:val="nil"/>
                  </w:tcBorders>
                  <w:noWrap w:val="0"/>
                  <w:vAlign w:val="center"/>
                </w:tcPr>
                <w:p w14:paraId="41B1960F">
                  <w:pPr>
                    <w:jc w:val="center"/>
                    <w:rPr>
                      <w:rFonts w:hint="eastAsia"/>
                      <w:color w:val="auto"/>
                      <w:sz w:val="18"/>
                      <w:szCs w:val="18"/>
                      <w:highlight w:val="none"/>
                      <w:lang w:val="en-US" w:eastAsia="zh-CN"/>
                    </w:rPr>
                  </w:pPr>
                </w:p>
              </w:tc>
              <w:tc>
                <w:tcPr>
                  <w:tcW w:w="717" w:type="pct"/>
                  <w:tcBorders>
                    <w:tl2br w:val="nil"/>
                    <w:tr2bl w:val="nil"/>
                  </w:tcBorders>
                  <w:noWrap w:val="0"/>
                  <w:vAlign w:val="center"/>
                </w:tcPr>
                <w:p w14:paraId="0B9C511C">
                  <w:pPr>
                    <w:jc w:val="center"/>
                    <w:rPr>
                      <w:color w:val="auto"/>
                      <w:sz w:val="18"/>
                      <w:szCs w:val="18"/>
                      <w:highlight w:val="none"/>
                    </w:rPr>
                  </w:pPr>
                  <w:r>
                    <w:rPr>
                      <w:rFonts w:hint="eastAsia"/>
                      <w:color w:val="auto"/>
                      <w:sz w:val="18"/>
                      <w:szCs w:val="18"/>
                      <w:highlight w:val="none"/>
                      <w:lang w:val="en-US" w:eastAsia="zh-CN"/>
                    </w:rPr>
                    <w:t>7000m</w:t>
                  </w:r>
                  <w:r>
                    <w:rPr>
                      <w:rFonts w:hint="eastAsia"/>
                      <w:color w:val="auto"/>
                      <w:sz w:val="18"/>
                      <w:szCs w:val="18"/>
                      <w:highlight w:val="none"/>
                      <w:vertAlign w:val="superscript"/>
                      <w:lang w:val="en-US" w:eastAsia="zh-CN"/>
                    </w:rPr>
                    <w:t>3</w:t>
                  </w:r>
                  <w:r>
                    <w:rPr>
                      <w:rFonts w:hint="eastAsia"/>
                      <w:color w:val="auto"/>
                      <w:sz w:val="18"/>
                      <w:szCs w:val="18"/>
                      <w:highlight w:val="none"/>
                      <w:lang w:val="en-US" w:eastAsia="zh-CN"/>
                    </w:rPr>
                    <w:t>/h</w:t>
                  </w:r>
                </w:p>
              </w:tc>
              <w:tc>
                <w:tcPr>
                  <w:tcW w:w="1442" w:type="pct"/>
                  <w:vMerge w:val="continue"/>
                  <w:tcBorders>
                    <w:tl2br w:val="nil"/>
                    <w:tr2bl w:val="nil"/>
                  </w:tcBorders>
                  <w:noWrap w:val="0"/>
                  <w:vAlign w:val="center"/>
                </w:tcPr>
                <w:p w14:paraId="38C89914">
                  <w:pPr>
                    <w:jc w:val="center"/>
                    <w:rPr>
                      <w:rFonts w:hint="eastAsia" w:ascii="Times New Roman" w:hAnsi="Times New Roman" w:eastAsia="宋体" w:cs="Times New Roman"/>
                      <w:color w:val="auto"/>
                      <w:spacing w:val="0"/>
                      <w:sz w:val="18"/>
                      <w:szCs w:val="18"/>
                      <w:highlight w:val="none"/>
                      <w:lang w:val="en-US" w:eastAsia="zh-CN"/>
                    </w:rPr>
                  </w:pPr>
                </w:p>
              </w:tc>
            </w:tr>
          </w:tbl>
          <w:p w14:paraId="4556750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color w:val="auto"/>
                <w:highlight w:val="none"/>
                <w:lang w:val="en-US" w:eastAsia="zh-CN"/>
              </w:rPr>
            </w:pPr>
            <w:r>
              <w:rPr>
                <w:rFonts w:hint="eastAsia"/>
                <w:color w:val="auto"/>
                <w:highlight w:val="none"/>
                <w:lang w:val="en-US" w:eastAsia="zh-CN"/>
              </w:rPr>
              <w:t>环境监测</w:t>
            </w:r>
          </w:p>
          <w:p w14:paraId="3E229A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color w:val="auto"/>
                <w:highlight w:val="none"/>
                <w:lang w:val="en-US" w:eastAsia="zh-CN"/>
              </w:rPr>
            </w:pPr>
            <w:r>
              <w:rPr>
                <w:rFonts w:hint="eastAsia"/>
                <w:color w:val="auto"/>
                <w:highlight w:val="none"/>
                <w:lang w:val="en-US" w:eastAsia="zh-CN"/>
              </w:rPr>
              <w:t>本项目为中试基地基础设施建设工程，本身无废气排放。后续实际入驻的中试项目根据其产生的特征污染物及对应环评监测方案要求开展自行监测，本次环评不做要求。</w:t>
            </w:r>
          </w:p>
          <w:p w14:paraId="372C2FBE">
            <w:pPr>
              <w:keepLines w:val="0"/>
              <w:pageBreakBefore w:val="0"/>
              <w:kinsoku/>
              <w:wordWrap/>
              <w:overflowPunct/>
              <w:topLinePunct w:val="0"/>
              <w:autoSpaceDE/>
              <w:autoSpaceDN/>
              <w:bidi w:val="0"/>
              <w:adjustRightInd w:val="0"/>
              <w:snapToGrid w:val="0"/>
              <w:spacing w:line="360" w:lineRule="auto"/>
              <w:ind w:firstLine="422" w:firstLineChars="200"/>
              <w:textAlignment w:val="auto"/>
              <w:rPr>
                <w:rFonts w:hint="eastAsia" w:eastAsia="宋体"/>
                <w:b/>
                <w:bCs/>
                <w:color w:val="auto"/>
                <w:kern w:val="21"/>
                <w:sz w:val="21"/>
                <w:szCs w:val="21"/>
                <w:highlight w:val="none"/>
                <w:lang w:val="en-US" w:eastAsia="zh-CN"/>
              </w:rPr>
            </w:pPr>
            <w:r>
              <w:rPr>
                <w:b/>
                <w:bCs/>
                <w:color w:val="auto"/>
                <w:kern w:val="21"/>
                <w:sz w:val="21"/>
                <w:szCs w:val="21"/>
                <w:highlight w:val="none"/>
              </w:rPr>
              <w:t>2、废水</w:t>
            </w:r>
            <w:r>
              <w:rPr>
                <w:rFonts w:hint="eastAsia"/>
                <w:b/>
                <w:bCs/>
                <w:color w:val="auto"/>
                <w:kern w:val="21"/>
                <w:sz w:val="21"/>
                <w:szCs w:val="21"/>
                <w:highlight w:val="none"/>
                <w:lang w:val="en-US" w:eastAsia="zh-CN"/>
              </w:rPr>
              <w:t>防治措施</w:t>
            </w:r>
          </w:p>
          <w:p w14:paraId="13A1E3A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b w:val="0"/>
                <w:bCs/>
                <w:color w:val="auto"/>
                <w:sz w:val="21"/>
                <w:szCs w:val="21"/>
                <w:highlight w:val="none"/>
                <w:lang w:val="en-US" w:eastAsia="zh-CN"/>
              </w:rPr>
            </w:pPr>
            <w:r>
              <w:rPr>
                <w:rFonts w:hint="eastAsia"/>
                <w:b w:val="0"/>
                <w:bCs/>
                <w:color w:val="auto"/>
                <w:sz w:val="21"/>
                <w:szCs w:val="21"/>
                <w:highlight w:val="none"/>
                <w:lang w:val="en-US" w:eastAsia="zh-CN"/>
              </w:rPr>
              <w:t>本项目为中试基地基础设施建设工程，运营期废水包括生活污水、循环水站废水和火炬系统废水。</w:t>
            </w:r>
          </w:p>
          <w:p w14:paraId="06E68F8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b w:val="0"/>
                <w:bCs/>
                <w:color w:val="auto"/>
                <w:sz w:val="21"/>
                <w:szCs w:val="21"/>
                <w:highlight w:val="none"/>
                <w:lang w:val="en-US" w:eastAsia="zh-CN"/>
              </w:rPr>
            </w:pPr>
            <w:r>
              <w:rPr>
                <w:rFonts w:hint="eastAsia"/>
                <w:b w:val="0"/>
                <w:bCs/>
                <w:color w:val="auto"/>
                <w:sz w:val="21"/>
                <w:szCs w:val="21"/>
                <w:highlight w:val="none"/>
                <w:lang w:val="en-US" w:eastAsia="zh-CN"/>
              </w:rPr>
              <w:t>（1）处理措施</w:t>
            </w:r>
          </w:p>
          <w:p w14:paraId="2332BE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eastAsia="宋体"/>
                <w:b w:val="0"/>
                <w:bCs/>
                <w:color w:val="auto"/>
                <w:sz w:val="21"/>
                <w:szCs w:val="21"/>
                <w:highlight w:val="none"/>
                <w:lang w:val="en-US" w:eastAsia="zh-CN"/>
              </w:rPr>
            </w:pPr>
            <w:r>
              <w:rPr>
                <w:rFonts w:hint="eastAsia"/>
                <w:b w:val="0"/>
                <w:bCs/>
                <w:color w:val="auto"/>
                <w:sz w:val="21"/>
                <w:szCs w:val="21"/>
                <w:highlight w:val="none"/>
                <w:lang w:val="en-US" w:eastAsia="zh-CN"/>
              </w:rPr>
              <w:fldChar w:fldCharType="begin"/>
            </w:r>
            <w:r>
              <w:rPr>
                <w:rFonts w:hint="eastAsia"/>
                <w:b w:val="0"/>
                <w:bCs/>
                <w:color w:val="auto"/>
                <w:sz w:val="21"/>
                <w:szCs w:val="21"/>
                <w:highlight w:val="none"/>
                <w:lang w:val="en-US" w:eastAsia="zh-CN"/>
              </w:rPr>
              <w:instrText xml:space="preserve"> = 1 \* GB3 \* MERGEFORMAT </w:instrText>
            </w:r>
            <w:r>
              <w:rPr>
                <w:rFonts w:hint="eastAsia"/>
                <w:b w:val="0"/>
                <w:bCs/>
                <w:color w:val="auto"/>
                <w:sz w:val="21"/>
                <w:szCs w:val="21"/>
                <w:highlight w:val="none"/>
                <w:lang w:val="en-US" w:eastAsia="zh-CN"/>
              </w:rPr>
              <w:fldChar w:fldCharType="separate"/>
            </w:r>
            <w:r>
              <w:rPr>
                <w:color w:val="auto"/>
                <w:highlight w:val="none"/>
              </w:rPr>
              <w:t>①</w:t>
            </w:r>
            <w:r>
              <w:rPr>
                <w:rFonts w:hint="eastAsia"/>
                <w:b w:val="0"/>
                <w:bCs/>
                <w:color w:val="auto"/>
                <w:sz w:val="21"/>
                <w:szCs w:val="21"/>
                <w:highlight w:val="none"/>
                <w:lang w:val="en-US" w:eastAsia="zh-CN"/>
              </w:rPr>
              <w:fldChar w:fldCharType="end"/>
            </w:r>
            <w:r>
              <w:rPr>
                <w:rFonts w:hint="eastAsia"/>
                <w:b w:val="0"/>
                <w:bCs/>
                <w:color w:val="auto"/>
                <w:sz w:val="21"/>
                <w:szCs w:val="21"/>
                <w:highlight w:val="none"/>
                <w:lang w:val="en-US" w:eastAsia="zh-CN"/>
              </w:rPr>
              <w:t>生活污水：劳动定员50人，用水量90L/人.d，生活污水产生量约3.6m</w:t>
            </w:r>
            <w:r>
              <w:rPr>
                <w:rFonts w:hint="eastAsia"/>
                <w:b w:val="0"/>
                <w:bCs/>
                <w:color w:val="auto"/>
                <w:sz w:val="21"/>
                <w:szCs w:val="21"/>
                <w:highlight w:val="none"/>
                <w:vertAlign w:val="superscript"/>
                <w:lang w:val="en-US" w:eastAsia="zh-CN"/>
              </w:rPr>
              <w:t>3</w:t>
            </w:r>
            <w:r>
              <w:rPr>
                <w:rFonts w:hint="eastAsia"/>
                <w:b w:val="0"/>
                <w:bCs/>
                <w:color w:val="auto"/>
                <w:sz w:val="21"/>
                <w:szCs w:val="21"/>
                <w:highlight w:val="none"/>
                <w:lang w:val="en-US" w:eastAsia="zh-CN"/>
              </w:rPr>
              <w:t>/d，主要</w:t>
            </w:r>
            <w:r>
              <w:rPr>
                <w:rFonts w:hint="eastAsia"/>
                <w:b w:val="0"/>
                <w:bCs/>
                <w:color w:val="auto"/>
                <w:sz w:val="21"/>
                <w:szCs w:val="21"/>
                <w:highlight w:val="none"/>
              </w:rPr>
              <w:t>污染物产生浓度分别约为BOD</w:t>
            </w:r>
            <w:r>
              <w:rPr>
                <w:rFonts w:hint="eastAsia"/>
                <w:b w:val="0"/>
                <w:bCs/>
                <w:color w:val="auto"/>
                <w:sz w:val="21"/>
                <w:szCs w:val="21"/>
                <w:highlight w:val="none"/>
                <w:vertAlign w:val="subscript"/>
              </w:rPr>
              <w:t>5</w:t>
            </w:r>
            <w:r>
              <w:rPr>
                <w:rFonts w:hint="eastAsia"/>
                <w:b w:val="0"/>
                <w:bCs/>
                <w:color w:val="auto"/>
                <w:sz w:val="21"/>
                <w:szCs w:val="21"/>
                <w:highlight w:val="none"/>
              </w:rPr>
              <w:t>：250mg/L，CODcr：350mg/L，SS：300mg/L，NH</w:t>
            </w:r>
            <w:r>
              <w:rPr>
                <w:rFonts w:hint="eastAsia"/>
                <w:b w:val="0"/>
                <w:bCs/>
                <w:color w:val="auto"/>
                <w:sz w:val="21"/>
                <w:szCs w:val="21"/>
                <w:highlight w:val="none"/>
                <w:vertAlign w:val="subscript"/>
              </w:rPr>
              <w:t>3</w:t>
            </w:r>
            <w:r>
              <w:rPr>
                <w:rFonts w:hint="eastAsia"/>
                <w:b w:val="0"/>
                <w:bCs/>
                <w:color w:val="auto"/>
                <w:sz w:val="21"/>
                <w:szCs w:val="21"/>
                <w:highlight w:val="none"/>
              </w:rPr>
              <w:t xml:space="preserve"> -N：30mg/L</w:t>
            </w:r>
            <w:r>
              <w:rPr>
                <w:rFonts w:hint="eastAsia"/>
                <w:b w:val="0"/>
                <w:bCs/>
                <w:color w:val="auto"/>
                <w:sz w:val="21"/>
                <w:szCs w:val="21"/>
                <w:highlight w:val="none"/>
                <w:lang w:eastAsia="zh-CN"/>
              </w:rPr>
              <w:t>，</w:t>
            </w:r>
            <w:r>
              <w:rPr>
                <w:rFonts w:hint="eastAsia"/>
                <w:b w:val="0"/>
                <w:bCs/>
                <w:color w:val="auto"/>
                <w:sz w:val="21"/>
                <w:szCs w:val="21"/>
                <w:highlight w:val="none"/>
                <w:lang w:val="en-US" w:eastAsia="zh-CN"/>
              </w:rPr>
              <w:t>总氮40mg/L，总磷5mg/L</w:t>
            </w:r>
            <w:r>
              <w:rPr>
                <w:rFonts w:hint="eastAsia"/>
                <w:b w:val="0"/>
                <w:bCs/>
                <w:color w:val="auto"/>
                <w:sz w:val="21"/>
                <w:szCs w:val="21"/>
                <w:highlight w:val="none"/>
              </w:rPr>
              <w:t>。</w:t>
            </w:r>
            <w:r>
              <w:rPr>
                <w:rFonts w:hint="eastAsia"/>
                <w:b w:val="0"/>
                <w:bCs/>
                <w:color w:val="auto"/>
                <w:sz w:val="21"/>
                <w:szCs w:val="21"/>
                <w:highlight w:val="none"/>
                <w:lang w:val="en-US" w:eastAsia="zh-CN"/>
              </w:rPr>
              <w:t>基地建设30m</w:t>
            </w:r>
            <w:r>
              <w:rPr>
                <w:rFonts w:hint="eastAsia"/>
                <w:b w:val="0"/>
                <w:bCs/>
                <w:color w:val="auto"/>
                <w:sz w:val="21"/>
                <w:szCs w:val="21"/>
                <w:highlight w:val="none"/>
                <w:vertAlign w:val="superscript"/>
                <w:lang w:val="en-US" w:eastAsia="zh-CN"/>
              </w:rPr>
              <w:t>3</w:t>
            </w:r>
            <w:r>
              <w:rPr>
                <w:rFonts w:hint="eastAsia"/>
                <w:b w:val="0"/>
                <w:bCs/>
                <w:color w:val="auto"/>
                <w:sz w:val="21"/>
                <w:szCs w:val="21"/>
                <w:highlight w:val="none"/>
                <w:lang w:val="en-US" w:eastAsia="zh-CN"/>
              </w:rPr>
              <w:t>化粪池1座用于收集生活污水，定期由吸污车拉运至园区生活污水处理厂处理</w:t>
            </w:r>
            <w:r>
              <w:rPr>
                <w:rFonts w:hint="eastAsia"/>
                <w:b w:val="0"/>
                <w:bCs/>
                <w:color w:val="auto"/>
                <w:sz w:val="21"/>
                <w:szCs w:val="21"/>
                <w:highlight w:val="none"/>
              </w:rPr>
              <w:t>。</w:t>
            </w:r>
            <w:r>
              <w:rPr>
                <w:rFonts w:hint="eastAsia"/>
                <w:b w:val="0"/>
                <w:bCs/>
                <w:color w:val="auto"/>
                <w:sz w:val="21"/>
                <w:szCs w:val="21"/>
                <w:highlight w:val="none"/>
                <w:lang w:val="en-US" w:eastAsia="zh-CN"/>
              </w:rPr>
              <w:t>则本项目生活污水排放量为1188m</w:t>
            </w:r>
            <w:r>
              <w:rPr>
                <w:rFonts w:hint="eastAsia"/>
                <w:b w:val="0"/>
                <w:bCs/>
                <w:color w:val="auto"/>
                <w:sz w:val="21"/>
                <w:szCs w:val="21"/>
                <w:highlight w:val="none"/>
                <w:vertAlign w:val="superscript"/>
                <w:lang w:val="en-US" w:eastAsia="zh-CN"/>
              </w:rPr>
              <w:t>3</w:t>
            </w:r>
            <w:r>
              <w:rPr>
                <w:rFonts w:hint="eastAsia"/>
                <w:b w:val="0"/>
                <w:bCs/>
                <w:color w:val="auto"/>
                <w:sz w:val="21"/>
                <w:szCs w:val="21"/>
                <w:highlight w:val="none"/>
                <w:lang w:val="en-US" w:eastAsia="zh-CN"/>
              </w:rPr>
              <w:t>/a，</w:t>
            </w:r>
            <w:r>
              <w:rPr>
                <w:rFonts w:hint="eastAsia"/>
                <w:b w:val="0"/>
                <w:bCs/>
                <w:color w:val="auto"/>
                <w:sz w:val="21"/>
                <w:szCs w:val="21"/>
                <w:highlight w:val="none"/>
              </w:rPr>
              <w:t>BOD</w:t>
            </w:r>
            <w:r>
              <w:rPr>
                <w:rFonts w:hint="eastAsia"/>
                <w:b w:val="0"/>
                <w:bCs/>
                <w:color w:val="auto"/>
                <w:sz w:val="21"/>
                <w:szCs w:val="21"/>
                <w:highlight w:val="none"/>
                <w:vertAlign w:val="subscript"/>
              </w:rPr>
              <w:t>5</w:t>
            </w:r>
            <w:r>
              <w:rPr>
                <w:rFonts w:hint="eastAsia"/>
                <w:b w:val="0"/>
                <w:bCs/>
                <w:color w:val="auto"/>
                <w:sz w:val="21"/>
                <w:szCs w:val="21"/>
                <w:highlight w:val="none"/>
                <w:vertAlign w:val="baseline"/>
                <w:lang w:val="en-US" w:eastAsia="zh-CN"/>
              </w:rPr>
              <w:t>排放量为</w:t>
            </w:r>
            <w:r>
              <w:rPr>
                <w:rFonts w:hint="eastAsia"/>
                <w:b w:val="0"/>
                <w:bCs/>
                <w:color w:val="auto"/>
                <w:sz w:val="21"/>
                <w:szCs w:val="21"/>
                <w:highlight w:val="none"/>
                <w:lang w:val="en-US" w:eastAsia="zh-CN"/>
              </w:rPr>
              <w:t>0.30t</w:t>
            </w:r>
            <w:r>
              <w:rPr>
                <w:rFonts w:hint="eastAsia"/>
                <w:b w:val="0"/>
                <w:bCs/>
                <w:color w:val="auto"/>
                <w:sz w:val="21"/>
                <w:szCs w:val="21"/>
                <w:highlight w:val="none"/>
              </w:rPr>
              <w:t>/</w:t>
            </w:r>
            <w:r>
              <w:rPr>
                <w:rFonts w:hint="eastAsia"/>
                <w:b w:val="0"/>
                <w:bCs/>
                <w:color w:val="auto"/>
                <w:sz w:val="21"/>
                <w:szCs w:val="21"/>
                <w:highlight w:val="none"/>
                <w:lang w:val="en-US" w:eastAsia="zh-CN"/>
              </w:rPr>
              <w:t>a</w:t>
            </w:r>
            <w:r>
              <w:rPr>
                <w:rFonts w:hint="eastAsia"/>
                <w:b w:val="0"/>
                <w:bCs/>
                <w:color w:val="auto"/>
                <w:sz w:val="21"/>
                <w:szCs w:val="21"/>
                <w:highlight w:val="none"/>
              </w:rPr>
              <w:t>，CODcr</w:t>
            </w:r>
            <w:r>
              <w:rPr>
                <w:rFonts w:hint="eastAsia"/>
                <w:b w:val="0"/>
                <w:bCs/>
                <w:color w:val="auto"/>
                <w:sz w:val="21"/>
                <w:szCs w:val="21"/>
                <w:highlight w:val="none"/>
                <w:lang w:val="en-US" w:eastAsia="zh-CN"/>
              </w:rPr>
              <w:t>排放量为0.42t</w:t>
            </w:r>
            <w:r>
              <w:rPr>
                <w:rFonts w:hint="eastAsia"/>
                <w:b w:val="0"/>
                <w:bCs/>
                <w:color w:val="auto"/>
                <w:sz w:val="21"/>
                <w:szCs w:val="21"/>
                <w:highlight w:val="none"/>
              </w:rPr>
              <w:t>/</w:t>
            </w:r>
            <w:r>
              <w:rPr>
                <w:rFonts w:hint="eastAsia"/>
                <w:b w:val="0"/>
                <w:bCs/>
                <w:color w:val="auto"/>
                <w:sz w:val="21"/>
                <w:szCs w:val="21"/>
                <w:highlight w:val="none"/>
                <w:lang w:val="en-US" w:eastAsia="zh-CN"/>
              </w:rPr>
              <w:t>a</w:t>
            </w:r>
            <w:r>
              <w:rPr>
                <w:rFonts w:hint="eastAsia"/>
                <w:b w:val="0"/>
                <w:bCs/>
                <w:color w:val="auto"/>
                <w:sz w:val="21"/>
                <w:szCs w:val="21"/>
                <w:highlight w:val="none"/>
              </w:rPr>
              <w:t>，SS</w:t>
            </w:r>
            <w:r>
              <w:rPr>
                <w:rFonts w:hint="eastAsia"/>
                <w:b w:val="0"/>
                <w:bCs/>
                <w:color w:val="auto"/>
                <w:sz w:val="21"/>
                <w:szCs w:val="21"/>
                <w:highlight w:val="none"/>
                <w:lang w:val="en-US" w:eastAsia="zh-CN"/>
              </w:rPr>
              <w:t>排放量为0.37t/a</w:t>
            </w:r>
            <w:r>
              <w:rPr>
                <w:rFonts w:hint="eastAsia"/>
                <w:b w:val="0"/>
                <w:bCs/>
                <w:color w:val="auto"/>
                <w:sz w:val="21"/>
                <w:szCs w:val="21"/>
                <w:highlight w:val="none"/>
              </w:rPr>
              <w:t>，NH</w:t>
            </w:r>
            <w:r>
              <w:rPr>
                <w:rFonts w:hint="eastAsia"/>
                <w:b w:val="0"/>
                <w:bCs/>
                <w:color w:val="auto"/>
                <w:sz w:val="21"/>
                <w:szCs w:val="21"/>
                <w:highlight w:val="none"/>
                <w:vertAlign w:val="subscript"/>
              </w:rPr>
              <w:t>3</w:t>
            </w:r>
            <w:r>
              <w:rPr>
                <w:rFonts w:hint="eastAsia"/>
                <w:b w:val="0"/>
                <w:bCs/>
                <w:color w:val="auto"/>
                <w:sz w:val="21"/>
                <w:szCs w:val="21"/>
                <w:highlight w:val="none"/>
              </w:rPr>
              <w:t xml:space="preserve"> -N</w:t>
            </w:r>
            <w:r>
              <w:rPr>
                <w:rFonts w:hint="eastAsia"/>
                <w:b w:val="0"/>
                <w:bCs/>
                <w:color w:val="auto"/>
                <w:sz w:val="21"/>
                <w:szCs w:val="21"/>
                <w:highlight w:val="none"/>
                <w:lang w:val="en-US" w:eastAsia="zh-CN"/>
              </w:rPr>
              <w:t>排放量为0.036t</w:t>
            </w:r>
            <w:r>
              <w:rPr>
                <w:rFonts w:hint="eastAsia"/>
                <w:b w:val="0"/>
                <w:bCs/>
                <w:color w:val="auto"/>
                <w:sz w:val="21"/>
                <w:szCs w:val="21"/>
                <w:highlight w:val="none"/>
              </w:rPr>
              <w:t>/</w:t>
            </w:r>
            <w:r>
              <w:rPr>
                <w:rFonts w:hint="eastAsia"/>
                <w:b w:val="0"/>
                <w:bCs/>
                <w:color w:val="auto"/>
                <w:sz w:val="21"/>
                <w:szCs w:val="21"/>
                <w:highlight w:val="none"/>
                <w:lang w:val="en-US" w:eastAsia="zh-CN"/>
              </w:rPr>
              <w:t>a</w:t>
            </w:r>
            <w:r>
              <w:rPr>
                <w:rFonts w:hint="eastAsia"/>
                <w:b w:val="0"/>
                <w:bCs/>
                <w:color w:val="auto"/>
                <w:sz w:val="21"/>
                <w:szCs w:val="21"/>
                <w:highlight w:val="none"/>
                <w:lang w:eastAsia="zh-CN"/>
              </w:rPr>
              <w:t>，</w:t>
            </w:r>
            <w:r>
              <w:rPr>
                <w:rFonts w:hint="eastAsia"/>
                <w:b w:val="0"/>
                <w:bCs/>
                <w:color w:val="auto"/>
                <w:sz w:val="21"/>
                <w:szCs w:val="21"/>
                <w:highlight w:val="none"/>
                <w:lang w:val="en-US" w:eastAsia="zh-CN"/>
              </w:rPr>
              <w:t>总氮排放量0.048t/a，总磷排放量0.006t/a。</w:t>
            </w:r>
          </w:p>
          <w:p w14:paraId="6FF9D394">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420" w:leftChars="200" w:firstLine="0" w:firstLineChars="0"/>
              <w:jc w:val="both"/>
              <w:textAlignment w:val="auto"/>
              <w:rPr>
                <w:rFonts w:hint="eastAsia"/>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 2 \* GB3 \* MERGEFORMAT </w:instrText>
            </w:r>
            <w:r>
              <w:rPr>
                <w:rFonts w:hint="eastAsia"/>
                <w:color w:val="auto"/>
                <w:highlight w:val="none"/>
                <w:lang w:val="en-US" w:eastAsia="zh-CN"/>
              </w:rPr>
              <w:fldChar w:fldCharType="separate"/>
            </w:r>
            <w:r>
              <w:rPr>
                <w:color w:val="auto"/>
                <w:highlight w:val="none"/>
              </w:rPr>
              <w:t>②</w:t>
            </w:r>
            <w:r>
              <w:rPr>
                <w:rFonts w:hint="eastAsia"/>
                <w:color w:val="auto"/>
                <w:highlight w:val="none"/>
                <w:lang w:val="en-US" w:eastAsia="zh-CN"/>
              </w:rPr>
              <w:fldChar w:fldCharType="end"/>
            </w:r>
            <w:r>
              <w:rPr>
                <w:rFonts w:hint="eastAsia"/>
                <w:color w:val="auto"/>
                <w:highlight w:val="none"/>
                <w:lang w:val="en-US" w:eastAsia="zh-CN"/>
              </w:rPr>
              <w:t>循环水站废水</w:t>
            </w:r>
          </w:p>
          <w:p w14:paraId="0ED8F380">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循环水站循环水量为150m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/h，废水量约为循环量的0.5%，则循环水站废水量为0.75m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/h（18m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/d），收集后送</w:t>
            </w:r>
            <w:r>
              <w:rPr>
                <w:rFonts w:hint="eastAsia" w:ascii="Times New Roman" w:hAnsi="Times New Roman" w:cs="Times New Roman"/>
                <w:color w:val="auto"/>
                <w:sz w:val="21"/>
                <w:szCs w:val="21"/>
                <w:highlight w:val="none"/>
                <w:u w:val="none"/>
                <w:lang w:val="en-US" w:eastAsia="zh-CN"/>
              </w:rPr>
              <w:t>中煤鄂尔多斯能源化工有限公司</w:t>
            </w:r>
            <w:r>
              <w:rPr>
                <w:rFonts w:hint="eastAsia" w:ascii="Times New Roman" w:hAnsi="Times New Roman" w:eastAsia="宋体" w:cs="Times New Roman"/>
                <w:color w:val="auto"/>
                <w:sz w:val="21"/>
                <w:szCs w:val="21"/>
                <w:highlight w:val="none"/>
                <w:lang w:val="en-US" w:eastAsia="zh-CN"/>
              </w:rPr>
              <w:t>厂区回用水处理站处理。</w:t>
            </w:r>
          </w:p>
          <w:p w14:paraId="228DCAE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 3 \* GB3 \* MERGEFORMAT </w:instrText>
            </w:r>
            <w:r>
              <w:rPr>
                <w:rFonts w:hint="eastAsia"/>
                <w:color w:val="auto"/>
                <w:highlight w:val="none"/>
                <w:lang w:val="en-US" w:eastAsia="zh-CN"/>
              </w:rPr>
              <w:fldChar w:fldCharType="separate"/>
            </w:r>
            <w:r>
              <w:rPr>
                <w:color w:val="auto"/>
                <w:highlight w:val="none"/>
              </w:rPr>
              <w:t>③</w:t>
            </w:r>
            <w:r>
              <w:rPr>
                <w:rFonts w:hint="eastAsia"/>
                <w:color w:val="auto"/>
                <w:highlight w:val="none"/>
                <w:lang w:val="en-US" w:eastAsia="zh-CN"/>
              </w:rPr>
              <w:fldChar w:fldCharType="end"/>
            </w:r>
            <w:r>
              <w:rPr>
                <w:rFonts w:hint="eastAsia"/>
                <w:color w:val="auto"/>
                <w:highlight w:val="none"/>
                <w:lang w:val="en-US" w:eastAsia="zh-CN"/>
              </w:rPr>
              <w:t>火炬系统废水</w:t>
            </w:r>
          </w:p>
          <w:p w14:paraId="5086D38D">
            <w:pPr>
              <w:pStyle w:val="7"/>
              <w:keepNext w:val="0"/>
              <w:keepLines w:val="0"/>
              <w:pageBreakBefore w:val="0"/>
              <w:widowControl/>
              <w:kinsoku/>
              <w:wordWrap/>
              <w:overflowPunct/>
              <w:topLinePunct w:val="0"/>
              <w:autoSpaceDE/>
              <w:autoSpaceDN/>
              <w:bidi w:val="0"/>
              <w:adjustRightInd/>
              <w:snapToGrid w:val="0"/>
              <w:spacing w:before="0" w:after="0" w:line="360" w:lineRule="auto"/>
              <w:ind w:left="0" w:right="0" w:firstLine="420" w:firstLineChars="200"/>
              <w:textAlignment w:val="auto"/>
              <w:rPr>
                <w:rFonts w:hint="eastAsia"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驰放气经火炬处理后，因气体自身含水量以及燃烧生成的水量，会产生废水，产生量约4-5m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r>
              <w:rPr>
                <w:rFonts w:hint="eastAsia" w:ascii="Times New Roman" w:hAnsi="Times New Roman" w:eastAsia="宋体" w:cs="Times New Roman"/>
                <w:color w:val="auto"/>
                <w:sz w:val="21"/>
                <w:szCs w:val="21"/>
                <w:highlight w:val="none"/>
                <w:lang w:val="en-US" w:eastAsia="zh-CN"/>
              </w:rPr>
              <w:t>通过管廊管道送</w:t>
            </w:r>
            <w:r>
              <w:rPr>
                <w:rFonts w:hint="eastAsia" w:ascii="Times New Roman" w:hAnsi="Times New Roman" w:cs="Times New Roman"/>
                <w:color w:val="auto"/>
                <w:sz w:val="21"/>
                <w:szCs w:val="21"/>
                <w:highlight w:val="none"/>
                <w:u w:val="none"/>
                <w:lang w:val="en-US" w:eastAsia="zh-CN"/>
              </w:rPr>
              <w:t>中煤鄂尔多斯能源化工有限公司</w:t>
            </w:r>
            <w:r>
              <w:rPr>
                <w:rFonts w:hint="eastAsia" w:ascii="Times New Roman" w:hAnsi="Times New Roman" w:eastAsia="宋体" w:cs="Times New Roman"/>
                <w:color w:val="auto"/>
                <w:sz w:val="21"/>
                <w:szCs w:val="21"/>
                <w:highlight w:val="none"/>
                <w:lang w:val="en-US" w:eastAsia="zh-CN"/>
              </w:rPr>
              <w:t>厂区生化水处理站处理。</w:t>
            </w:r>
          </w:p>
          <w:p w14:paraId="0521297E">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420" w:leftChars="200" w:right="0" w:firstLine="0" w:firstLineChars="0"/>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（2）中煤鄂尔多斯能源化工有限公司废水处理依托可行性分析</w:t>
            </w:r>
          </w:p>
          <w:p w14:paraId="6C16DC51">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0" w:right="0" w:firstLine="420" w:firstLineChars="200"/>
              <w:jc w:val="left"/>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①循环水废水处理可行性分析</w:t>
            </w:r>
          </w:p>
          <w:p w14:paraId="26309C52">
            <w:pPr>
              <w:keepNext w:val="0"/>
              <w:keepLines w:val="0"/>
              <w:widowControl/>
              <w:suppressLineNumbers w:val="0"/>
              <w:spacing w:line="360" w:lineRule="auto"/>
              <w:ind w:firstLine="420" w:firstLineChars="200"/>
              <w:jc w:val="both"/>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kern w:val="0"/>
                <w:sz w:val="21"/>
                <w:szCs w:val="21"/>
                <w:highlight w:val="none"/>
                <w:lang w:val="en-US" w:eastAsia="zh-CN" w:bidi="ar"/>
              </w:rPr>
              <w:t>中煤厂区现有2座回用水处理站，分别为“100万吨合成氨175万吨尿素项目”和“100万吨甲醇项目”项目回用水处理站，合计处理能力为2100m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default" w:ascii="Times New Roman" w:hAnsi="Times New Roman" w:eastAsia="宋体" w:cs="Times New Roman"/>
                <w:color w:val="auto"/>
                <w:kern w:val="0"/>
                <w:sz w:val="21"/>
                <w:szCs w:val="21"/>
                <w:highlight w:val="none"/>
                <w:lang w:val="en-US" w:eastAsia="zh-CN" w:bidi="ar"/>
              </w:rPr>
              <w:t>/h，实际运行处理量为1975m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default" w:ascii="Times New Roman" w:hAnsi="Times New Roman" w:eastAsia="宋体" w:cs="Times New Roman"/>
                <w:color w:val="auto"/>
                <w:kern w:val="0"/>
                <w:sz w:val="21"/>
                <w:szCs w:val="21"/>
                <w:highlight w:val="none"/>
                <w:lang w:val="en-US" w:eastAsia="zh-CN" w:bidi="ar"/>
              </w:rPr>
              <w:t>/h，处理工艺分别采用“机械搅拌沉清池+多介质过滤器+超滤+反渗透+多介质过滤器+超滤+钠离子交换器+二级反渗透”和“机械搅拌沉清池+活性炭过滤+超滤+脱碳塔+反渗透+多介质过滤器+超滤+浓水反渗透”，回用水站的出水回用至中煤厂区各循环水系统。两座回用水站中一座已随“100万吨合成氨175万吨尿素项目”于2016年通过建设项目竣工环境保护验收（鄂环监字[2016]39号），另一座于2022年7月已随“100万吨甲醇技术改造项目”通过建设项目竣工环境保护验收。</w:t>
            </w:r>
          </w:p>
          <w:p w14:paraId="55D864CF">
            <w:pPr>
              <w:keepNext w:val="0"/>
              <w:keepLines w:val="0"/>
              <w:widowControl/>
              <w:suppressLineNumbers w:val="0"/>
              <w:spacing w:line="360" w:lineRule="auto"/>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本项目循环水站废水排放量</w:t>
            </w:r>
            <w:r>
              <w:rPr>
                <w:rFonts w:hint="default" w:ascii="Times New Roman" w:hAnsi="Times New Roman" w:eastAsia="宋体" w:cs="Times New Roman"/>
                <w:color w:val="auto"/>
                <w:sz w:val="21"/>
                <w:szCs w:val="21"/>
                <w:highlight w:val="none"/>
                <w:lang w:val="en-US" w:eastAsia="zh-CN"/>
              </w:rPr>
              <w:t>0.75m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eastAsia="宋体" w:cs="Times New Roman"/>
                <w:color w:val="auto"/>
                <w:kern w:val="0"/>
                <w:sz w:val="21"/>
                <w:szCs w:val="21"/>
                <w:highlight w:val="none"/>
                <w:lang w:val="en-US" w:eastAsia="zh-CN" w:bidi="ar"/>
              </w:rPr>
              <w:t>，通过管道输送至中煤厂内回用水处理站处理，回用水处理站富余量为125m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default" w:ascii="Times New Roman" w:hAnsi="Times New Roman" w:eastAsia="宋体" w:cs="Times New Roman"/>
                <w:color w:val="auto"/>
                <w:kern w:val="0"/>
                <w:sz w:val="21"/>
                <w:szCs w:val="21"/>
                <w:highlight w:val="none"/>
                <w:lang w:val="en-US" w:eastAsia="zh-CN" w:bidi="ar"/>
              </w:rPr>
              <w:t>/h，可满足本项目循环水废水处理需求，依托可行。</w:t>
            </w:r>
          </w:p>
          <w:p w14:paraId="215BFD72">
            <w:pPr>
              <w:keepNext w:val="0"/>
              <w:keepLines w:val="0"/>
              <w:widowControl/>
              <w:suppressLineNumbers w:val="0"/>
              <w:spacing w:line="360" w:lineRule="auto"/>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②火炬系统废水依托可行性分析</w:t>
            </w:r>
          </w:p>
          <w:p w14:paraId="4D3D0921">
            <w:pPr>
              <w:keepNext w:val="0"/>
              <w:keepLines w:val="0"/>
              <w:widowControl/>
              <w:suppressLineNumbers w:val="0"/>
              <w:spacing w:line="360" w:lineRule="auto"/>
              <w:ind w:firstLine="420" w:firstLineChars="200"/>
              <w:jc w:val="both"/>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中煤厂区现有生化污水处理站1座，设计处理能力360m</w:t>
            </w:r>
            <w:r>
              <w:rPr>
                <w:rFonts w:hint="default" w:ascii="Times New Roman" w:hAnsi="Times New Roman" w:eastAsia="宋体" w:cs="Times New Roman"/>
                <w:b w:val="0"/>
                <w:bCs w:val="0"/>
                <w:color w:val="auto"/>
                <w:kern w:val="0"/>
                <w:sz w:val="21"/>
                <w:szCs w:val="21"/>
                <w:highlight w:val="none"/>
                <w:vertAlign w:val="superscript"/>
                <w:lang w:val="en-US" w:eastAsia="zh-CN" w:bidi="ar"/>
              </w:rPr>
              <w:t>3</w:t>
            </w:r>
            <w:r>
              <w:rPr>
                <w:rFonts w:hint="default" w:ascii="Times New Roman" w:hAnsi="Times New Roman" w:eastAsia="宋体" w:cs="Times New Roman"/>
                <w:b w:val="0"/>
                <w:bCs w:val="0"/>
                <w:color w:val="auto"/>
                <w:kern w:val="0"/>
                <w:sz w:val="21"/>
                <w:szCs w:val="21"/>
                <w:highlight w:val="none"/>
                <w:lang w:val="en-US" w:eastAsia="zh-CN" w:bidi="ar"/>
              </w:rPr>
              <w:t>/h，目前最大处理量为359m</w:t>
            </w:r>
            <w:r>
              <w:rPr>
                <w:rFonts w:hint="default" w:ascii="Times New Roman" w:hAnsi="Times New Roman" w:eastAsia="宋体" w:cs="Times New Roman"/>
                <w:b w:val="0"/>
                <w:bCs w:val="0"/>
                <w:color w:val="auto"/>
                <w:kern w:val="0"/>
                <w:sz w:val="21"/>
                <w:szCs w:val="21"/>
                <w:highlight w:val="none"/>
                <w:vertAlign w:val="superscript"/>
                <w:lang w:val="en-US" w:eastAsia="zh-CN" w:bidi="ar"/>
              </w:rPr>
              <w:t>3</w:t>
            </w:r>
            <w:r>
              <w:rPr>
                <w:rFonts w:hint="default" w:ascii="Times New Roman" w:hAnsi="Times New Roman" w:eastAsia="宋体" w:cs="Times New Roman"/>
                <w:b w:val="0"/>
                <w:bCs w:val="0"/>
                <w:color w:val="auto"/>
                <w:kern w:val="0"/>
                <w:sz w:val="21"/>
                <w:szCs w:val="21"/>
                <w:highlight w:val="none"/>
                <w:lang w:val="en-US" w:eastAsia="zh-CN" w:bidi="ar"/>
              </w:rPr>
              <w:t>/h，尚余1m</w:t>
            </w:r>
            <w:r>
              <w:rPr>
                <w:rFonts w:hint="default" w:ascii="Times New Roman" w:hAnsi="Times New Roman" w:eastAsia="宋体" w:cs="Times New Roman"/>
                <w:b w:val="0"/>
                <w:bCs w:val="0"/>
                <w:color w:val="auto"/>
                <w:kern w:val="0"/>
                <w:sz w:val="21"/>
                <w:szCs w:val="21"/>
                <w:highlight w:val="none"/>
                <w:vertAlign w:val="superscript"/>
                <w:lang w:val="en-US" w:eastAsia="zh-CN" w:bidi="ar"/>
              </w:rPr>
              <w:t>3</w:t>
            </w:r>
            <w:r>
              <w:rPr>
                <w:rFonts w:hint="default" w:ascii="Times New Roman" w:hAnsi="Times New Roman" w:eastAsia="宋体" w:cs="Times New Roman"/>
                <w:b w:val="0"/>
                <w:bCs w:val="0"/>
                <w:color w:val="auto"/>
                <w:kern w:val="0"/>
                <w:sz w:val="21"/>
                <w:szCs w:val="21"/>
                <w:highlight w:val="none"/>
                <w:lang w:val="en-US" w:eastAsia="zh-CN" w:bidi="ar"/>
              </w:rPr>
              <w:t>/h的处理能力。生化污水处理站处理工艺采用“预处理+生物增浓脱氮+A/O处理系统+二沉池+混合沉淀池+臭氧氧化+BAF滤池+V型滤池+清水池”。生化污水处理站出水进入回用水站进一步处理，不外排。生化污水处理系统已随“100万吨合成氨175万吨尿素项目”于2016年通过建设项目竣工环境保护验收（鄂环监字 [2016]39号）。</w:t>
            </w:r>
          </w:p>
          <w:p w14:paraId="6DBD06D7">
            <w:pPr>
              <w:keepNext w:val="0"/>
              <w:keepLines w:val="0"/>
              <w:widowControl/>
              <w:suppressLineNumbers w:val="0"/>
              <w:spacing w:line="360" w:lineRule="auto"/>
              <w:ind w:firstLine="420" w:firstLineChars="200"/>
              <w:jc w:val="both"/>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kern w:val="0"/>
                <w:sz w:val="21"/>
                <w:szCs w:val="21"/>
                <w:highlight w:val="none"/>
                <w:lang w:val="en-US" w:eastAsia="zh-CN" w:bidi="ar"/>
              </w:rPr>
              <w:t>本项目火炬系统废水来自基地中试项目事故</w:t>
            </w:r>
            <w:r>
              <w:rPr>
                <w:rFonts w:hint="eastAsia" w:ascii="Times New Roman" w:hAnsi="Times New Roman" w:eastAsia="宋体" w:cs="Times New Roman"/>
                <w:b w:val="0"/>
                <w:bCs w:val="0"/>
                <w:color w:val="auto"/>
                <w:kern w:val="0"/>
                <w:sz w:val="21"/>
                <w:szCs w:val="21"/>
                <w:highlight w:val="none"/>
                <w:lang w:val="en-US" w:eastAsia="zh-CN" w:bidi="ar"/>
              </w:rPr>
              <w:t>状态</w:t>
            </w:r>
            <w:r>
              <w:rPr>
                <w:rFonts w:hint="default" w:ascii="Times New Roman" w:hAnsi="Times New Roman" w:eastAsia="宋体" w:cs="Times New Roman"/>
                <w:b w:val="0"/>
                <w:bCs w:val="0"/>
                <w:color w:val="auto"/>
                <w:kern w:val="0"/>
                <w:sz w:val="21"/>
                <w:szCs w:val="21"/>
                <w:highlight w:val="none"/>
                <w:lang w:val="en-US" w:eastAsia="zh-CN" w:bidi="ar"/>
              </w:rPr>
              <w:t>火炬燃烧过程，瞬时最大产生量4-5m</w:t>
            </w:r>
            <w:r>
              <w:rPr>
                <w:rFonts w:hint="default" w:ascii="Times New Roman" w:hAnsi="Times New Roman" w:eastAsia="宋体" w:cs="Times New Roman"/>
                <w:b w:val="0"/>
                <w:bCs w:val="0"/>
                <w:color w:val="auto"/>
                <w:kern w:val="0"/>
                <w:sz w:val="21"/>
                <w:szCs w:val="21"/>
                <w:highlight w:val="none"/>
                <w:vertAlign w:val="superscript"/>
                <w:lang w:val="en-US" w:eastAsia="zh-CN" w:bidi="ar"/>
              </w:rPr>
              <w:t>3</w:t>
            </w:r>
            <w:r>
              <w:rPr>
                <w:rFonts w:hint="default" w:ascii="Times New Roman" w:hAnsi="Times New Roman" w:eastAsia="宋体" w:cs="Times New Roman"/>
                <w:b w:val="0"/>
                <w:bCs w:val="0"/>
                <w:color w:val="auto"/>
                <w:kern w:val="0"/>
                <w:sz w:val="21"/>
                <w:szCs w:val="21"/>
                <w:highlight w:val="none"/>
                <w:lang w:val="en-US" w:eastAsia="zh-CN" w:bidi="ar"/>
              </w:rPr>
              <w:t>/h。由于事故排放属于</w:t>
            </w:r>
            <w:r>
              <w:rPr>
                <w:rStyle w:val="27"/>
                <w:rFonts w:hint="default" w:ascii="Times New Roman" w:hAnsi="Times New Roman" w:eastAsia="宋体" w:cs="Times New Roman"/>
                <w:b w:val="0"/>
                <w:bCs w:val="0"/>
                <w:color w:val="auto"/>
                <w:kern w:val="0"/>
                <w:sz w:val="21"/>
                <w:szCs w:val="21"/>
                <w:highlight w:val="none"/>
                <w:lang w:val="en-US" w:eastAsia="zh-CN" w:bidi="ar"/>
              </w:rPr>
              <w:t>非连续性、低频次偶发工况，</w:t>
            </w:r>
            <w:r>
              <w:rPr>
                <w:rFonts w:hint="default" w:ascii="Times New Roman" w:hAnsi="Times New Roman" w:eastAsia="宋体" w:cs="Times New Roman"/>
                <w:b w:val="0"/>
                <w:bCs w:val="0"/>
                <w:color w:val="auto"/>
                <w:kern w:val="0"/>
                <w:sz w:val="21"/>
                <w:szCs w:val="21"/>
                <w:highlight w:val="none"/>
                <w:lang w:val="en-US" w:eastAsia="zh-CN" w:bidi="ar"/>
              </w:rPr>
              <w:t>实际运行中通常废水产生量低于最大设计值。同时火炬系统设置废水池</w:t>
            </w:r>
            <w:r>
              <w:rPr>
                <w:rFonts w:hint="eastAsia" w:ascii="Times New Roman" w:hAnsi="Times New Roman" w:eastAsia="宋体" w:cs="Times New Roman"/>
                <w:b w:val="0"/>
                <w:bCs w:val="0"/>
                <w:color w:val="auto"/>
                <w:kern w:val="0"/>
                <w:sz w:val="21"/>
                <w:szCs w:val="21"/>
                <w:highlight w:val="none"/>
                <w:lang w:val="en-US" w:eastAsia="zh-CN" w:bidi="ar"/>
              </w:rPr>
              <w:t>收集暂存</w:t>
            </w:r>
            <w:r>
              <w:rPr>
                <w:rFonts w:hint="default" w:ascii="Times New Roman" w:hAnsi="Times New Roman" w:eastAsia="宋体" w:cs="Times New Roman"/>
                <w:b w:val="0"/>
                <w:bCs w:val="0"/>
                <w:color w:val="auto"/>
                <w:kern w:val="0"/>
                <w:sz w:val="21"/>
                <w:szCs w:val="21"/>
                <w:highlight w:val="none"/>
                <w:lang w:val="en-US" w:eastAsia="zh-CN" w:bidi="ar"/>
              </w:rPr>
              <w:t>，废水进入</w:t>
            </w:r>
            <w:r>
              <w:rPr>
                <w:rFonts w:hint="eastAsia" w:ascii="Times New Roman" w:hAnsi="Times New Roman" w:eastAsia="宋体" w:cs="Times New Roman"/>
                <w:b w:val="0"/>
                <w:bCs w:val="0"/>
                <w:color w:val="auto"/>
                <w:kern w:val="0"/>
                <w:sz w:val="21"/>
                <w:szCs w:val="21"/>
                <w:highlight w:val="none"/>
                <w:lang w:val="en-US" w:eastAsia="zh-CN" w:bidi="ar"/>
              </w:rPr>
              <w:t>废水</w:t>
            </w:r>
            <w:r>
              <w:rPr>
                <w:rFonts w:hint="default" w:ascii="Times New Roman" w:hAnsi="Times New Roman" w:eastAsia="宋体" w:cs="Times New Roman"/>
                <w:b w:val="0"/>
                <w:bCs w:val="0"/>
                <w:color w:val="auto"/>
                <w:kern w:val="0"/>
                <w:sz w:val="21"/>
                <w:szCs w:val="21"/>
                <w:highlight w:val="none"/>
                <w:lang w:val="en-US" w:eastAsia="zh-CN" w:bidi="ar"/>
              </w:rPr>
              <w:t>池后，</w:t>
            </w:r>
            <w:r>
              <w:rPr>
                <w:rFonts w:ascii="Times New Roman" w:hAnsi="Times New Roman" w:eastAsia="宋体" w:cs="Times New Roman"/>
                <w:b w:val="0"/>
                <w:bCs w:val="0"/>
                <w:color w:val="auto"/>
                <w:kern w:val="0"/>
                <w:sz w:val="21"/>
                <w:szCs w:val="21"/>
                <w:highlight w:val="none"/>
                <w:lang w:val="en-US" w:eastAsia="zh-CN" w:bidi="ar"/>
              </w:rPr>
              <w:t>根据</w:t>
            </w:r>
            <w:r>
              <w:rPr>
                <w:rFonts w:hint="default" w:ascii="Times New Roman" w:hAnsi="Times New Roman" w:eastAsia="宋体" w:cs="Times New Roman"/>
                <w:b w:val="0"/>
                <w:bCs w:val="0"/>
                <w:color w:val="auto"/>
                <w:kern w:val="0"/>
                <w:sz w:val="21"/>
                <w:szCs w:val="21"/>
                <w:highlight w:val="none"/>
                <w:lang w:val="en-US" w:eastAsia="zh-CN" w:bidi="ar"/>
              </w:rPr>
              <w:t>中煤厂区生化</w:t>
            </w:r>
            <w:r>
              <w:rPr>
                <w:rFonts w:ascii="Times New Roman" w:hAnsi="Times New Roman" w:eastAsia="宋体" w:cs="Times New Roman"/>
                <w:b w:val="0"/>
                <w:bCs w:val="0"/>
                <w:color w:val="auto"/>
                <w:kern w:val="0"/>
                <w:sz w:val="21"/>
                <w:szCs w:val="21"/>
                <w:highlight w:val="none"/>
                <w:lang w:val="en-US" w:eastAsia="zh-CN" w:bidi="ar"/>
              </w:rPr>
              <w:t>污水处理站</w:t>
            </w:r>
            <w:r>
              <w:rPr>
                <w:rStyle w:val="27"/>
                <w:rFonts w:ascii="Times New Roman" w:hAnsi="Times New Roman" w:eastAsia="宋体" w:cs="Times New Roman"/>
                <w:b w:val="0"/>
                <w:bCs w:val="0"/>
                <w:color w:val="auto"/>
                <w:kern w:val="0"/>
                <w:sz w:val="21"/>
                <w:szCs w:val="21"/>
                <w:highlight w:val="none"/>
                <w:lang w:val="en-US" w:eastAsia="zh-CN" w:bidi="ar"/>
              </w:rPr>
              <w:t>实时剩余处理能力</w:t>
            </w:r>
            <w:r>
              <w:rPr>
                <w:rStyle w:val="27"/>
                <w:rFonts w:hint="default" w:ascii="Times New Roman" w:hAnsi="Times New Roman" w:eastAsia="宋体" w:cs="Times New Roman"/>
                <w:b w:val="0"/>
                <w:bCs w:val="0"/>
                <w:color w:val="auto"/>
                <w:kern w:val="0"/>
                <w:sz w:val="21"/>
                <w:szCs w:val="21"/>
                <w:highlight w:val="none"/>
                <w:lang w:val="en-US" w:eastAsia="zh-CN" w:bidi="ar"/>
              </w:rPr>
              <w:t>，</w:t>
            </w:r>
            <w:r>
              <w:rPr>
                <w:rFonts w:ascii="Times New Roman" w:hAnsi="Times New Roman" w:eastAsia="宋体" w:cs="Times New Roman"/>
                <w:b w:val="0"/>
                <w:bCs w:val="0"/>
                <w:color w:val="auto"/>
                <w:kern w:val="0"/>
                <w:sz w:val="21"/>
                <w:szCs w:val="21"/>
                <w:highlight w:val="none"/>
                <w:lang w:val="en-US" w:eastAsia="zh-CN" w:bidi="ar"/>
              </w:rPr>
              <w:t>以间歇方式分批送入</w:t>
            </w:r>
            <w:r>
              <w:rPr>
                <w:rFonts w:hint="default" w:ascii="Times New Roman" w:hAnsi="Times New Roman" w:eastAsia="宋体" w:cs="Times New Roman"/>
                <w:b w:val="0"/>
                <w:bCs w:val="0"/>
                <w:color w:val="auto"/>
                <w:kern w:val="0"/>
                <w:sz w:val="21"/>
                <w:szCs w:val="21"/>
                <w:highlight w:val="none"/>
                <w:lang w:val="en-US" w:eastAsia="zh-CN" w:bidi="ar"/>
              </w:rPr>
              <w:t>该处理站处理，</w:t>
            </w:r>
            <w:r>
              <w:rPr>
                <w:rFonts w:ascii="Times New Roman" w:hAnsi="Times New Roman" w:eastAsia="宋体" w:cs="Times New Roman"/>
                <w:b w:val="0"/>
                <w:bCs w:val="0"/>
                <w:color w:val="auto"/>
                <w:kern w:val="0"/>
                <w:sz w:val="21"/>
                <w:szCs w:val="21"/>
                <w:highlight w:val="none"/>
                <w:lang w:val="en-US" w:eastAsia="zh-CN" w:bidi="ar"/>
              </w:rPr>
              <w:t>既能避免废水瞬时涌入对处理站造成的冲击，又能精准匹配其当前可接纳的水量，确保输送量与处理站剩余能力动态平衡</w:t>
            </w:r>
            <w:r>
              <w:rPr>
                <w:rFonts w:hint="default" w:ascii="Times New Roman" w:hAnsi="Times New Roman" w:eastAsia="宋体" w:cs="Times New Roman"/>
                <w:b w:val="0"/>
                <w:bCs w:val="0"/>
                <w:color w:val="auto"/>
                <w:kern w:val="0"/>
                <w:sz w:val="21"/>
                <w:szCs w:val="21"/>
                <w:highlight w:val="none"/>
                <w:lang w:val="en-US" w:eastAsia="zh-CN" w:bidi="ar"/>
              </w:rPr>
              <w:t>。因此本项目火炬系统废水依托中煤厂区现有生化污水处理系统处理可行。</w:t>
            </w:r>
          </w:p>
          <w:p w14:paraId="678ECECB">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eastAsia="宋体"/>
                <w:b/>
                <w:bCs/>
                <w:color w:val="auto"/>
                <w:kern w:val="21"/>
                <w:sz w:val="21"/>
                <w:szCs w:val="21"/>
                <w:highlight w:val="none"/>
                <w:lang w:val="en-US" w:eastAsia="zh-CN"/>
              </w:rPr>
            </w:pPr>
            <w:r>
              <w:rPr>
                <w:b/>
                <w:bCs/>
                <w:color w:val="auto"/>
                <w:kern w:val="21"/>
                <w:sz w:val="21"/>
                <w:szCs w:val="21"/>
                <w:highlight w:val="none"/>
              </w:rPr>
              <w:t>3、噪声</w:t>
            </w:r>
            <w:r>
              <w:rPr>
                <w:rFonts w:hint="eastAsia"/>
                <w:b/>
                <w:bCs/>
                <w:color w:val="auto"/>
                <w:kern w:val="21"/>
                <w:sz w:val="21"/>
                <w:szCs w:val="21"/>
                <w:highlight w:val="none"/>
                <w:lang w:val="en-US" w:eastAsia="zh-CN"/>
              </w:rPr>
              <w:t>防治措施</w:t>
            </w:r>
          </w:p>
          <w:p w14:paraId="540D0D4A">
            <w:pPr>
              <w:spacing w:line="360" w:lineRule="auto"/>
              <w:ind w:firstLine="420" w:firstLineChars="200"/>
              <w:jc w:val="left"/>
              <w:rPr>
                <w:rFonts w:hint="eastAsia" w:eastAsia="宋体"/>
                <w:color w:val="auto"/>
                <w:sz w:val="21"/>
                <w:szCs w:val="21"/>
                <w:highlight w:val="none"/>
                <w:lang w:val="en-US" w:eastAsia="zh-CN"/>
              </w:rPr>
            </w:pPr>
            <w:r>
              <w:rPr>
                <w:rFonts w:hint="eastAsia"/>
                <w:color w:val="auto"/>
                <w:sz w:val="21"/>
                <w:szCs w:val="21"/>
                <w:highlight w:val="none"/>
              </w:rPr>
              <w:t>（</w:t>
            </w:r>
            <w:r>
              <w:rPr>
                <w:rFonts w:hint="eastAsia"/>
                <w:color w:val="auto"/>
                <w:sz w:val="21"/>
                <w:szCs w:val="21"/>
                <w:highlight w:val="none"/>
                <w:lang w:val="en-US" w:eastAsia="zh-CN"/>
              </w:rPr>
              <w:t>1</w:t>
            </w:r>
            <w:r>
              <w:rPr>
                <w:rFonts w:hint="eastAsia"/>
                <w:color w:val="auto"/>
                <w:sz w:val="21"/>
                <w:szCs w:val="21"/>
                <w:highlight w:val="none"/>
              </w:rPr>
              <w:t>）降噪措施</w:t>
            </w:r>
          </w:p>
          <w:p w14:paraId="0DDDCAD6">
            <w:pPr>
              <w:widowControl/>
              <w:spacing w:line="360" w:lineRule="auto"/>
              <w:ind w:firstLine="420" w:firstLineChars="200"/>
              <w:jc w:val="left"/>
              <w:rPr>
                <w:color w:val="auto"/>
                <w:sz w:val="21"/>
                <w:szCs w:val="21"/>
                <w:highlight w:val="none"/>
              </w:rPr>
            </w:pPr>
            <w:r>
              <w:rPr>
                <w:color w:val="auto"/>
                <w:kern w:val="0"/>
                <w:sz w:val="21"/>
                <w:szCs w:val="21"/>
                <w:highlight w:val="none"/>
                <w:lang w:bidi="ar"/>
              </w:rPr>
              <w:t>根据声源类型及源强，结合项目情况，项目</w:t>
            </w:r>
            <w:r>
              <w:rPr>
                <w:rFonts w:hint="eastAsia"/>
                <w:color w:val="auto"/>
                <w:kern w:val="0"/>
                <w:sz w:val="21"/>
                <w:szCs w:val="21"/>
                <w:highlight w:val="none"/>
                <w:lang w:bidi="ar"/>
              </w:rPr>
              <w:t>拟采取</w:t>
            </w:r>
            <w:r>
              <w:rPr>
                <w:color w:val="auto"/>
                <w:kern w:val="0"/>
                <w:sz w:val="21"/>
                <w:szCs w:val="21"/>
                <w:highlight w:val="none"/>
                <w:lang w:bidi="ar"/>
              </w:rPr>
              <w:t xml:space="preserve">以下治理措施： </w:t>
            </w:r>
          </w:p>
          <w:p w14:paraId="2596C96C">
            <w:pPr>
              <w:widowControl/>
              <w:spacing w:line="360" w:lineRule="auto"/>
              <w:ind w:firstLine="420" w:firstLineChars="200"/>
              <w:jc w:val="left"/>
              <w:rPr>
                <w:color w:val="auto"/>
                <w:sz w:val="21"/>
                <w:szCs w:val="21"/>
                <w:highlight w:val="none"/>
              </w:rPr>
            </w:pPr>
            <w:r>
              <w:rPr>
                <w:color w:val="auto"/>
                <w:kern w:val="0"/>
                <w:sz w:val="21"/>
                <w:szCs w:val="21"/>
                <w:highlight w:val="none"/>
                <w:lang w:bidi="ar"/>
              </w:rPr>
              <w:t xml:space="preserve">①在满足工艺生产条件的前提下，选择低噪声设备，从噪声源头上降低了噪声的污染； </w:t>
            </w:r>
          </w:p>
          <w:p w14:paraId="3D458CC1">
            <w:pPr>
              <w:widowControl/>
              <w:spacing w:line="360" w:lineRule="auto"/>
              <w:ind w:firstLine="420" w:firstLineChars="200"/>
              <w:jc w:val="left"/>
              <w:rPr>
                <w:color w:val="auto"/>
                <w:sz w:val="21"/>
                <w:szCs w:val="21"/>
                <w:highlight w:val="none"/>
              </w:rPr>
            </w:pPr>
            <w:r>
              <w:rPr>
                <w:color w:val="auto"/>
                <w:kern w:val="0"/>
                <w:sz w:val="21"/>
                <w:szCs w:val="21"/>
                <w:highlight w:val="none"/>
                <w:lang w:bidi="ar"/>
              </w:rPr>
              <w:t>②进行合理的设备布局。</w:t>
            </w:r>
            <w:r>
              <w:rPr>
                <w:rFonts w:hint="eastAsia"/>
                <w:color w:val="auto"/>
                <w:kern w:val="0"/>
                <w:sz w:val="21"/>
                <w:szCs w:val="21"/>
                <w:highlight w:val="none"/>
                <w:lang w:val="en-US" w:eastAsia="zh-CN" w:bidi="ar"/>
              </w:rPr>
              <w:t>所有产噪设备</w:t>
            </w:r>
            <w:r>
              <w:rPr>
                <w:color w:val="auto"/>
                <w:kern w:val="0"/>
                <w:sz w:val="21"/>
                <w:szCs w:val="21"/>
                <w:highlight w:val="none"/>
                <w:lang w:bidi="ar"/>
              </w:rPr>
              <w:t>均布置在</w:t>
            </w:r>
            <w:r>
              <w:rPr>
                <w:rFonts w:hint="eastAsia"/>
                <w:color w:val="auto"/>
                <w:kern w:val="0"/>
                <w:sz w:val="21"/>
                <w:szCs w:val="21"/>
                <w:highlight w:val="none"/>
                <w:lang w:val="en-US" w:eastAsia="zh-CN" w:bidi="ar"/>
              </w:rPr>
              <w:t>封闭厂房内</w:t>
            </w:r>
            <w:r>
              <w:rPr>
                <w:color w:val="auto"/>
                <w:kern w:val="0"/>
                <w:sz w:val="21"/>
                <w:szCs w:val="21"/>
                <w:highlight w:val="none"/>
                <w:lang w:bidi="ar"/>
              </w:rPr>
              <w:t xml:space="preserve">，生产过程尽量关闭门窗，利用厂房进行隔声； </w:t>
            </w:r>
          </w:p>
          <w:p w14:paraId="5A44E9BC">
            <w:pPr>
              <w:widowControl/>
              <w:spacing w:line="360" w:lineRule="auto"/>
              <w:ind w:firstLine="420" w:firstLineChars="200"/>
              <w:jc w:val="left"/>
              <w:rPr>
                <w:color w:val="auto"/>
                <w:sz w:val="21"/>
                <w:szCs w:val="21"/>
                <w:highlight w:val="none"/>
              </w:rPr>
            </w:pPr>
            <w:r>
              <w:rPr>
                <w:color w:val="auto"/>
                <w:kern w:val="0"/>
                <w:sz w:val="21"/>
                <w:szCs w:val="21"/>
                <w:highlight w:val="none"/>
                <w:lang w:bidi="ar"/>
              </w:rPr>
              <w:t>③对于风机等高噪声设备采取基座</w:t>
            </w:r>
            <w:r>
              <w:rPr>
                <w:rFonts w:hint="eastAsia"/>
                <w:color w:val="auto"/>
                <w:kern w:val="0"/>
                <w:sz w:val="21"/>
                <w:szCs w:val="21"/>
                <w:highlight w:val="none"/>
                <w:lang w:bidi="ar"/>
              </w:rPr>
              <w:t>减振</w:t>
            </w:r>
            <w:r>
              <w:rPr>
                <w:color w:val="auto"/>
                <w:kern w:val="0"/>
                <w:sz w:val="21"/>
                <w:szCs w:val="21"/>
                <w:highlight w:val="none"/>
                <w:lang w:bidi="ar"/>
              </w:rPr>
              <w:t>、橡胶减振接头及</w:t>
            </w:r>
            <w:r>
              <w:rPr>
                <w:rFonts w:hint="eastAsia"/>
                <w:color w:val="auto"/>
                <w:kern w:val="0"/>
                <w:sz w:val="21"/>
                <w:szCs w:val="21"/>
                <w:highlight w:val="none"/>
                <w:lang w:bidi="ar"/>
              </w:rPr>
              <w:t>减振</w:t>
            </w:r>
            <w:r>
              <w:rPr>
                <w:color w:val="auto"/>
                <w:kern w:val="0"/>
                <w:sz w:val="21"/>
                <w:szCs w:val="21"/>
                <w:highlight w:val="none"/>
                <w:lang w:bidi="ar"/>
              </w:rPr>
              <w:t>垫等措施，</w:t>
            </w:r>
            <w:r>
              <w:rPr>
                <w:rFonts w:hint="eastAsia"/>
                <w:color w:val="auto"/>
                <w:kern w:val="0"/>
                <w:sz w:val="21"/>
                <w:szCs w:val="21"/>
                <w:highlight w:val="none"/>
                <w:lang w:val="en-US" w:eastAsia="zh-CN" w:bidi="ar"/>
              </w:rPr>
              <w:t>并结合消声措施</w:t>
            </w:r>
            <w:r>
              <w:rPr>
                <w:color w:val="auto"/>
                <w:kern w:val="0"/>
                <w:sz w:val="21"/>
                <w:szCs w:val="21"/>
                <w:highlight w:val="none"/>
                <w:lang w:bidi="ar"/>
              </w:rPr>
              <w:t xml:space="preserve">降低噪声源强值； </w:t>
            </w:r>
          </w:p>
          <w:p w14:paraId="677986D8">
            <w:pPr>
              <w:widowControl/>
              <w:spacing w:line="360" w:lineRule="auto"/>
              <w:ind w:firstLine="420" w:firstLineChars="200"/>
              <w:jc w:val="left"/>
              <w:rPr>
                <w:rFonts w:hint="eastAsia"/>
                <w:color w:val="auto"/>
                <w:kern w:val="0"/>
                <w:sz w:val="21"/>
                <w:szCs w:val="21"/>
                <w:highlight w:val="none"/>
                <w:lang w:bidi="ar"/>
              </w:rPr>
            </w:pPr>
            <w:r>
              <w:rPr>
                <w:color w:val="auto"/>
                <w:kern w:val="0"/>
                <w:sz w:val="21"/>
                <w:szCs w:val="21"/>
                <w:highlight w:val="none"/>
                <w:lang w:bidi="ar"/>
              </w:rPr>
              <w:t>④加强设备的维护保养，确保设备处于良好的运转状态，加强了管理，规范操作</w:t>
            </w:r>
            <w:r>
              <w:rPr>
                <w:rFonts w:hint="eastAsia"/>
                <w:color w:val="auto"/>
                <w:kern w:val="0"/>
                <w:sz w:val="21"/>
                <w:szCs w:val="21"/>
                <w:highlight w:val="none"/>
                <w:lang w:bidi="ar"/>
              </w:rPr>
              <w:t>，</w:t>
            </w:r>
            <w:r>
              <w:rPr>
                <w:color w:val="auto"/>
                <w:kern w:val="0"/>
                <w:sz w:val="21"/>
                <w:szCs w:val="21"/>
                <w:highlight w:val="none"/>
                <w:lang w:bidi="ar"/>
              </w:rPr>
              <w:t>杜绝因设备不正常运转时产生的高噪声现象</w:t>
            </w:r>
            <w:r>
              <w:rPr>
                <w:rFonts w:hint="eastAsia"/>
                <w:color w:val="auto"/>
                <w:kern w:val="0"/>
                <w:sz w:val="21"/>
                <w:szCs w:val="21"/>
                <w:highlight w:val="none"/>
                <w:lang w:bidi="ar"/>
              </w:rPr>
              <w:t>。</w:t>
            </w:r>
          </w:p>
          <w:p w14:paraId="7545FA20">
            <w:pPr>
              <w:spacing w:line="360" w:lineRule="auto"/>
              <w:ind w:firstLine="420" w:firstLineChars="200"/>
              <w:jc w:val="left"/>
              <w:rPr>
                <w:rFonts w:hint="default"/>
                <w:color w:val="auto"/>
                <w:kern w:val="0"/>
                <w:sz w:val="21"/>
                <w:szCs w:val="21"/>
                <w:highlight w:val="none"/>
                <w:lang w:val="en-US" w:eastAsia="zh-CN" w:bidi="ar"/>
              </w:rPr>
            </w:pPr>
            <w:r>
              <w:rPr>
                <w:rFonts w:hint="eastAsia"/>
                <w:color w:val="auto"/>
                <w:kern w:val="0"/>
                <w:sz w:val="21"/>
                <w:szCs w:val="21"/>
                <w:highlight w:val="none"/>
                <w:lang w:val="en-US" w:eastAsia="zh-CN" w:bidi="ar"/>
              </w:rPr>
              <w:fldChar w:fldCharType="begin"/>
            </w:r>
            <w:r>
              <w:rPr>
                <w:rFonts w:hint="eastAsia"/>
                <w:color w:val="auto"/>
                <w:kern w:val="0"/>
                <w:sz w:val="21"/>
                <w:szCs w:val="21"/>
                <w:highlight w:val="none"/>
                <w:lang w:val="en-US" w:eastAsia="zh-CN" w:bidi="ar"/>
              </w:rPr>
              <w:instrText xml:space="preserve"> = 5 \* GB3 \* MERGEFORMAT </w:instrText>
            </w:r>
            <w:r>
              <w:rPr>
                <w:rFonts w:hint="eastAsia"/>
                <w:color w:val="auto"/>
                <w:kern w:val="0"/>
                <w:sz w:val="21"/>
                <w:szCs w:val="21"/>
                <w:highlight w:val="none"/>
                <w:lang w:val="en-US" w:eastAsia="zh-CN" w:bidi="ar"/>
              </w:rPr>
              <w:fldChar w:fldCharType="separate"/>
            </w:r>
            <w:r>
              <w:rPr>
                <w:color w:val="auto"/>
                <w:highlight w:val="none"/>
              </w:rPr>
              <w:t>⑤</w:t>
            </w:r>
            <w:r>
              <w:rPr>
                <w:rFonts w:hint="eastAsia"/>
                <w:color w:val="auto"/>
                <w:kern w:val="0"/>
                <w:sz w:val="21"/>
                <w:szCs w:val="21"/>
                <w:highlight w:val="none"/>
                <w:lang w:val="en-US" w:eastAsia="zh-CN" w:bidi="ar"/>
              </w:rPr>
              <w:fldChar w:fldCharType="end"/>
            </w:r>
            <w:r>
              <w:rPr>
                <w:rFonts w:hint="eastAsia"/>
                <w:color w:val="auto"/>
                <w:kern w:val="0"/>
                <w:sz w:val="21"/>
                <w:szCs w:val="21"/>
                <w:highlight w:val="none"/>
                <w:lang w:val="en-US" w:eastAsia="zh-CN" w:bidi="ar"/>
              </w:rPr>
              <w:t>厂界设置绿化带，对噪声也具有一定的削减作用。</w:t>
            </w:r>
          </w:p>
          <w:p w14:paraId="6F6B69A2">
            <w:pPr>
              <w:pStyle w:val="12"/>
              <w:keepNext w:val="0"/>
              <w:keepLines w:val="0"/>
              <w:pageBreakBefore w:val="0"/>
              <w:kinsoku/>
              <w:wordWrap/>
              <w:overflowPunct/>
              <w:topLinePunct w:val="0"/>
              <w:autoSpaceDE/>
              <w:autoSpaceDN/>
              <w:bidi w:val="0"/>
              <w:adjustRightInd/>
              <w:snapToGrid/>
              <w:spacing w:after="0" w:line="360" w:lineRule="auto"/>
              <w:ind w:left="0" w:leftChars="0" w:firstLine="420" w:firstLineChars="200"/>
              <w:textAlignment w:val="auto"/>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2</w:t>
            </w:r>
            <w:r>
              <w:rPr>
                <w:rFonts w:hint="eastAsia"/>
                <w:color w:val="auto"/>
                <w:sz w:val="21"/>
                <w:szCs w:val="21"/>
                <w:highlight w:val="none"/>
              </w:rPr>
              <w:t>）噪声监测</w:t>
            </w:r>
          </w:p>
          <w:p w14:paraId="5250E6F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kern w:val="0"/>
                <w:sz w:val="21"/>
                <w:szCs w:val="21"/>
                <w:highlight w:val="none"/>
                <w:lang w:bidi="ar"/>
              </w:rPr>
              <w:t>根据《排污单位自行监测技术指南 总则（HJ 819-2017）》，</w:t>
            </w:r>
            <w:r>
              <w:rPr>
                <w:rFonts w:hint="eastAsia" w:ascii="Times New Roman" w:hAnsi="Times New Roman" w:cs="Times New Roman"/>
                <w:color w:val="auto"/>
                <w:kern w:val="0"/>
                <w:sz w:val="21"/>
                <w:szCs w:val="21"/>
                <w:highlight w:val="none"/>
                <w:lang w:val="en-US" w:eastAsia="zh-CN" w:bidi="ar"/>
              </w:rPr>
              <w:t>本次环评要求企业对</w:t>
            </w:r>
            <w:r>
              <w:rPr>
                <w:rFonts w:hint="eastAsia"/>
                <w:color w:val="auto"/>
                <w:highlight w:val="none"/>
                <w:lang w:val="en-US" w:eastAsia="zh-CN"/>
              </w:rPr>
              <w:t>基地厂界</w:t>
            </w:r>
            <w:r>
              <w:rPr>
                <w:rFonts w:hint="eastAsia" w:ascii="Times New Roman" w:hAnsi="Times New Roman" w:cs="Times New Roman"/>
                <w:color w:val="auto"/>
                <w:kern w:val="0"/>
                <w:sz w:val="21"/>
                <w:szCs w:val="21"/>
                <w:highlight w:val="none"/>
                <w:lang w:val="en-US" w:eastAsia="zh-CN" w:bidi="ar"/>
              </w:rPr>
              <w:t>东、南、西、北四侧厂界开展噪声监测，</w:t>
            </w:r>
            <w:r>
              <w:rPr>
                <w:rFonts w:hint="default" w:ascii="Times New Roman" w:hAnsi="Times New Roman" w:cs="Times New Roman"/>
                <w:color w:val="auto"/>
                <w:kern w:val="0"/>
                <w:sz w:val="21"/>
                <w:szCs w:val="21"/>
                <w:highlight w:val="none"/>
                <w:lang w:bidi="ar"/>
              </w:rPr>
              <w:t>监测计划</w:t>
            </w:r>
            <w:r>
              <w:rPr>
                <w:rFonts w:hint="default" w:ascii="Times New Roman" w:hAnsi="Times New Roman" w:cs="Times New Roman"/>
                <w:color w:val="auto"/>
                <w:kern w:val="0"/>
                <w:sz w:val="21"/>
                <w:szCs w:val="21"/>
                <w:highlight w:val="none"/>
                <w:lang w:val="en-US" w:eastAsia="zh-CN" w:bidi="ar"/>
              </w:rPr>
              <w:t>见</w:t>
            </w:r>
            <w:r>
              <w:rPr>
                <w:rFonts w:hint="eastAsia" w:ascii="Times New Roman" w:hAnsi="Times New Roman" w:cs="Times New Roman"/>
                <w:color w:val="auto"/>
                <w:kern w:val="0"/>
                <w:sz w:val="21"/>
                <w:szCs w:val="21"/>
                <w:highlight w:val="none"/>
                <w:lang w:val="en-US" w:eastAsia="zh-CN" w:bidi="ar"/>
              </w:rPr>
              <w:t>下表</w:t>
            </w:r>
            <w:r>
              <w:rPr>
                <w:rFonts w:hint="eastAsia" w:ascii="Times New Roman" w:hAnsi="Times New Roman" w:cs="Times New Roman"/>
                <w:color w:val="auto"/>
                <w:kern w:val="0"/>
                <w:sz w:val="21"/>
                <w:szCs w:val="21"/>
                <w:highlight w:val="none"/>
                <w:lang w:eastAsia="zh-CN" w:bidi="ar"/>
              </w:rPr>
              <w:t>。</w:t>
            </w:r>
          </w:p>
          <w:p w14:paraId="1D6B0528">
            <w:pPr>
              <w:keepNext w:val="0"/>
              <w:keepLines w:val="0"/>
              <w:pageBreakBefore w:val="0"/>
              <w:kinsoku/>
              <w:wordWrap/>
              <w:overflowPunct/>
              <w:topLinePunct w:val="0"/>
              <w:autoSpaceDE/>
              <w:autoSpaceDN/>
              <w:bidi w:val="0"/>
              <w:adjustRightInd/>
              <w:snapToGrid/>
              <w:spacing w:line="360" w:lineRule="auto"/>
              <w:jc w:val="center"/>
              <w:textAlignment w:val="auto"/>
              <w:rPr>
                <w:b/>
                <w:bCs/>
                <w:color w:val="auto"/>
                <w:sz w:val="21"/>
                <w:szCs w:val="21"/>
                <w:highlight w:val="none"/>
              </w:rPr>
            </w:pPr>
            <w:r>
              <w:rPr>
                <w:rFonts w:hint="eastAsia"/>
                <w:b/>
                <w:bCs/>
                <w:color w:val="auto"/>
                <w:sz w:val="21"/>
                <w:szCs w:val="21"/>
                <w:highlight w:val="none"/>
              </w:rPr>
              <w:t>表</w:t>
            </w:r>
            <w:r>
              <w:rPr>
                <w:rFonts w:hint="eastAsia"/>
                <w:b/>
                <w:bCs/>
                <w:color w:val="auto"/>
                <w:sz w:val="21"/>
                <w:szCs w:val="21"/>
                <w:highlight w:val="none"/>
                <w:lang w:val="en-US" w:eastAsia="zh-CN"/>
              </w:rPr>
              <w:t>5</w:t>
            </w:r>
            <w:r>
              <w:rPr>
                <w:rFonts w:hint="eastAsia"/>
                <w:b/>
                <w:bCs/>
                <w:color w:val="auto"/>
                <w:sz w:val="21"/>
                <w:szCs w:val="21"/>
                <w:highlight w:val="none"/>
              </w:rPr>
              <w:t>-</w:t>
            </w:r>
            <w:r>
              <w:rPr>
                <w:rFonts w:hint="eastAsia"/>
                <w:b/>
                <w:bCs/>
                <w:color w:val="auto"/>
                <w:sz w:val="21"/>
                <w:szCs w:val="21"/>
                <w:highlight w:val="none"/>
                <w:lang w:val="en-US" w:eastAsia="zh-CN"/>
              </w:rPr>
              <w:t>2</w:t>
            </w:r>
            <w:r>
              <w:rPr>
                <w:rFonts w:hint="eastAsia"/>
                <w:b/>
                <w:bCs/>
                <w:color w:val="auto"/>
                <w:sz w:val="21"/>
                <w:szCs w:val="21"/>
                <w:highlight w:val="none"/>
              </w:rPr>
              <w:t xml:space="preserve">    噪声监测计划</w:t>
            </w:r>
          </w:p>
          <w:tbl>
            <w:tblPr>
              <w:tblStyle w:val="24"/>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40"/>
              <w:gridCol w:w="1711"/>
              <w:gridCol w:w="1566"/>
              <w:gridCol w:w="3021"/>
            </w:tblGrid>
            <w:tr w14:paraId="795213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7" w:type="pct"/>
                  <w:noWrap w:val="0"/>
                  <w:vAlign w:val="center"/>
                </w:tcPr>
                <w:p w14:paraId="51FD55FC">
                  <w:pPr>
                    <w:pStyle w:val="12"/>
                    <w:spacing w:after="0" w:line="240" w:lineRule="auto"/>
                    <w:ind w:left="0" w:leftChars="0"/>
                    <w:jc w:val="center"/>
                    <w:rPr>
                      <w:color w:val="auto"/>
                      <w:sz w:val="18"/>
                      <w:szCs w:val="18"/>
                      <w:highlight w:val="none"/>
                    </w:rPr>
                  </w:pPr>
                  <w:r>
                    <w:rPr>
                      <w:color w:val="auto"/>
                      <w:sz w:val="18"/>
                      <w:szCs w:val="18"/>
                      <w:highlight w:val="none"/>
                    </w:rPr>
                    <w:t>监测点位</w:t>
                  </w:r>
                </w:p>
              </w:tc>
              <w:tc>
                <w:tcPr>
                  <w:tcW w:w="1038" w:type="pct"/>
                  <w:noWrap w:val="0"/>
                  <w:vAlign w:val="center"/>
                </w:tcPr>
                <w:p w14:paraId="4C07A462">
                  <w:pPr>
                    <w:pStyle w:val="12"/>
                    <w:spacing w:after="0" w:line="240" w:lineRule="auto"/>
                    <w:ind w:left="0" w:leftChars="0"/>
                    <w:jc w:val="center"/>
                    <w:rPr>
                      <w:color w:val="auto"/>
                      <w:sz w:val="18"/>
                      <w:szCs w:val="18"/>
                      <w:highlight w:val="none"/>
                    </w:rPr>
                  </w:pPr>
                  <w:r>
                    <w:rPr>
                      <w:color w:val="auto"/>
                      <w:sz w:val="18"/>
                      <w:szCs w:val="18"/>
                      <w:highlight w:val="none"/>
                    </w:rPr>
                    <w:t>监测因子</w:t>
                  </w:r>
                </w:p>
              </w:tc>
              <w:tc>
                <w:tcPr>
                  <w:tcW w:w="950" w:type="pct"/>
                  <w:noWrap w:val="0"/>
                  <w:vAlign w:val="center"/>
                </w:tcPr>
                <w:p w14:paraId="0EDDCEE9">
                  <w:pPr>
                    <w:pStyle w:val="12"/>
                    <w:spacing w:after="0" w:line="240" w:lineRule="auto"/>
                    <w:ind w:left="0" w:leftChars="0"/>
                    <w:jc w:val="center"/>
                    <w:rPr>
                      <w:color w:val="auto"/>
                      <w:sz w:val="18"/>
                      <w:szCs w:val="18"/>
                      <w:highlight w:val="none"/>
                    </w:rPr>
                  </w:pPr>
                  <w:r>
                    <w:rPr>
                      <w:color w:val="auto"/>
                      <w:sz w:val="18"/>
                      <w:szCs w:val="18"/>
                      <w:highlight w:val="none"/>
                    </w:rPr>
                    <w:t>监测频次</w:t>
                  </w:r>
                </w:p>
              </w:tc>
              <w:tc>
                <w:tcPr>
                  <w:tcW w:w="1833" w:type="pct"/>
                  <w:noWrap w:val="0"/>
                  <w:vAlign w:val="center"/>
                </w:tcPr>
                <w:p w14:paraId="0E765584">
                  <w:pPr>
                    <w:pStyle w:val="12"/>
                    <w:spacing w:after="0" w:line="240" w:lineRule="auto"/>
                    <w:ind w:left="0" w:leftChars="0"/>
                    <w:jc w:val="center"/>
                    <w:rPr>
                      <w:color w:val="auto"/>
                      <w:sz w:val="18"/>
                      <w:szCs w:val="18"/>
                      <w:highlight w:val="none"/>
                    </w:rPr>
                  </w:pPr>
                  <w:r>
                    <w:rPr>
                      <w:color w:val="auto"/>
                      <w:sz w:val="18"/>
                      <w:szCs w:val="18"/>
                      <w:highlight w:val="none"/>
                    </w:rPr>
                    <w:t>执行标准</w:t>
                  </w:r>
                </w:p>
              </w:tc>
            </w:tr>
            <w:tr w14:paraId="0B68C6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7" w:type="pct"/>
                  <w:noWrap w:val="0"/>
                  <w:vAlign w:val="center"/>
                </w:tcPr>
                <w:p w14:paraId="1F7205F8">
                  <w:pPr>
                    <w:pStyle w:val="12"/>
                    <w:spacing w:after="0" w:line="240" w:lineRule="auto"/>
                    <w:ind w:left="0" w:leftChars="0"/>
                    <w:jc w:val="center"/>
                    <w:rPr>
                      <w:color w:val="auto"/>
                      <w:sz w:val="18"/>
                      <w:szCs w:val="18"/>
                      <w:highlight w:val="none"/>
                    </w:rPr>
                  </w:pPr>
                  <w:r>
                    <w:rPr>
                      <w:rFonts w:hint="eastAsia"/>
                      <w:color w:val="auto"/>
                      <w:sz w:val="18"/>
                      <w:szCs w:val="18"/>
                      <w:highlight w:val="none"/>
                      <w:lang w:val="en-US" w:eastAsia="zh-CN"/>
                    </w:rPr>
                    <w:t>东侧</w:t>
                  </w:r>
                  <w:r>
                    <w:rPr>
                      <w:color w:val="auto"/>
                      <w:sz w:val="18"/>
                      <w:szCs w:val="18"/>
                      <w:highlight w:val="none"/>
                    </w:rPr>
                    <w:t>厂界外1m</w:t>
                  </w:r>
                </w:p>
              </w:tc>
              <w:tc>
                <w:tcPr>
                  <w:tcW w:w="1038" w:type="pct"/>
                  <w:noWrap w:val="0"/>
                  <w:vAlign w:val="center"/>
                </w:tcPr>
                <w:p w14:paraId="0660EA67">
                  <w:pPr>
                    <w:widowControl/>
                    <w:jc w:val="center"/>
                    <w:rPr>
                      <w:color w:val="auto"/>
                      <w:sz w:val="18"/>
                      <w:szCs w:val="18"/>
                      <w:highlight w:val="none"/>
                    </w:rPr>
                  </w:pPr>
                  <w:r>
                    <w:rPr>
                      <w:color w:val="auto"/>
                      <w:kern w:val="0"/>
                      <w:sz w:val="18"/>
                      <w:szCs w:val="18"/>
                      <w:highlight w:val="none"/>
                      <w:lang w:bidi="ar"/>
                    </w:rPr>
                    <w:t>Leq(A)</w:t>
                  </w:r>
                </w:p>
              </w:tc>
              <w:tc>
                <w:tcPr>
                  <w:tcW w:w="950" w:type="pct"/>
                  <w:noWrap w:val="0"/>
                  <w:vAlign w:val="center"/>
                </w:tcPr>
                <w:p w14:paraId="55A00A01">
                  <w:pPr>
                    <w:pStyle w:val="12"/>
                    <w:spacing w:after="0" w:line="240" w:lineRule="auto"/>
                    <w:ind w:left="0" w:leftChars="0"/>
                    <w:jc w:val="center"/>
                    <w:rPr>
                      <w:color w:val="auto"/>
                      <w:sz w:val="18"/>
                      <w:szCs w:val="18"/>
                      <w:highlight w:val="none"/>
                    </w:rPr>
                  </w:pPr>
                  <w:r>
                    <w:rPr>
                      <w:color w:val="auto"/>
                      <w:sz w:val="18"/>
                      <w:szCs w:val="18"/>
                      <w:highlight w:val="none"/>
                    </w:rPr>
                    <w:t>1次/季度</w:t>
                  </w:r>
                </w:p>
              </w:tc>
              <w:tc>
                <w:tcPr>
                  <w:tcW w:w="1833" w:type="pct"/>
                  <w:vMerge w:val="restart"/>
                  <w:noWrap w:val="0"/>
                  <w:vAlign w:val="center"/>
                </w:tcPr>
                <w:p w14:paraId="254DFC38">
                  <w:pPr>
                    <w:widowControl/>
                    <w:jc w:val="center"/>
                    <w:rPr>
                      <w:color w:val="auto"/>
                      <w:sz w:val="18"/>
                      <w:szCs w:val="18"/>
                      <w:highlight w:val="none"/>
                    </w:rPr>
                  </w:pPr>
                  <w:r>
                    <w:rPr>
                      <w:color w:val="auto"/>
                      <w:kern w:val="0"/>
                      <w:sz w:val="18"/>
                      <w:szCs w:val="18"/>
                      <w:highlight w:val="none"/>
                      <w:lang w:bidi="ar"/>
                    </w:rPr>
                    <w:t>《工业企业厂界环境噪声排放标准》(GB12348-2008)</w:t>
                  </w:r>
                  <w:r>
                    <w:rPr>
                      <w:rFonts w:hint="eastAsia"/>
                      <w:color w:val="auto"/>
                      <w:kern w:val="0"/>
                      <w:sz w:val="18"/>
                      <w:szCs w:val="18"/>
                      <w:highlight w:val="none"/>
                      <w:lang w:val="en-US" w:eastAsia="zh-CN" w:bidi="ar"/>
                    </w:rPr>
                    <w:t>3</w:t>
                  </w:r>
                  <w:r>
                    <w:rPr>
                      <w:color w:val="auto"/>
                      <w:kern w:val="0"/>
                      <w:sz w:val="18"/>
                      <w:szCs w:val="18"/>
                      <w:highlight w:val="none"/>
                      <w:lang w:bidi="ar"/>
                    </w:rPr>
                    <w:t>类标准</w:t>
                  </w:r>
                </w:p>
              </w:tc>
            </w:tr>
            <w:tr w14:paraId="4C455F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7" w:type="pct"/>
                  <w:noWrap w:val="0"/>
                  <w:vAlign w:val="center"/>
                </w:tcPr>
                <w:p w14:paraId="7E45A18F">
                  <w:pPr>
                    <w:pStyle w:val="12"/>
                    <w:spacing w:after="0" w:line="240" w:lineRule="auto"/>
                    <w:ind w:left="0" w:leftChars="0"/>
                    <w:jc w:val="center"/>
                    <w:rPr>
                      <w:color w:val="auto"/>
                      <w:sz w:val="18"/>
                      <w:szCs w:val="18"/>
                      <w:highlight w:val="none"/>
                    </w:rPr>
                  </w:pPr>
                  <w:r>
                    <w:rPr>
                      <w:color w:val="auto"/>
                      <w:sz w:val="18"/>
                      <w:szCs w:val="18"/>
                      <w:highlight w:val="none"/>
                    </w:rPr>
                    <w:t>南</w:t>
                  </w:r>
                  <w:r>
                    <w:rPr>
                      <w:rFonts w:hint="eastAsia"/>
                      <w:color w:val="auto"/>
                      <w:sz w:val="18"/>
                      <w:szCs w:val="18"/>
                      <w:highlight w:val="none"/>
                      <w:lang w:val="en-US" w:eastAsia="zh-CN"/>
                    </w:rPr>
                    <w:t>侧</w:t>
                  </w:r>
                  <w:r>
                    <w:rPr>
                      <w:color w:val="auto"/>
                      <w:sz w:val="18"/>
                      <w:szCs w:val="18"/>
                      <w:highlight w:val="none"/>
                    </w:rPr>
                    <w:t>厂界外1m</w:t>
                  </w:r>
                </w:p>
              </w:tc>
              <w:tc>
                <w:tcPr>
                  <w:tcW w:w="1038" w:type="pct"/>
                  <w:noWrap w:val="0"/>
                  <w:vAlign w:val="center"/>
                </w:tcPr>
                <w:p w14:paraId="6546D7E8">
                  <w:pPr>
                    <w:widowControl/>
                    <w:jc w:val="center"/>
                    <w:rPr>
                      <w:color w:val="auto"/>
                      <w:sz w:val="18"/>
                      <w:szCs w:val="18"/>
                      <w:highlight w:val="none"/>
                    </w:rPr>
                  </w:pPr>
                  <w:r>
                    <w:rPr>
                      <w:color w:val="auto"/>
                      <w:kern w:val="0"/>
                      <w:sz w:val="18"/>
                      <w:szCs w:val="18"/>
                      <w:highlight w:val="none"/>
                      <w:lang w:bidi="ar"/>
                    </w:rPr>
                    <w:t>Leq(A)</w:t>
                  </w:r>
                </w:p>
              </w:tc>
              <w:tc>
                <w:tcPr>
                  <w:tcW w:w="950" w:type="pct"/>
                  <w:noWrap w:val="0"/>
                  <w:vAlign w:val="center"/>
                </w:tcPr>
                <w:p w14:paraId="69DF9ABF">
                  <w:pPr>
                    <w:pStyle w:val="12"/>
                    <w:spacing w:after="0" w:line="240" w:lineRule="auto"/>
                    <w:ind w:left="0" w:leftChars="0"/>
                    <w:jc w:val="center"/>
                    <w:rPr>
                      <w:color w:val="auto"/>
                      <w:sz w:val="18"/>
                      <w:szCs w:val="18"/>
                      <w:highlight w:val="none"/>
                    </w:rPr>
                  </w:pPr>
                  <w:r>
                    <w:rPr>
                      <w:color w:val="auto"/>
                      <w:sz w:val="18"/>
                      <w:szCs w:val="18"/>
                      <w:highlight w:val="none"/>
                    </w:rPr>
                    <w:t>1次/季度</w:t>
                  </w:r>
                </w:p>
              </w:tc>
              <w:tc>
                <w:tcPr>
                  <w:tcW w:w="1833" w:type="pct"/>
                  <w:vMerge w:val="continue"/>
                  <w:noWrap w:val="0"/>
                  <w:vAlign w:val="center"/>
                </w:tcPr>
                <w:p w14:paraId="0FDECC35">
                  <w:pPr>
                    <w:widowControl/>
                    <w:jc w:val="center"/>
                    <w:rPr>
                      <w:color w:val="auto"/>
                      <w:sz w:val="18"/>
                      <w:szCs w:val="18"/>
                      <w:highlight w:val="none"/>
                    </w:rPr>
                  </w:pPr>
                </w:p>
              </w:tc>
            </w:tr>
            <w:tr w14:paraId="049EC3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7" w:type="pct"/>
                  <w:noWrap w:val="0"/>
                  <w:vAlign w:val="center"/>
                </w:tcPr>
                <w:p w14:paraId="34D228F4">
                  <w:pPr>
                    <w:pStyle w:val="12"/>
                    <w:spacing w:after="0" w:line="240" w:lineRule="auto"/>
                    <w:ind w:left="0" w:leftChars="0"/>
                    <w:jc w:val="center"/>
                    <w:rPr>
                      <w:color w:val="auto"/>
                      <w:sz w:val="18"/>
                      <w:szCs w:val="18"/>
                      <w:highlight w:val="none"/>
                    </w:rPr>
                  </w:pPr>
                  <w:r>
                    <w:rPr>
                      <w:rFonts w:hint="eastAsia"/>
                      <w:color w:val="auto"/>
                      <w:sz w:val="18"/>
                      <w:szCs w:val="18"/>
                      <w:highlight w:val="none"/>
                      <w:lang w:val="en-US" w:eastAsia="zh-CN"/>
                    </w:rPr>
                    <w:t>西侧</w:t>
                  </w:r>
                  <w:r>
                    <w:rPr>
                      <w:color w:val="auto"/>
                      <w:sz w:val="18"/>
                      <w:szCs w:val="18"/>
                      <w:highlight w:val="none"/>
                    </w:rPr>
                    <w:t>厂界外1m</w:t>
                  </w:r>
                </w:p>
              </w:tc>
              <w:tc>
                <w:tcPr>
                  <w:tcW w:w="1038" w:type="pct"/>
                  <w:noWrap w:val="0"/>
                  <w:vAlign w:val="center"/>
                </w:tcPr>
                <w:p w14:paraId="707F2655">
                  <w:pPr>
                    <w:widowControl/>
                    <w:jc w:val="center"/>
                    <w:rPr>
                      <w:color w:val="auto"/>
                      <w:sz w:val="18"/>
                      <w:szCs w:val="18"/>
                      <w:highlight w:val="none"/>
                    </w:rPr>
                  </w:pPr>
                  <w:bookmarkStart w:id="9" w:name="OLE_LINK49"/>
                  <w:r>
                    <w:rPr>
                      <w:color w:val="auto"/>
                      <w:kern w:val="0"/>
                      <w:sz w:val="18"/>
                      <w:szCs w:val="18"/>
                      <w:highlight w:val="none"/>
                      <w:lang w:bidi="ar"/>
                    </w:rPr>
                    <w:t>Leq(A)</w:t>
                  </w:r>
                  <w:bookmarkEnd w:id="9"/>
                </w:p>
              </w:tc>
              <w:tc>
                <w:tcPr>
                  <w:tcW w:w="950" w:type="pct"/>
                  <w:noWrap w:val="0"/>
                  <w:vAlign w:val="center"/>
                </w:tcPr>
                <w:p w14:paraId="6FD5A915">
                  <w:pPr>
                    <w:pStyle w:val="12"/>
                    <w:spacing w:after="0" w:line="240" w:lineRule="auto"/>
                    <w:ind w:left="0" w:leftChars="0"/>
                    <w:jc w:val="center"/>
                    <w:rPr>
                      <w:color w:val="auto"/>
                      <w:sz w:val="18"/>
                      <w:szCs w:val="18"/>
                      <w:highlight w:val="none"/>
                    </w:rPr>
                  </w:pPr>
                  <w:bookmarkStart w:id="10" w:name="OLE_LINK48"/>
                  <w:r>
                    <w:rPr>
                      <w:color w:val="auto"/>
                      <w:sz w:val="18"/>
                      <w:szCs w:val="18"/>
                      <w:highlight w:val="none"/>
                    </w:rPr>
                    <w:t>1次/季度</w:t>
                  </w:r>
                  <w:bookmarkEnd w:id="10"/>
                </w:p>
              </w:tc>
              <w:tc>
                <w:tcPr>
                  <w:tcW w:w="1833" w:type="pct"/>
                  <w:vMerge w:val="continue"/>
                  <w:noWrap w:val="0"/>
                  <w:vAlign w:val="center"/>
                </w:tcPr>
                <w:p w14:paraId="585D3F6A">
                  <w:pPr>
                    <w:pStyle w:val="12"/>
                    <w:spacing w:after="0" w:line="240" w:lineRule="auto"/>
                    <w:ind w:left="0" w:leftChars="0"/>
                    <w:jc w:val="center"/>
                    <w:rPr>
                      <w:color w:val="auto"/>
                      <w:sz w:val="18"/>
                      <w:szCs w:val="18"/>
                      <w:highlight w:val="none"/>
                    </w:rPr>
                  </w:pPr>
                </w:p>
              </w:tc>
            </w:tr>
            <w:tr w14:paraId="58EC8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7" w:type="pct"/>
                  <w:noWrap w:val="0"/>
                  <w:vAlign w:val="center"/>
                </w:tcPr>
                <w:p w14:paraId="43ADE3CC">
                  <w:pPr>
                    <w:pStyle w:val="12"/>
                    <w:spacing w:after="0" w:line="240" w:lineRule="auto"/>
                    <w:ind w:left="0" w:leftChars="0"/>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北侧厂界外1m</w:t>
                  </w:r>
                </w:p>
              </w:tc>
              <w:tc>
                <w:tcPr>
                  <w:tcW w:w="1038" w:type="pct"/>
                  <w:noWrap w:val="0"/>
                  <w:vAlign w:val="center"/>
                </w:tcPr>
                <w:p w14:paraId="07E4587A">
                  <w:pPr>
                    <w:widowControl/>
                    <w:jc w:val="center"/>
                    <w:rPr>
                      <w:color w:val="auto"/>
                      <w:kern w:val="0"/>
                      <w:sz w:val="18"/>
                      <w:szCs w:val="18"/>
                      <w:highlight w:val="none"/>
                      <w:lang w:bidi="ar"/>
                    </w:rPr>
                  </w:pPr>
                  <w:r>
                    <w:rPr>
                      <w:color w:val="auto"/>
                      <w:kern w:val="0"/>
                      <w:sz w:val="18"/>
                      <w:szCs w:val="18"/>
                      <w:highlight w:val="none"/>
                      <w:lang w:bidi="ar"/>
                    </w:rPr>
                    <w:t>Leq(A)</w:t>
                  </w:r>
                </w:p>
              </w:tc>
              <w:tc>
                <w:tcPr>
                  <w:tcW w:w="950" w:type="pct"/>
                  <w:noWrap w:val="0"/>
                  <w:vAlign w:val="center"/>
                </w:tcPr>
                <w:p w14:paraId="03325626">
                  <w:pPr>
                    <w:pStyle w:val="12"/>
                    <w:spacing w:after="0" w:line="240" w:lineRule="auto"/>
                    <w:ind w:left="0" w:leftChars="0"/>
                    <w:jc w:val="center"/>
                    <w:rPr>
                      <w:color w:val="auto"/>
                      <w:sz w:val="18"/>
                      <w:szCs w:val="18"/>
                      <w:highlight w:val="none"/>
                    </w:rPr>
                  </w:pPr>
                  <w:r>
                    <w:rPr>
                      <w:color w:val="auto"/>
                      <w:sz w:val="18"/>
                      <w:szCs w:val="18"/>
                      <w:highlight w:val="none"/>
                    </w:rPr>
                    <w:t>1次/季度</w:t>
                  </w:r>
                </w:p>
              </w:tc>
              <w:tc>
                <w:tcPr>
                  <w:tcW w:w="1833" w:type="pct"/>
                  <w:vMerge w:val="continue"/>
                  <w:noWrap w:val="0"/>
                  <w:vAlign w:val="center"/>
                </w:tcPr>
                <w:p w14:paraId="79FB9021">
                  <w:pPr>
                    <w:pStyle w:val="12"/>
                    <w:spacing w:after="0" w:line="240" w:lineRule="auto"/>
                    <w:ind w:left="0" w:leftChars="0"/>
                    <w:jc w:val="center"/>
                    <w:rPr>
                      <w:color w:val="auto"/>
                      <w:sz w:val="18"/>
                      <w:szCs w:val="18"/>
                      <w:highlight w:val="none"/>
                    </w:rPr>
                  </w:pPr>
                </w:p>
              </w:tc>
            </w:tr>
          </w:tbl>
          <w:p w14:paraId="501D0CC7">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22" w:firstLineChars="200"/>
              <w:textAlignment w:val="auto"/>
              <w:rPr>
                <w:rFonts w:hint="default" w:eastAsia="宋体"/>
                <w:b/>
                <w:color w:val="auto"/>
                <w:kern w:val="21"/>
                <w:sz w:val="21"/>
                <w:szCs w:val="21"/>
                <w:highlight w:val="none"/>
                <w:lang w:val="en-US" w:eastAsia="zh-CN"/>
              </w:rPr>
            </w:pPr>
            <w:r>
              <w:rPr>
                <w:b/>
                <w:color w:val="auto"/>
                <w:kern w:val="21"/>
                <w:sz w:val="21"/>
                <w:szCs w:val="21"/>
                <w:highlight w:val="none"/>
              </w:rPr>
              <w:t>4、固体废物</w:t>
            </w:r>
            <w:r>
              <w:rPr>
                <w:rFonts w:hint="eastAsia"/>
                <w:b/>
                <w:color w:val="auto"/>
                <w:kern w:val="21"/>
                <w:sz w:val="21"/>
                <w:szCs w:val="21"/>
                <w:highlight w:val="none"/>
                <w:lang w:val="en-US" w:eastAsia="zh-CN"/>
              </w:rPr>
              <w:t>防控措施</w:t>
            </w:r>
          </w:p>
          <w:p w14:paraId="6FC133B3">
            <w:pPr>
              <w:spacing w:line="360" w:lineRule="auto"/>
              <w:ind w:firstLine="420" w:firstLineChars="200"/>
              <w:rPr>
                <w:rFonts w:hint="eastAsia"/>
                <w:b w:val="0"/>
                <w:bCs/>
                <w:color w:val="auto"/>
                <w:sz w:val="21"/>
                <w:szCs w:val="21"/>
                <w:highlight w:val="none"/>
                <w:lang w:val="en-US" w:eastAsia="zh-CN"/>
              </w:rPr>
            </w:pPr>
            <w:r>
              <w:rPr>
                <w:rFonts w:hint="eastAsia"/>
                <w:b w:val="0"/>
                <w:bCs/>
                <w:color w:val="auto"/>
                <w:sz w:val="21"/>
                <w:szCs w:val="21"/>
                <w:highlight w:val="none"/>
                <w:lang w:eastAsia="zh-CN"/>
              </w:rPr>
              <w:t>（</w:t>
            </w:r>
            <w:r>
              <w:rPr>
                <w:rFonts w:hint="eastAsia"/>
                <w:b w:val="0"/>
                <w:bCs/>
                <w:color w:val="auto"/>
                <w:sz w:val="21"/>
                <w:szCs w:val="21"/>
                <w:highlight w:val="none"/>
                <w:lang w:val="en-US" w:eastAsia="zh-CN"/>
              </w:rPr>
              <w:t>1</w:t>
            </w:r>
            <w:r>
              <w:rPr>
                <w:rFonts w:hint="eastAsia"/>
                <w:b w:val="0"/>
                <w:bCs/>
                <w:color w:val="auto"/>
                <w:sz w:val="21"/>
                <w:szCs w:val="21"/>
                <w:highlight w:val="none"/>
                <w:lang w:eastAsia="zh-CN"/>
              </w:rPr>
              <w:t>）</w:t>
            </w:r>
            <w:r>
              <w:rPr>
                <w:rFonts w:hint="eastAsia"/>
                <w:b w:val="0"/>
                <w:bCs/>
                <w:color w:val="auto"/>
                <w:sz w:val="21"/>
                <w:szCs w:val="21"/>
                <w:highlight w:val="none"/>
                <w:lang w:val="en-US" w:eastAsia="zh-CN"/>
              </w:rPr>
              <w:t>生活垃圾</w:t>
            </w:r>
          </w:p>
          <w:p w14:paraId="7ED04240">
            <w:pPr>
              <w:pStyle w:val="7"/>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left="0" w:leftChars="0" w:right="0" w:rightChars="0" w:firstLine="420" w:firstLineChars="200"/>
              <w:textAlignment w:val="auto"/>
              <w:rPr>
                <w:b w:val="0"/>
                <w:bCs/>
                <w:color w:val="auto"/>
                <w:sz w:val="21"/>
                <w:szCs w:val="21"/>
                <w:highlight w:val="none"/>
              </w:rPr>
            </w:pPr>
            <w:r>
              <w:rPr>
                <w:rFonts w:hint="eastAsia"/>
                <w:b w:val="0"/>
                <w:bCs/>
                <w:color w:val="auto"/>
                <w:sz w:val="21"/>
                <w:szCs w:val="21"/>
                <w:highlight w:val="none"/>
              </w:rPr>
              <w:t>本项目生活垃圾主要来源于办公人员工作中产生的生活垃圾。</w:t>
            </w:r>
            <w:r>
              <w:rPr>
                <w:rFonts w:hint="eastAsia"/>
                <w:b w:val="0"/>
                <w:bCs/>
                <w:color w:val="auto"/>
                <w:sz w:val="21"/>
                <w:szCs w:val="21"/>
                <w:highlight w:val="none"/>
                <w:lang w:val="en-US" w:eastAsia="zh-CN"/>
              </w:rPr>
              <w:t>运营期</w:t>
            </w:r>
            <w:r>
              <w:rPr>
                <w:rFonts w:hint="eastAsia" w:ascii="Times New Roman" w:hAnsi="Times New Roman" w:eastAsia="宋体" w:cs="Times New Roman"/>
                <w:color w:val="auto"/>
                <w:sz w:val="21"/>
                <w:szCs w:val="21"/>
                <w:highlight w:val="none"/>
                <w:lang w:val="en-US" w:eastAsia="zh-CN"/>
              </w:rPr>
              <w:t>生活垃圾</w:t>
            </w:r>
            <w:r>
              <w:rPr>
                <w:rFonts w:hint="default" w:ascii="Times New Roman" w:hAnsi="Times New Roman" w:eastAsia="宋体" w:cs="Times New Roman"/>
                <w:color w:val="auto"/>
                <w:sz w:val="21"/>
                <w:szCs w:val="21"/>
                <w:highlight w:val="none"/>
              </w:rPr>
              <w:t>要求分类收集，</w:t>
            </w:r>
            <w:r>
              <w:rPr>
                <w:rFonts w:hint="eastAsia" w:ascii="Times New Roman" w:hAnsi="Times New Roman" w:eastAsia="宋体" w:cs="Times New Roman"/>
                <w:color w:val="auto"/>
                <w:sz w:val="21"/>
                <w:szCs w:val="21"/>
                <w:highlight w:val="none"/>
                <w:lang w:val="en-US" w:eastAsia="zh-CN"/>
              </w:rPr>
              <w:t>定期清运至就近的生活垃圾填埋场处置</w:t>
            </w:r>
            <w:r>
              <w:rPr>
                <w:rFonts w:hint="eastAsia"/>
                <w:b w:val="0"/>
                <w:bCs/>
                <w:color w:val="auto"/>
                <w:sz w:val="21"/>
                <w:szCs w:val="21"/>
                <w:highlight w:val="none"/>
              </w:rPr>
              <w:t>。</w:t>
            </w:r>
          </w:p>
          <w:p w14:paraId="224958AB">
            <w:pPr>
              <w:pStyle w:val="12"/>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（2）工业固废</w:t>
            </w:r>
          </w:p>
          <w:p w14:paraId="4986424A">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本项目运营期不直接产生工业固废。厂区内设置的危废库主要用于贮存后续入驻的中试项目所产生的危险废物。考虑到中试项目以煤化工相关工艺为主，其实际运行过程中可能产生的危险废物种类及数量，</w:t>
            </w:r>
            <w:r>
              <w:rPr>
                <w:rFonts w:hint="eastAsia" w:ascii="Times New Roman" w:hAnsi="Times New Roman" w:eastAsia="宋体" w:cs="Times New Roman"/>
                <w:b w:val="0"/>
                <w:bCs/>
                <w:color w:val="auto"/>
                <w:sz w:val="21"/>
                <w:szCs w:val="21"/>
                <w:highlight w:val="none"/>
                <w:lang w:val="en-US" w:eastAsia="zh-CN"/>
              </w:rPr>
              <w:t>应</w:t>
            </w:r>
            <w:r>
              <w:rPr>
                <w:rFonts w:hint="default" w:ascii="Times New Roman" w:hAnsi="Times New Roman" w:eastAsia="宋体" w:cs="Times New Roman"/>
                <w:b w:val="0"/>
                <w:bCs/>
                <w:color w:val="auto"/>
                <w:sz w:val="21"/>
                <w:szCs w:val="21"/>
                <w:highlight w:val="none"/>
              </w:rPr>
              <w:t>根据未来具体入驻项目的工艺路线、原料特性及实际运行情况确定。因此，危废库的设计将兼顾煤化工中试过程的潜在产废特点，其贮存对象以实际产生的危险废物为准。</w:t>
            </w:r>
          </w:p>
          <w:p w14:paraId="497BA2E9">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b w:val="0"/>
                <w:bCs w:val="0"/>
                <w:color w:val="auto"/>
                <w:kern w:val="0"/>
                <w:sz w:val="21"/>
                <w:szCs w:val="21"/>
                <w:highlight w:val="none"/>
                <w:vertAlign w:val="baseline"/>
                <w:lang w:val="en-US" w:eastAsia="zh-CN"/>
              </w:rPr>
            </w:pPr>
            <w:r>
              <w:rPr>
                <w:rFonts w:hint="default" w:ascii="Times New Roman" w:hAnsi="Times New Roman" w:eastAsia="宋体" w:cs="Times New Roman"/>
                <w:b w:val="0"/>
                <w:bCs w:val="0"/>
                <w:color w:val="auto"/>
                <w:kern w:val="0"/>
                <w:sz w:val="21"/>
                <w:szCs w:val="21"/>
                <w:highlight w:val="none"/>
                <w:vertAlign w:val="baseline"/>
                <w:lang w:val="en-US" w:eastAsia="zh-CN"/>
              </w:rPr>
              <w:t>本项目危废库占地面积278.31m</w:t>
            </w:r>
            <w:r>
              <w:rPr>
                <w:rFonts w:hint="default" w:ascii="Times New Roman" w:hAnsi="Times New Roman" w:eastAsia="宋体" w:cs="Times New Roman"/>
                <w:b w:val="0"/>
                <w:bCs w:val="0"/>
                <w:color w:val="auto"/>
                <w:kern w:val="0"/>
                <w:sz w:val="21"/>
                <w:szCs w:val="21"/>
                <w:highlight w:val="none"/>
                <w:vertAlign w:val="superscript"/>
                <w:lang w:val="en-US" w:eastAsia="zh-CN"/>
              </w:rPr>
              <w:t>2</w:t>
            </w:r>
            <w:r>
              <w:rPr>
                <w:rFonts w:hint="default" w:ascii="Times New Roman" w:hAnsi="Times New Roman" w:eastAsia="宋体" w:cs="Times New Roman"/>
                <w:b w:val="0"/>
                <w:bCs w:val="0"/>
                <w:color w:val="auto"/>
                <w:kern w:val="0"/>
                <w:sz w:val="21"/>
                <w:szCs w:val="21"/>
                <w:highlight w:val="none"/>
                <w:vertAlign w:val="baseline"/>
                <w:lang w:val="en-US" w:eastAsia="zh-CN"/>
              </w:rPr>
              <w:t>，建筑面积278.31m</w:t>
            </w:r>
            <w:r>
              <w:rPr>
                <w:rFonts w:hint="default" w:ascii="Times New Roman" w:hAnsi="Times New Roman" w:eastAsia="宋体" w:cs="Times New Roman"/>
                <w:b w:val="0"/>
                <w:bCs w:val="0"/>
                <w:color w:val="auto"/>
                <w:kern w:val="0"/>
                <w:sz w:val="21"/>
                <w:szCs w:val="21"/>
                <w:highlight w:val="none"/>
                <w:vertAlign w:val="superscript"/>
                <w:lang w:val="en-US" w:eastAsia="zh-CN"/>
              </w:rPr>
              <w:t>2</w:t>
            </w:r>
            <w:r>
              <w:rPr>
                <w:rFonts w:hint="default" w:ascii="Times New Roman" w:hAnsi="Times New Roman" w:eastAsia="宋体" w:cs="Times New Roman"/>
                <w:b w:val="0"/>
                <w:bCs w:val="0"/>
                <w:color w:val="auto"/>
                <w:kern w:val="0"/>
                <w:sz w:val="21"/>
                <w:szCs w:val="21"/>
                <w:highlight w:val="none"/>
                <w:vertAlign w:val="baseline"/>
                <w:lang w:val="en-US" w:eastAsia="zh-CN"/>
              </w:rPr>
              <w:t>，1层，高8.3m，框架结构，</w:t>
            </w:r>
            <w:r>
              <w:rPr>
                <w:rFonts w:hint="eastAsia" w:ascii="Times New Roman" w:hAnsi="Times New Roman" w:eastAsia="宋体" w:cs="Times New Roman"/>
                <w:b w:val="0"/>
                <w:bCs w:val="0"/>
                <w:color w:val="auto"/>
                <w:kern w:val="0"/>
                <w:sz w:val="21"/>
                <w:szCs w:val="21"/>
                <w:highlight w:val="none"/>
                <w:vertAlign w:val="baseline"/>
                <w:lang w:val="en-US" w:eastAsia="zh-CN"/>
              </w:rPr>
              <w:t>拟</w:t>
            </w:r>
            <w:r>
              <w:rPr>
                <w:rFonts w:hint="default" w:ascii="Times New Roman" w:hAnsi="Times New Roman" w:eastAsia="宋体" w:cs="Times New Roman"/>
                <w:b w:val="0"/>
                <w:bCs w:val="0"/>
                <w:color w:val="auto"/>
                <w:kern w:val="0"/>
                <w:sz w:val="21"/>
                <w:szCs w:val="21"/>
                <w:highlight w:val="none"/>
                <w:vertAlign w:val="baseline"/>
                <w:lang w:val="en-US" w:eastAsia="zh-CN"/>
              </w:rPr>
              <w:t>设计最大库容220t。</w:t>
            </w:r>
            <w:r>
              <w:rPr>
                <w:rFonts w:hint="eastAsia" w:ascii="Times New Roman" w:hAnsi="Times New Roman" w:eastAsia="宋体" w:cs="Times New Roman"/>
                <w:b w:val="0"/>
                <w:bCs w:val="0"/>
                <w:color w:val="auto"/>
                <w:kern w:val="0"/>
                <w:sz w:val="21"/>
                <w:szCs w:val="21"/>
                <w:highlight w:val="none"/>
                <w:vertAlign w:val="baseline"/>
                <w:lang w:val="en-US" w:eastAsia="zh-CN"/>
              </w:rPr>
              <w:t>根据入驻中试项目危废的产生量、种类、理化性质，选用适宜的闭口容器收集盛装，液态固废容器尽可能采用托盘贮存，严格实施分区贮存管理，设置显著的危废标示；中试项目危废产生量通常较小，但随着入驻企业数量的增多，危废数量也会随之增多，本项目通过调整各类危废贮存周期，可确保库容满足入驻中试项目危废贮存需求。</w:t>
            </w:r>
          </w:p>
          <w:p w14:paraId="1AD886DF">
            <w:pPr>
              <w:keepNext w:val="0"/>
              <w:keepLines w:val="0"/>
              <w:pageBreakBefore w:val="0"/>
              <w:widowControl/>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rPr>
              <w:t>基地危废库严格按照</w:t>
            </w:r>
            <w:r>
              <w:rPr>
                <w:rFonts w:hint="default" w:ascii="Times New Roman" w:hAnsi="Times New Roman" w:eastAsia="宋体" w:cs="Times New Roman"/>
                <w:b w:val="0"/>
                <w:bCs w:val="0"/>
                <w:color w:val="auto"/>
                <w:sz w:val="21"/>
                <w:szCs w:val="21"/>
                <w:highlight w:val="none"/>
              </w:rPr>
              <w:t>《危险废物贮存污染控制标准》（GB18597-2023）要求</w:t>
            </w:r>
            <w:r>
              <w:rPr>
                <w:rFonts w:hint="default" w:ascii="Times New Roman" w:hAnsi="Times New Roman" w:eastAsia="宋体" w:cs="Times New Roman"/>
                <w:b w:val="0"/>
                <w:bCs w:val="0"/>
                <w:color w:val="auto"/>
                <w:sz w:val="21"/>
                <w:szCs w:val="21"/>
                <w:highlight w:val="none"/>
                <w:lang w:val="en-US" w:eastAsia="zh-CN"/>
              </w:rPr>
              <w:t>建设。</w:t>
            </w:r>
            <w:r>
              <w:rPr>
                <w:rFonts w:hint="default" w:ascii="Times New Roman" w:hAnsi="Times New Roman" w:eastAsia="宋体" w:cs="Times New Roman"/>
                <w:color w:val="auto"/>
                <w:kern w:val="2"/>
                <w:sz w:val="21"/>
                <w:szCs w:val="21"/>
                <w:highlight w:val="none"/>
                <w:lang w:val="en-US" w:eastAsia="zh-CN"/>
              </w:rPr>
              <w:t>库内四周地面沿墙角设置导流渠和1m</w:t>
            </w:r>
            <w:r>
              <w:rPr>
                <w:rFonts w:hint="default" w:ascii="Times New Roman" w:hAnsi="Times New Roman" w:eastAsia="宋体" w:cs="Times New Roman"/>
                <w:color w:val="auto"/>
                <w:kern w:val="2"/>
                <w:sz w:val="21"/>
                <w:szCs w:val="21"/>
                <w:highlight w:val="none"/>
                <w:vertAlign w:val="superscript"/>
                <w:lang w:val="en-US" w:eastAsia="zh-CN"/>
              </w:rPr>
              <w:t>3</w:t>
            </w:r>
            <w:r>
              <w:rPr>
                <w:rFonts w:hint="default" w:ascii="Times New Roman" w:hAnsi="Times New Roman" w:eastAsia="宋体" w:cs="Times New Roman"/>
                <w:color w:val="auto"/>
                <w:kern w:val="2"/>
                <w:sz w:val="21"/>
                <w:szCs w:val="21"/>
                <w:highlight w:val="none"/>
                <w:lang w:val="en-US" w:eastAsia="zh-CN"/>
              </w:rPr>
              <w:t>的集液池，导流渠与集液池相连，用于收集可能泄漏的液态危废。</w:t>
            </w:r>
            <w:r>
              <w:rPr>
                <w:rFonts w:hint="default" w:ascii="Times New Roman" w:hAnsi="Times New Roman" w:eastAsia="宋体" w:cs="Times New Roman"/>
                <w:bCs/>
                <w:color w:val="auto"/>
                <w:sz w:val="21"/>
                <w:szCs w:val="21"/>
                <w:highlight w:val="none"/>
              </w:rPr>
              <w:t>库房地面</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lang w:val="en-US" w:eastAsia="zh-CN"/>
              </w:rPr>
              <w:t>导流渠、收集池防渗结构为：</w:t>
            </w:r>
            <w:r>
              <w:rPr>
                <w:rFonts w:hint="default" w:ascii="Times New Roman" w:hAnsi="Times New Roman" w:eastAsia="宋体" w:cs="Times New Roman"/>
                <w:color w:val="auto"/>
                <w:kern w:val="2"/>
                <w:sz w:val="21"/>
                <w:szCs w:val="21"/>
                <w:highlight w:val="none"/>
                <w:lang w:val="en-US" w:eastAsia="zh-CN" w:bidi="ar-SA"/>
              </w:rPr>
              <w:t>200mm后C30混凝土（抗渗等级P8）+2mm厚HDPE膜（</w:t>
            </w:r>
            <w:r>
              <w:rPr>
                <w:rFonts w:hint="default" w:ascii="Times New Roman" w:hAnsi="Times New Roman" w:eastAsia="宋体" w:cs="Times New Roman"/>
                <w:color w:val="auto"/>
                <w:kern w:val="0"/>
                <w:sz w:val="21"/>
                <w:szCs w:val="21"/>
                <w:highlight w:val="none"/>
                <w:lang w:bidi="ar"/>
              </w:rPr>
              <w:t>渗透系数不大于10</w:t>
            </w:r>
            <w:r>
              <w:rPr>
                <w:rFonts w:hint="default" w:ascii="Times New Roman" w:hAnsi="Times New Roman" w:eastAsia="宋体" w:cs="Times New Roman"/>
                <w:color w:val="auto"/>
                <w:kern w:val="0"/>
                <w:sz w:val="21"/>
                <w:szCs w:val="21"/>
                <w:highlight w:val="none"/>
                <w:vertAlign w:val="superscript"/>
                <w:lang w:bidi="ar"/>
              </w:rPr>
              <w:t>-10</w:t>
            </w:r>
            <w:r>
              <w:rPr>
                <w:rFonts w:hint="default" w:ascii="Times New Roman" w:hAnsi="Times New Roman" w:eastAsia="宋体" w:cs="Times New Roman"/>
                <w:color w:val="auto"/>
                <w:kern w:val="0"/>
                <w:sz w:val="21"/>
                <w:szCs w:val="21"/>
                <w:highlight w:val="none"/>
                <w:lang w:bidi="ar"/>
              </w:rPr>
              <w:t>cm/s</w:t>
            </w:r>
            <w:r>
              <w:rPr>
                <w:rFonts w:hint="default" w:ascii="Times New Roman" w:hAnsi="Times New Roman" w:eastAsia="宋体" w:cs="Times New Roman"/>
                <w:color w:val="auto"/>
                <w:kern w:val="2"/>
                <w:sz w:val="21"/>
                <w:szCs w:val="21"/>
                <w:highlight w:val="none"/>
                <w:lang w:val="en-US" w:eastAsia="zh-CN" w:bidi="ar-SA"/>
              </w:rPr>
              <w:t>）。库房为全封闭结构，满足防晒、防风、防雨、防渗</w:t>
            </w:r>
            <w:r>
              <w:rPr>
                <w:rFonts w:hint="eastAsia" w:ascii="Times New Roman" w:hAnsi="Times New Roman" w:eastAsia="宋体" w:cs="Times New Roman"/>
                <w:color w:val="auto"/>
                <w:kern w:val="2"/>
                <w:sz w:val="21"/>
                <w:szCs w:val="21"/>
                <w:highlight w:val="none"/>
                <w:lang w:val="en-US" w:eastAsia="zh-CN" w:bidi="ar-SA"/>
              </w:rPr>
              <w:t>、防漏、防腐</w:t>
            </w:r>
            <w:r>
              <w:rPr>
                <w:rFonts w:hint="default" w:ascii="Times New Roman" w:hAnsi="Times New Roman" w:eastAsia="宋体" w:cs="Times New Roman"/>
                <w:color w:val="auto"/>
                <w:kern w:val="2"/>
                <w:sz w:val="21"/>
                <w:szCs w:val="21"/>
                <w:highlight w:val="none"/>
                <w:lang w:val="en-US" w:eastAsia="zh-CN" w:bidi="ar-SA"/>
              </w:rPr>
              <w:t>要求。</w:t>
            </w:r>
          </w:p>
          <w:p w14:paraId="7E393564">
            <w:pPr>
              <w:keepLines w:val="0"/>
              <w:pageBreakBefore w:val="0"/>
              <w:widowControl/>
              <w:kinsoku/>
              <w:wordWrap/>
              <w:overflowPunct/>
              <w:topLinePunct w:val="0"/>
              <w:autoSpaceDE/>
              <w:autoSpaceDN/>
              <w:bidi w:val="0"/>
              <w:spacing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由于贮存危废的种类</w:t>
            </w:r>
            <w:r>
              <w:rPr>
                <w:rFonts w:hint="eastAsia" w:ascii="Times New Roman" w:hAnsi="Times New Roman" w:eastAsia="宋体" w:cs="Times New Roman"/>
                <w:color w:val="auto"/>
                <w:kern w:val="2"/>
                <w:sz w:val="21"/>
                <w:szCs w:val="21"/>
                <w:highlight w:val="none"/>
                <w:lang w:val="en-US" w:eastAsia="zh-CN" w:bidi="ar-SA"/>
              </w:rPr>
              <w:t>、</w:t>
            </w:r>
            <w:r>
              <w:rPr>
                <w:rFonts w:hint="default" w:ascii="Times New Roman" w:hAnsi="Times New Roman" w:eastAsia="宋体" w:cs="Times New Roman"/>
                <w:color w:val="auto"/>
                <w:kern w:val="2"/>
                <w:sz w:val="21"/>
                <w:szCs w:val="21"/>
                <w:highlight w:val="none"/>
                <w:lang w:val="en-US" w:eastAsia="zh-CN" w:bidi="ar-SA"/>
              </w:rPr>
              <w:t>挥发性</w:t>
            </w:r>
            <w:r>
              <w:rPr>
                <w:rFonts w:hint="eastAsia" w:ascii="Times New Roman" w:hAnsi="Times New Roman" w:eastAsia="宋体" w:cs="Times New Roman"/>
                <w:color w:val="auto"/>
                <w:kern w:val="2"/>
                <w:sz w:val="21"/>
                <w:szCs w:val="21"/>
                <w:highlight w:val="none"/>
                <w:lang w:val="en-US" w:eastAsia="zh-CN" w:bidi="ar-SA"/>
              </w:rPr>
              <w:t>等</w:t>
            </w:r>
            <w:r>
              <w:rPr>
                <w:rFonts w:hint="default" w:ascii="Times New Roman" w:hAnsi="Times New Roman" w:eastAsia="宋体" w:cs="Times New Roman"/>
                <w:color w:val="auto"/>
                <w:kern w:val="2"/>
                <w:sz w:val="21"/>
                <w:szCs w:val="21"/>
                <w:highlight w:val="none"/>
                <w:lang w:val="en-US" w:eastAsia="zh-CN" w:bidi="ar-SA"/>
              </w:rPr>
              <w:t>暂时不能确定，本次环评要求现阶段危废库对贮存的危废主要通过分区存放，</w:t>
            </w:r>
            <w:r>
              <w:rPr>
                <w:rFonts w:ascii="宋体" w:hAnsi="宋体" w:eastAsia="宋体" w:cs="宋体"/>
                <w:color w:val="auto"/>
                <w:kern w:val="0"/>
                <w:sz w:val="21"/>
                <w:szCs w:val="21"/>
                <w:highlight w:val="none"/>
                <w:lang w:val="en-US" w:eastAsia="zh-CN" w:bidi="ar"/>
              </w:rPr>
              <w:t>根据其物理化学性质及相容性，选用合适的</w:t>
            </w:r>
            <w:r>
              <w:rPr>
                <w:rFonts w:hint="eastAsia" w:ascii="宋体" w:hAnsi="宋体" w:eastAsia="宋体" w:cs="宋体"/>
                <w:color w:val="auto"/>
                <w:kern w:val="0"/>
                <w:sz w:val="21"/>
                <w:szCs w:val="21"/>
                <w:highlight w:val="none"/>
                <w:lang w:val="en-US" w:eastAsia="zh-CN" w:bidi="ar"/>
              </w:rPr>
              <w:t>闭口</w:t>
            </w:r>
            <w:r>
              <w:rPr>
                <w:rFonts w:ascii="宋体" w:hAnsi="宋体" w:eastAsia="宋体" w:cs="宋体"/>
                <w:color w:val="auto"/>
                <w:kern w:val="0"/>
                <w:sz w:val="21"/>
                <w:szCs w:val="21"/>
                <w:highlight w:val="none"/>
                <w:lang w:val="en-US" w:eastAsia="zh-CN" w:bidi="ar"/>
              </w:rPr>
              <w:t>容器收集</w:t>
            </w:r>
            <w:r>
              <w:rPr>
                <w:rFonts w:hint="eastAsia" w:ascii="宋体" w:hAnsi="宋体" w:eastAsia="宋体" w:cs="宋体"/>
                <w:color w:val="auto"/>
                <w:kern w:val="0"/>
                <w:sz w:val="21"/>
                <w:szCs w:val="21"/>
                <w:highlight w:val="none"/>
                <w:lang w:val="en-US" w:eastAsia="zh-CN" w:bidi="ar"/>
              </w:rPr>
              <w:t>盛装</w:t>
            </w:r>
            <w:r>
              <w:rPr>
                <w:rFonts w:hint="default" w:ascii="Times New Roman" w:hAnsi="Times New Roman" w:eastAsia="宋体" w:cs="Times New Roman"/>
                <w:color w:val="auto"/>
                <w:kern w:val="2"/>
                <w:sz w:val="21"/>
                <w:szCs w:val="21"/>
                <w:highlight w:val="none"/>
                <w:lang w:val="en-US" w:eastAsia="zh-CN" w:bidi="ar-SA"/>
              </w:rPr>
              <w:t>，缩短贮存时间等措施，以满足危废的贮存和减少挥发性废气的排放。</w:t>
            </w:r>
            <w:r>
              <w:rPr>
                <w:rFonts w:hint="eastAsia" w:ascii="Times New Roman" w:hAnsi="Times New Roman" w:eastAsia="宋体" w:cs="Times New Roman"/>
                <w:color w:val="auto"/>
                <w:kern w:val="2"/>
                <w:sz w:val="21"/>
                <w:szCs w:val="21"/>
                <w:highlight w:val="none"/>
                <w:lang w:val="en-US" w:eastAsia="zh-CN" w:bidi="ar-SA"/>
              </w:rPr>
              <w:t>如</w:t>
            </w:r>
            <w:r>
              <w:rPr>
                <w:rFonts w:hint="default" w:ascii="Times New Roman" w:hAnsi="Times New Roman" w:eastAsia="宋体" w:cs="Times New Roman"/>
                <w:b w:val="0"/>
                <w:bCs w:val="0"/>
                <w:color w:val="auto"/>
                <w:sz w:val="21"/>
                <w:szCs w:val="21"/>
                <w:highlight w:val="none"/>
                <w:lang w:val="en-US" w:eastAsia="zh-CN"/>
              </w:rPr>
              <w:t>后续中试项目产生的危废属于</w:t>
            </w:r>
            <w:r>
              <w:rPr>
                <w:rFonts w:hint="default" w:ascii="Times New Roman" w:hAnsi="Times New Roman" w:eastAsia="宋体" w:cs="Times New Roman"/>
                <w:color w:val="auto"/>
                <w:kern w:val="0"/>
                <w:sz w:val="21"/>
                <w:szCs w:val="21"/>
                <w:highlight w:val="none"/>
                <w:lang w:val="en-US" w:eastAsia="zh-CN" w:bidi="ar"/>
              </w:rPr>
              <w:t>易产生粉尘、VOCs、酸雾、有毒有害大气污染物和刺激性气味气体的废物，则应根据</w:t>
            </w:r>
            <w:r>
              <w:rPr>
                <w:rFonts w:hint="default" w:ascii="Times New Roman" w:hAnsi="Times New Roman" w:eastAsia="宋体" w:cs="Times New Roman"/>
                <w:b w:val="0"/>
                <w:bCs w:val="0"/>
                <w:color w:val="auto"/>
                <w:sz w:val="21"/>
                <w:szCs w:val="21"/>
                <w:highlight w:val="none"/>
              </w:rPr>
              <w:t>《危险废物贮存污染控制标准》（GB18597-2023）</w:t>
            </w:r>
            <w:r>
              <w:rPr>
                <w:rFonts w:hint="default" w:ascii="Times New Roman" w:hAnsi="Times New Roman" w:eastAsia="宋体" w:cs="Times New Roman"/>
                <w:b w:val="0"/>
                <w:bCs w:val="0"/>
                <w:color w:val="auto"/>
                <w:sz w:val="21"/>
                <w:szCs w:val="21"/>
                <w:highlight w:val="none"/>
                <w:lang w:val="en-US" w:eastAsia="zh-CN"/>
              </w:rPr>
              <w:t>的要求</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危废库应增设负压收集装置和气体净化设施，并设置排气筒（通过后续中试项目环评及验收、环保督察等手段落实相关措施）。</w:t>
            </w:r>
          </w:p>
          <w:p w14:paraId="6EFDD354">
            <w:pPr>
              <w:keepNext w:val="0"/>
              <w:keepLines w:val="0"/>
              <w:pageBreakBefore w:val="0"/>
              <w:kinsoku/>
              <w:wordWrap/>
              <w:overflowPunct/>
              <w:topLinePunct w:val="0"/>
              <w:bidi w:val="0"/>
              <w:adjustRightInd/>
              <w:snapToGrid/>
              <w:spacing w:line="360" w:lineRule="auto"/>
              <w:ind w:firstLine="420" w:firstLineChars="200"/>
              <w:textAlignment w:val="auto"/>
              <w:outlineLvl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加强危废库管理，</w:t>
            </w:r>
            <w:r>
              <w:rPr>
                <w:rFonts w:hint="default" w:ascii="Times New Roman" w:hAnsi="Times New Roman" w:eastAsia="宋体" w:cs="Times New Roman"/>
                <w:color w:val="auto"/>
                <w:sz w:val="21"/>
                <w:szCs w:val="21"/>
                <w:highlight w:val="none"/>
              </w:rPr>
              <w:t>根据《中华人民共和国固体废物</w:t>
            </w:r>
            <w:ins w:id="0" w:author="绿茶咖啡" w:date="2026-03-11T16:22:58Z">
              <w:r>
                <w:rPr>
                  <w:rFonts w:hint="default" w:ascii="Times New Roman" w:hAnsi="Times New Roman" w:eastAsia="宋体" w:cs="Times New Roman"/>
                  <w:color w:val="auto"/>
                  <w:sz w:val="21"/>
                  <w:szCs w:val="21"/>
                  <w:highlight w:val="none"/>
                </w:rPr>
                <w:t>污染</w:t>
              </w:r>
            </w:ins>
            <w:r>
              <w:rPr>
                <w:rFonts w:hint="default" w:ascii="Times New Roman" w:hAnsi="Times New Roman" w:eastAsia="宋体" w:cs="Times New Roman"/>
                <w:color w:val="auto"/>
                <w:sz w:val="21"/>
                <w:szCs w:val="21"/>
                <w:highlight w:val="none"/>
              </w:rPr>
              <w:t>环境防治法》规定：对于危险废物，企业应按照国家有关规定进行申报登记，</w:t>
            </w:r>
            <w:r>
              <w:rPr>
                <w:rFonts w:hint="default" w:ascii="Times New Roman" w:hAnsi="Times New Roman" w:eastAsia="宋体" w:cs="Times New Roman"/>
                <w:color w:val="auto"/>
                <w:sz w:val="21"/>
                <w:szCs w:val="21"/>
                <w:highlight w:val="none"/>
                <w:lang w:val="en-US" w:eastAsia="zh-CN"/>
              </w:rPr>
              <w:t>严格按照</w:t>
            </w:r>
            <w:r>
              <w:rPr>
                <w:rFonts w:hint="default" w:ascii="Times New Roman" w:hAnsi="Times New Roman" w:eastAsia="宋体"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fldChar w:fldCharType="begin"/>
            </w:r>
            <w:r>
              <w:rPr>
                <w:rFonts w:hint="default" w:ascii="Times New Roman" w:hAnsi="Times New Roman" w:eastAsia="宋体" w:cs="Times New Roman"/>
                <w:color w:val="auto"/>
                <w:kern w:val="0"/>
                <w:sz w:val="21"/>
                <w:szCs w:val="21"/>
                <w:highlight w:val="none"/>
                <w:lang w:val="en-US" w:eastAsia="zh-CN" w:bidi="ar"/>
              </w:rPr>
              <w:instrText xml:space="preserve"> HYPERLINK "https://www.mee.gov.cn/gzk/gz/202112/t20211228_965467.shtml" \t "https://www.mee.gov.cn/gzk/_blank" </w:instrText>
            </w:r>
            <w:r>
              <w:rPr>
                <w:rFonts w:hint="default" w:ascii="Times New Roman" w:hAnsi="Times New Roman" w:eastAsia="宋体" w:cs="Times New Roman"/>
                <w:color w:val="auto"/>
                <w:kern w:val="0"/>
                <w:sz w:val="21"/>
                <w:szCs w:val="21"/>
                <w:highlight w:val="none"/>
                <w:lang w:val="en-US" w:eastAsia="zh-CN" w:bidi="ar"/>
              </w:rPr>
              <w:fldChar w:fldCharType="separate"/>
            </w:r>
            <w:r>
              <w:rPr>
                <w:rFonts w:hint="default" w:ascii="Times New Roman" w:hAnsi="Times New Roman" w:eastAsia="宋体" w:cs="Times New Roman"/>
                <w:color w:val="auto"/>
                <w:kern w:val="0"/>
                <w:sz w:val="21"/>
                <w:szCs w:val="21"/>
                <w:highlight w:val="none"/>
                <w:lang w:val="en-US" w:eastAsia="zh-CN" w:bidi="ar"/>
              </w:rPr>
              <w:t>危险废物转移管理办法</w:t>
            </w:r>
            <w:r>
              <w:rPr>
                <w:rFonts w:hint="default" w:ascii="Times New Roman" w:hAnsi="Times New Roman" w:eastAsia="宋体" w:cs="Times New Roman"/>
                <w:color w:val="auto"/>
                <w:kern w:val="0"/>
                <w:sz w:val="21"/>
                <w:szCs w:val="21"/>
                <w:highlight w:val="none"/>
                <w:lang w:val="en-US" w:eastAsia="zh-CN" w:bidi="ar"/>
              </w:rPr>
              <w:fldChar w:fldCharType="end"/>
            </w:r>
            <w:r>
              <w:rPr>
                <w:rFonts w:hint="default" w:ascii="Times New Roman" w:hAnsi="Times New Roman" w:eastAsia="宋体" w:cs="Times New Roman"/>
                <w:color w:val="auto"/>
                <w:kern w:val="0"/>
                <w:sz w:val="21"/>
                <w:szCs w:val="21"/>
                <w:highlight w:val="none"/>
                <w:lang w:val="en-US" w:eastAsia="zh-CN" w:bidi="ar"/>
              </w:rPr>
              <w:t>》转移运输，</w:t>
            </w:r>
            <w:r>
              <w:rPr>
                <w:rFonts w:hint="default" w:ascii="Times New Roman" w:hAnsi="Times New Roman" w:eastAsia="宋体" w:cs="Times New Roman"/>
                <w:color w:val="auto"/>
                <w:sz w:val="21"/>
                <w:szCs w:val="21"/>
                <w:highlight w:val="none"/>
              </w:rPr>
              <w:t>对危险废物的容器和包装物以及收集、储存、运输、处置危险废物的设施、场所必须按GB15562.2的规定设置警示标志；并且危险废物的运输过程中必须采取密闭运输等防止污染环境的措施，遵守国家有关危险货物运输管理的规</w:t>
            </w:r>
            <w:bookmarkStart w:id="38" w:name="_GoBack"/>
            <w:bookmarkEnd w:id="38"/>
            <w:r>
              <w:rPr>
                <w:rFonts w:hint="default" w:ascii="Times New Roman" w:hAnsi="Times New Roman" w:eastAsia="宋体" w:cs="Times New Roman"/>
                <w:color w:val="auto"/>
                <w:sz w:val="21"/>
                <w:szCs w:val="21"/>
                <w:highlight w:val="none"/>
              </w:rPr>
              <w:t>定。严禁在雨天进行危废的运输和转运工作。危险废物贮存设施内清理出来的泄漏物，一律按危废处理；管理及运输人员必须采取必要的安全防护措施。</w:t>
            </w:r>
            <w:r>
              <w:rPr>
                <w:rFonts w:hint="default" w:ascii="Times New Roman" w:hAnsi="Times New Roman" w:eastAsia="宋体" w:cs="Times New Roman"/>
                <w:color w:val="auto"/>
                <w:sz w:val="21"/>
                <w:szCs w:val="21"/>
                <w:highlight w:val="none"/>
                <w:lang w:val="en-US" w:eastAsia="zh-CN"/>
              </w:rPr>
              <w:t>建立危废管理台账制度。</w:t>
            </w:r>
            <w:r>
              <w:rPr>
                <w:rFonts w:hint="default" w:ascii="Times New Roman" w:hAnsi="Times New Roman" w:eastAsia="宋体" w:cs="Times New Roman"/>
                <w:color w:val="auto"/>
                <w:sz w:val="21"/>
                <w:szCs w:val="21"/>
                <w:highlight w:val="none"/>
              </w:rPr>
              <w:t>如实记录危险废物</w:t>
            </w:r>
            <w:r>
              <w:rPr>
                <w:rFonts w:hint="default" w:ascii="Times New Roman" w:hAnsi="Times New Roman" w:eastAsia="宋体" w:cs="Times New Roman"/>
                <w:color w:val="auto"/>
                <w:sz w:val="21"/>
                <w:szCs w:val="21"/>
                <w:highlight w:val="none"/>
                <w:lang w:val="en-US" w:eastAsia="zh-CN"/>
              </w:rPr>
              <w:t>种类、数量、贮存容器、贮存位置、入库时间、出库时间、去向等信息</w:t>
            </w:r>
            <w:r>
              <w:rPr>
                <w:rFonts w:hint="default" w:ascii="Times New Roman" w:hAnsi="Times New Roman" w:eastAsia="宋体" w:cs="Times New Roman"/>
                <w:color w:val="auto"/>
                <w:sz w:val="21"/>
                <w:szCs w:val="21"/>
                <w:highlight w:val="none"/>
              </w:rPr>
              <w:t>。</w:t>
            </w:r>
          </w:p>
          <w:p w14:paraId="35F466AB">
            <w:pPr>
              <w:pStyle w:val="5"/>
              <w:rPr>
                <w:rFonts w:hint="eastAsia" w:eastAsia="宋体"/>
                <w:b/>
                <w:bCs/>
                <w:color w:val="auto"/>
                <w:kern w:val="21"/>
                <w:sz w:val="21"/>
                <w:szCs w:val="21"/>
                <w:highlight w:val="none"/>
                <w:lang w:val="en-US" w:eastAsia="zh-CN"/>
              </w:rPr>
            </w:pPr>
            <w:r>
              <w:rPr>
                <w:rFonts w:hint="eastAsia"/>
                <w:b/>
                <w:bCs/>
                <w:color w:val="auto"/>
                <w:kern w:val="21"/>
                <w:sz w:val="21"/>
                <w:szCs w:val="21"/>
                <w:highlight w:val="none"/>
              </w:rPr>
              <w:t>5、地下水、土壤</w:t>
            </w:r>
            <w:r>
              <w:rPr>
                <w:rFonts w:hint="eastAsia"/>
                <w:b/>
                <w:bCs/>
                <w:color w:val="auto"/>
                <w:kern w:val="21"/>
                <w:sz w:val="21"/>
                <w:szCs w:val="21"/>
                <w:highlight w:val="none"/>
                <w:lang w:val="en-US" w:eastAsia="zh-CN"/>
              </w:rPr>
              <w:t>防控措施</w:t>
            </w:r>
          </w:p>
          <w:p w14:paraId="6D7A069B">
            <w:pPr>
              <w:pStyle w:val="5"/>
              <w:keepNext w:val="0"/>
              <w:keepLines w:val="0"/>
              <w:pageBreakBefore w:val="0"/>
              <w:widowControl w:val="0"/>
              <w:kinsoku/>
              <w:wordWrap/>
              <w:overflowPunct/>
              <w:topLinePunct w:val="0"/>
              <w:autoSpaceDE/>
              <w:autoSpaceDN/>
              <w:bidi w:val="0"/>
              <w:adjustRightInd/>
              <w:snapToGrid/>
              <w:ind w:firstLine="482"/>
              <w:textAlignment w:val="auto"/>
              <w:rPr>
                <w:rFonts w:hint="default"/>
                <w:b w:val="0"/>
                <w:bCs w:val="0"/>
                <w:color w:val="auto"/>
                <w:kern w:val="21"/>
                <w:sz w:val="21"/>
                <w:szCs w:val="21"/>
                <w:highlight w:val="none"/>
                <w:lang w:val="en-US" w:eastAsia="zh-CN"/>
              </w:rPr>
            </w:pPr>
            <w:r>
              <w:rPr>
                <w:rFonts w:hint="eastAsia"/>
                <w:b w:val="0"/>
                <w:bCs w:val="0"/>
                <w:color w:val="auto"/>
                <w:kern w:val="21"/>
                <w:sz w:val="21"/>
                <w:szCs w:val="21"/>
                <w:highlight w:val="none"/>
                <w:lang w:val="en-US" w:eastAsia="zh-CN"/>
              </w:rPr>
              <w:t>（1）防控措施</w:t>
            </w:r>
          </w:p>
          <w:p w14:paraId="5C4721BC">
            <w:pPr>
              <w:pStyle w:val="5"/>
              <w:keepNext w:val="0"/>
              <w:keepLines w:val="0"/>
              <w:pageBreakBefore w:val="0"/>
              <w:widowControl w:val="0"/>
              <w:kinsoku/>
              <w:wordWrap/>
              <w:overflowPunct/>
              <w:topLinePunct w:val="0"/>
              <w:autoSpaceDE/>
              <w:autoSpaceDN/>
              <w:bidi w:val="0"/>
              <w:adjustRightInd/>
              <w:snapToGrid/>
              <w:ind w:firstLine="482"/>
              <w:textAlignment w:val="auto"/>
              <w:rPr>
                <w:rFonts w:hint="eastAsia"/>
                <w:b w:val="0"/>
                <w:bCs w:val="0"/>
                <w:color w:val="auto"/>
                <w:kern w:val="21"/>
                <w:sz w:val="21"/>
                <w:szCs w:val="21"/>
                <w:highlight w:val="none"/>
                <w:lang w:val="en-US" w:eastAsia="zh-CN"/>
              </w:rPr>
            </w:pPr>
            <w:r>
              <w:rPr>
                <w:rFonts w:hint="eastAsia"/>
                <w:b w:val="0"/>
                <w:bCs w:val="0"/>
                <w:color w:val="auto"/>
                <w:kern w:val="21"/>
                <w:sz w:val="21"/>
                <w:szCs w:val="21"/>
                <w:highlight w:val="none"/>
                <w:lang w:val="en-US" w:eastAsia="zh-CN"/>
              </w:rPr>
              <w:t>本项目为中试基地基础设施建设项目，通过做好分区防渗措施，以避免后续中试项目对地下水、土壤造成污染。</w:t>
            </w:r>
          </w:p>
          <w:p w14:paraId="49983691">
            <w:pPr>
              <w:pStyle w:val="5"/>
              <w:keepNext w:val="0"/>
              <w:keepLines w:val="0"/>
              <w:pageBreakBefore w:val="0"/>
              <w:widowControl w:val="0"/>
              <w:kinsoku/>
              <w:wordWrap/>
              <w:overflowPunct/>
              <w:topLinePunct w:val="0"/>
              <w:autoSpaceDE/>
              <w:autoSpaceDN/>
              <w:bidi w:val="0"/>
              <w:adjustRightInd/>
              <w:snapToGrid/>
              <w:ind w:firstLine="482"/>
              <w:textAlignment w:val="auto"/>
              <w:rPr>
                <w:rFonts w:hint="default" w:ascii="Times New Roman" w:hAnsi="Times New Roman" w:eastAsia="宋体" w:cs="Times New Roman"/>
                <w:color w:val="auto"/>
                <w:kern w:val="21"/>
                <w:sz w:val="21"/>
                <w:szCs w:val="21"/>
                <w:highlight w:val="none"/>
              </w:rPr>
            </w:pPr>
            <w:r>
              <w:rPr>
                <w:rFonts w:hint="eastAsia"/>
                <w:b w:val="0"/>
                <w:bCs w:val="0"/>
                <w:color w:val="auto"/>
                <w:kern w:val="21"/>
                <w:sz w:val="21"/>
                <w:szCs w:val="21"/>
                <w:highlight w:val="none"/>
                <w:lang w:val="en-US" w:eastAsia="zh-CN"/>
              </w:rPr>
              <w:t>本项目建设内容由办公生活区、生产区两部分组成，其中办公生活区包括综合楼、研发中心、主控楼和食堂；生产区包括标准化试验厂房、甲类和丙类仓库、危废库、公辅设施（空压站、循环水站、换热站、消防泵站及消防水池）、事故池及初期雨水池、露天试验区、火炬系统等。针对以上区域，</w:t>
            </w:r>
            <w:r>
              <w:rPr>
                <w:rFonts w:hint="default" w:ascii="Times New Roman" w:hAnsi="Times New Roman" w:eastAsia="宋体" w:cs="Times New Roman"/>
                <w:color w:val="auto"/>
                <w:kern w:val="21"/>
                <w:sz w:val="21"/>
                <w:szCs w:val="21"/>
                <w:highlight w:val="none"/>
              </w:rPr>
              <w:t>根据《环境影响评价技术导则-地下水环境》（HJ 610-2016）</w:t>
            </w:r>
            <w:r>
              <w:rPr>
                <w:rFonts w:hint="eastAsia" w:ascii="Times New Roman" w:hAnsi="Times New Roman" w:eastAsia="宋体" w:cs="Times New Roman"/>
                <w:color w:val="auto"/>
                <w:kern w:val="21"/>
                <w:sz w:val="21"/>
                <w:szCs w:val="21"/>
                <w:highlight w:val="none"/>
                <w:lang w:val="en-US" w:eastAsia="zh-CN"/>
              </w:rPr>
              <w:t>和</w:t>
            </w:r>
            <w:r>
              <w:rPr>
                <w:rFonts w:hint="default" w:ascii="Times New Roman" w:hAnsi="Times New Roman" w:eastAsia="宋体" w:cs="Times New Roman"/>
                <w:b w:val="0"/>
                <w:bCs w:val="0"/>
                <w:color w:val="auto"/>
                <w:sz w:val="21"/>
                <w:szCs w:val="21"/>
                <w:highlight w:val="none"/>
              </w:rPr>
              <w:t>《危险废物贮存污染控制标准》（GB18597-2023）</w:t>
            </w:r>
            <w:r>
              <w:rPr>
                <w:rFonts w:hint="default" w:ascii="Times New Roman" w:hAnsi="Times New Roman" w:eastAsia="宋体" w:cs="Times New Roman"/>
                <w:color w:val="auto"/>
                <w:kern w:val="21"/>
                <w:sz w:val="21"/>
                <w:szCs w:val="21"/>
                <w:highlight w:val="none"/>
              </w:rPr>
              <w:t>，</w:t>
            </w:r>
            <w:r>
              <w:rPr>
                <w:rFonts w:hint="eastAsia" w:ascii="Times New Roman" w:hAnsi="Times New Roman" w:eastAsia="宋体" w:cs="Times New Roman"/>
                <w:color w:val="auto"/>
                <w:kern w:val="21"/>
                <w:sz w:val="21"/>
                <w:szCs w:val="21"/>
                <w:highlight w:val="none"/>
                <w:lang w:val="en-US" w:eastAsia="zh-CN"/>
              </w:rPr>
              <w:t>本项目基地防渗</w:t>
            </w:r>
            <w:r>
              <w:rPr>
                <w:rFonts w:hint="default" w:ascii="Times New Roman" w:hAnsi="Times New Roman" w:eastAsia="宋体" w:cs="Times New Roman"/>
                <w:color w:val="auto"/>
                <w:kern w:val="21"/>
                <w:sz w:val="21"/>
                <w:szCs w:val="21"/>
                <w:highlight w:val="none"/>
              </w:rPr>
              <w:t>分区</w:t>
            </w:r>
            <w:r>
              <w:rPr>
                <w:rFonts w:hint="eastAsia" w:ascii="Times New Roman" w:hAnsi="Times New Roman" w:eastAsia="宋体" w:cs="Times New Roman"/>
                <w:color w:val="auto"/>
                <w:kern w:val="21"/>
                <w:sz w:val="21"/>
                <w:szCs w:val="21"/>
                <w:highlight w:val="none"/>
                <w:lang w:val="en-US" w:eastAsia="zh-CN"/>
              </w:rPr>
              <w:t>由重点防渗、一般防渗和简单防渗组成，具体</w:t>
            </w:r>
            <w:r>
              <w:rPr>
                <w:rFonts w:hint="default" w:ascii="Times New Roman" w:hAnsi="Times New Roman" w:eastAsia="宋体" w:cs="Times New Roman"/>
                <w:color w:val="auto"/>
                <w:kern w:val="21"/>
                <w:sz w:val="21"/>
                <w:szCs w:val="21"/>
                <w:highlight w:val="none"/>
              </w:rPr>
              <w:t>如下表</w:t>
            </w:r>
            <w:r>
              <w:rPr>
                <w:rFonts w:hint="eastAsia" w:ascii="Times New Roman" w:hAnsi="Times New Roman" w:eastAsia="宋体" w:cs="Times New Roman"/>
                <w:color w:val="auto"/>
                <w:kern w:val="21"/>
                <w:sz w:val="21"/>
                <w:szCs w:val="21"/>
                <w:highlight w:val="none"/>
                <w:lang w:eastAsia="zh-CN"/>
              </w:rPr>
              <w:t>。</w:t>
            </w:r>
          </w:p>
          <w:p w14:paraId="155EC781">
            <w:pPr>
              <w:pStyle w:val="5"/>
              <w:ind w:firstLine="0"/>
              <w:jc w:val="center"/>
              <w:rPr>
                <w:rFonts w:hint="eastAsia" w:ascii="Times New Roman" w:hAnsi="Times New Roman" w:eastAsia="宋体" w:cs="Times New Roman"/>
                <w:b/>
                <w:bCs/>
                <w:color w:val="auto"/>
                <w:kern w:val="21"/>
                <w:sz w:val="21"/>
                <w:szCs w:val="21"/>
                <w:highlight w:val="none"/>
              </w:rPr>
            </w:pPr>
            <w:r>
              <w:rPr>
                <w:rFonts w:hint="eastAsia" w:ascii="Times New Roman" w:hAnsi="Times New Roman" w:eastAsia="宋体" w:cs="Times New Roman"/>
                <w:b/>
                <w:bCs/>
                <w:color w:val="auto"/>
                <w:kern w:val="21"/>
                <w:sz w:val="21"/>
                <w:szCs w:val="21"/>
                <w:highlight w:val="none"/>
              </w:rPr>
              <w:t>表</w:t>
            </w:r>
            <w:r>
              <w:rPr>
                <w:rFonts w:hint="eastAsia" w:ascii="Times New Roman" w:hAnsi="Times New Roman" w:eastAsia="宋体" w:cs="Times New Roman"/>
                <w:b/>
                <w:bCs/>
                <w:color w:val="auto"/>
                <w:kern w:val="21"/>
                <w:sz w:val="21"/>
                <w:szCs w:val="21"/>
                <w:highlight w:val="none"/>
                <w:lang w:val="en-US" w:eastAsia="zh-CN"/>
              </w:rPr>
              <w:t>5</w:t>
            </w:r>
            <w:r>
              <w:rPr>
                <w:rFonts w:hint="eastAsia" w:ascii="Times New Roman" w:hAnsi="Times New Roman" w:eastAsia="宋体" w:cs="Times New Roman"/>
                <w:b/>
                <w:bCs/>
                <w:color w:val="auto"/>
                <w:kern w:val="21"/>
                <w:sz w:val="21"/>
                <w:szCs w:val="21"/>
                <w:highlight w:val="none"/>
              </w:rPr>
              <w:t>-</w:t>
            </w:r>
            <w:r>
              <w:rPr>
                <w:rFonts w:hint="eastAsia" w:ascii="Times New Roman" w:hAnsi="Times New Roman" w:eastAsia="宋体" w:cs="Times New Roman"/>
                <w:b/>
                <w:bCs/>
                <w:color w:val="auto"/>
                <w:kern w:val="21"/>
                <w:sz w:val="21"/>
                <w:szCs w:val="21"/>
                <w:highlight w:val="none"/>
                <w:lang w:val="en-US" w:eastAsia="zh-CN"/>
              </w:rPr>
              <w:t>3</w:t>
            </w:r>
            <w:r>
              <w:rPr>
                <w:rFonts w:hint="eastAsia" w:ascii="Times New Roman" w:hAnsi="Times New Roman" w:eastAsia="宋体" w:cs="Times New Roman"/>
                <w:b/>
                <w:bCs/>
                <w:color w:val="auto"/>
                <w:kern w:val="21"/>
                <w:sz w:val="21"/>
                <w:szCs w:val="21"/>
                <w:highlight w:val="none"/>
              </w:rPr>
              <w:t xml:space="preserve">    </w:t>
            </w:r>
            <w:r>
              <w:rPr>
                <w:rFonts w:hint="eastAsia" w:ascii="Times New Roman" w:hAnsi="Times New Roman" w:eastAsia="宋体" w:cs="Times New Roman"/>
                <w:b/>
                <w:bCs/>
                <w:color w:val="auto"/>
                <w:kern w:val="21"/>
                <w:sz w:val="21"/>
                <w:szCs w:val="21"/>
                <w:highlight w:val="none"/>
                <w:lang w:val="en-US" w:eastAsia="zh-CN"/>
              </w:rPr>
              <w:t>基地</w:t>
            </w:r>
            <w:r>
              <w:rPr>
                <w:rFonts w:hint="eastAsia" w:ascii="Times New Roman" w:hAnsi="Times New Roman" w:eastAsia="宋体" w:cs="Times New Roman"/>
                <w:b/>
                <w:bCs/>
                <w:color w:val="auto"/>
                <w:kern w:val="21"/>
                <w:sz w:val="21"/>
                <w:szCs w:val="21"/>
                <w:highlight w:val="none"/>
              </w:rPr>
              <w:t>分区防控一览表</w:t>
            </w:r>
          </w:p>
          <w:tbl>
            <w:tblPr>
              <w:tblStyle w:val="2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2625"/>
              <w:gridCol w:w="2203"/>
              <w:gridCol w:w="2258"/>
            </w:tblGrid>
            <w:tr w14:paraId="44052A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pct"/>
                  <w:noWrap w:val="0"/>
                  <w:vAlign w:val="center"/>
                </w:tcPr>
                <w:p w14:paraId="05F1712F">
                  <w:pPr>
                    <w:jc w:val="center"/>
                    <w:rPr>
                      <w:color w:val="auto"/>
                      <w:sz w:val="18"/>
                      <w:szCs w:val="18"/>
                      <w:highlight w:val="none"/>
                    </w:rPr>
                  </w:pPr>
                  <w:r>
                    <w:rPr>
                      <w:color w:val="auto"/>
                      <w:sz w:val="18"/>
                      <w:szCs w:val="18"/>
                      <w:highlight w:val="none"/>
                    </w:rPr>
                    <w:t>防渗类别</w:t>
                  </w:r>
                </w:p>
              </w:tc>
              <w:tc>
                <w:tcPr>
                  <w:tcW w:w="1593" w:type="pct"/>
                  <w:noWrap w:val="0"/>
                  <w:vAlign w:val="center"/>
                </w:tcPr>
                <w:p w14:paraId="74A67762">
                  <w:pPr>
                    <w:jc w:val="center"/>
                    <w:rPr>
                      <w:color w:val="auto"/>
                      <w:sz w:val="18"/>
                      <w:szCs w:val="18"/>
                      <w:highlight w:val="none"/>
                    </w:rPr>
                  </w:pPr>
                  <w:r>
                    <w:rPr>
                      <w:color w:val="auto"/>
                      <w:sz w:val="18"/>
                      <w:szCs w:val="18"/>
                      <w:highlight w:val="none"/>
                    </w:rPr>
                    <w:t>防渗区域</w:t>
                  </w:r>
                </w:p>
              </w:tc>
              <w:tc>
                <w:tcPr>
                  <w:tcW w:w="1337" w:type="pct"/>
                  <w:noWrap w:val="0"/>
                  <w:vAlign w:val="center"/>
                </w:tcPr>
                <w:p w14:paraId="781A0F98">
                  <w:pPr>
                    <w:jc w:val="center"/>
                    <w:rPr>
                      <w:color w:val="auto"/>
                      <w:kern w:val="2"/>
                      <w:sz w:val="18"/>
                      <w:szCs w:val="18"/>
                      <w:highlight w:val="none"/>
                      <w:lang w:val="en-US" w:eastAsia="zh-CN" w:bidi="ar-SA"/>
                    </w:rPr>
                  </w:pPr>
                  <w:r>
                    <w:rPr>
                      <w:bCs/>
                      <w:color w:val="auto"/>
                      <w:sz w:val="18"/>
                      <w:szCs w:val="18"/>
                      <w:highlight w:val="none"/>
                    </w:rPr>
                    <w:t>防渗技术要求</w:t>
                  </w:r>
                </w:p>
              </w:tc>
              <w:tc>
                <w:tcPr>
                  <w:tcW w:w="1370" w:type="pct"/>
                  <w:noWrap w:val="0"/>
                  <w:vAlign w:val="center"/>
                </w:tcPr>
                <w:p w14:paraId="312833FF">
                  <w:pPr>
                    <w:jc w:val="center"/>
                    <w:rPr>
                      <w:rFonts w:hint="default" w:eastAsia="宋体"/>
                      <w:bCs/>
                      <w:color w:val="auto"/>
                      <w:sz w:val="18"/>
                      <w:szCs w:val="18"/>
                      <w:highlight w:val="none"/>
                      <w:lang w:val="en-US" w:eastAsia="zh-CN"/>
                    </w:rPr>
                  </w:pPr>
                  <w:r>
                    <w:rPr>
                      <w:rFonts w:hint="eastAsia"/>
                      <w:bCs/>
                      <w:color w:val="auto"/>
                      <w:sz w:val="18"/>
                      <w:szCs w:val="18"/>
                      <w:highlight w:val="none"/>
                      <w:lang w:val="en-US" w:eastAsia="zh-CN"/>
                    </w:rPr>
                    <w:t>本项目防渗措施</w:t>
                  </w:r>
                </w:p>
              </w:tc>
            </w:tr>
            <w:tr w14:paraId="5C7F62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99" w:type="pct"/>
                  <w:vMerge w:val="restart"/>
                  <w:noWrap w:val="0"/>
                  <w:vAlign w:val="center"/>
                </w:tcPr>
                <w:p w14:paraId="0E675636">
                  <w:pPr>
                    <w:jc w:val="center"/>
                    <w:rPr>
                      <w:color w:val="auto"/>
                      <w:sz w:val="18"/>
                      <w:szCs w:val="18"/>
                      <w:highlight w:val="none"/>
                    </w:rPr>
                  </w:pPr>
                  <w:r>
                    <w:rPr>
                      <w:color w:val="auto"/>
                      <w:sz w:val="18"/>
                      <w:szCs w:val="18"/>
                      <w:highlight w:val="none"/>
                    </w:rPr>
                    <w:t>重点防渗区</w:t>
                  </w:r>
                </w:p>
              </w:tc>
              <w:tc>
                <w:tcPr>
                  <w:tcW w:w="1593" w:type="pct"/>
                  <w:noWrap w:val="0"/>
                  <w:vAlign w:val="center"/>
                </w:tcPr>
                <w:p w14:paraId="1F924AF9">
                  <w:pPr>
                    <w:jc w:val="center"/>
                    <w:rPr>
                      <w:rFonts w:hint="default" w:eastAsia="宋体"/>
                      <w:color w:val="auto"/>
                      <w:sz w:val="18"/>
                      <w:szCs w:val="18"/>
                      <w:highlight w:val="none"/>
                      <w:lang w:val="en-US" w:eastAsia="zh-CN"/>
                    </w:rPr>
                  </w:pPr>
                  <w:r>
                    <w:rPr>
                      <w:rFonts w:hint="eastAsia" w:eastAsia="宋体"/>
                      <w:color w:val="auto"/>
                      <w:sz w:val="18"/>
                      <w:szCs w:val="18"/>
                      <w:highlight w:val="none"/>
                      <w:lang w:val="en-US" w:eastAsia="zh-CN"/>
                    </w:rPr>
                    <w:t>危废库</w:t>
                  </w:r>
                </w:p>
              </w:tc>
              <w:tc>
                <w:tcPr>
                  <w:tcW w:w="1337" w:type="pct"/>
                  <w:noWrap w:val="0"/>
                  <w:vAlign w:val="center"/>
                </w:tcPr>
                <w:p w14:paraId="189ED242">
                  <w:pPr>
                    <w:jc w:val="center"/>
                    <w:rPr>
                      <w:rFonts w:hint="default"/>
                      <w:color w:val="auto"/>
                      <w:kern w:val="2"/>
                      <w:sz w:val="18"/>
                      <w:szCs w:val="18"/>
                      <w:highlight w:val="none"/>
                      <w:lang w:val="en-US" w:eastAsia="zh-CN" w:bidi="ar-SA"/>
                    </w:rPr>
                  </w:pPr>
                  <w:r>
                    <w:rPr>
                      <w:rFonts w:hint="eastAsia"/>
                      <w:color w:val="auto"/>
                      <w:kern w:val="2"/>
                      <w:sz w:val="18"/>
                      <w:szCs w:val="18"/>
                      <w:highlight w:val="none"/>
                      <w:lang w:val="en-US" w:eastAsia="zh-CN" w:bidi="ar-SA"/>
                    </w:rPr>
                    <w:t>防渗结构应等效</w:t>
                  </w:r>
                  <w:r>
                    <w:rPr>
                      <w:rFonts w:hint="eastAsia" w:ascii="Times New Roman" w:hAnsi="Times New Roman" w:eastAsia="宋体" w:cs="Times New Roman"/>
                      <w:color w:val="auto"/>
                      <w:sz w:val="18"/>
                      <w:szCs w:val="18"/>
                      <w:highlight w:val="none"/>
                      <w:lang w:val="en-US" w:eastAsia="zh-CN"/>
                    </w:rPr>
                    <w:t>1m厚（</w:t>
                  </w:r>
                  <w:r>
                    <w:rPr>
                      <w:rFonts w:hint="default" w:ascii="Times New Roman" w:hAnsi="Times New Roman" w:eastAsia="宋体" w:cs="Times New Roman"/>
                      <w:color w:val="auto"/>
                      <w:kern w:val="0"/>
                      <w:sz w:val="18"/>
                      <w:szCs w:val="18"/>
                      <w:highlight w:val="none"/>
                      <w:lang w:val="en-US" w:eastAsia="zh-CN" w:bidi="ar"/>
                    </w:rPr>
                    <w:t>渗透系数≤1.0×10</w:t>
                  </w:r>
                  <w:r>
                    <w:rPr>
                      <w:rFonts w:hint="default" w:ascii="Times New Roman" w:hAnsi="Times New Roman" w:eastAsia="宋体" w:cs="Times New Roman"/>
                      <w:color w:val="auto"/>
                      <w:kern w:val="0"/>
                      <w:sz w:val="18"/>
                      <w:szCs w:val="18"/>
                      <w:highlight w:val="none"/>
                      <w:vertAlign w:val="superscript"/>
                      <w:lang w:val="en-US" w:eastAsia="zh-CN" w:bidi="ar"/>
                    </w:rPr>
                    <w:t>-7</w:t>
                  </w:r>
                  <w:r>
                    <w:rPr>
                      <w:rFonts w:hint="default" w:ascii="Times New Roman" w:hAnsi="Times New Roman" w:eastAsia="宋体" w:cs="Times New Roman"/>
                      <w:color w:val="auto"/>
                      <w:kern w:val="0"/>
                      <w:sz w:val="18"/>
                      <w:szCs w:val="18"/>
                      <w:highlight w:val="none"/>
                      <w:lang w:val="en-US" w:eastAsia="zh-CN" w:bidi="ar"/>
                    </w:rPr>
                    <w:t>cm/s</w:t>
                  </w:r>
                  <w:r>
                    <w:rPr>
                      <w:rFonts w:hint="eastAsia" w:ascii="Times New Roman" w:hAnsi="Times New Roman" w:eastAsia="宋体" w:cs="Times New Roman"/>
                      <w:color w:val="auto"/>
                      <w:sz w:val="18"/>
                      <w:szCs w:val="18"/>
                      <w:highlight w:val="none"/>
                      <w:lang w:val="en-US" w:eastAsia="zh-CN"/>
                    </w:rPr>
                    <w:t>）</w:t>
                  </w:r>
                  <w:r>
                    <w:rPr>
                      <w:rFonts w:hint="eastAsia" w:ascii="Times New Roman" w:hAnsi="Times New Roman" w:eastAsia="宋体" w:cs="Times New Roman"/>
                      <w:color w:val="auto"/>
                      <w:kern w:val="0"/>
                      <w:sz w:val="18"/>
                      <w:szCs w:val="18"/>
                      <w:highlight w:val="none"/>
                      <w:lang w:val="en-US" w:eastAsia="zh-CN" w:bidi="ar"/>
                    </w:rPr>
                    <w:t>的黏土防渗层性能</w:t>
                  </w:r>
                  <w:r>
                    <w:rPr>
                      <w:rFonts w:hint="eastAsia" w:ascii="Times New Roman" w:hAnsi="Times New Roman" w:eastAsia="宋体" w:cs="Times New Roman"/>
                      <w:color w:val="auto"/>
                      <w:sz w:val="18"/>
                      <w:szCs w:val="18"/>
                      <w:highlight w:val="none"/>
                      <w:lang w:val="en-US" w:eastAsia="zh-CN"/>
                    </w:rPr>
                    <w:t>，或2mm厚高密度聚乙烯膜的防渗性能（渗透系数不大于10</w:t>
                  </w:r>
                  <w:r>
                    <w:rPr>
                      <w:rFonts w:hint="eastAsia" w:ascii="Times New Roman" w:hAnsi="Times New Roman" w:eastAsia="宋体" w:cs="Times New Roman"/>
                      <w:color w:val="auto"/>
                      <w:sz w:val="18"/>
                      <w:szCs w:val="18"/>
                      <w:highlight w:val="none"/>
                      <w:vertAlign w:val="superscript"/>
                      <w:lang w:val="en-US" w:eastAsia="zh-CN"/>
                    </w:rPr>
                    <w:t>-10</w:t>
                  </w:r>
                  <w:r>
                    <w:rPr>
                      <w:rFonts w:hint="eastAsia" w:ascii="Times New Roman" w:hAnsi="Times New Roman" w:eastAsia="宋体" w:cs="Times New Roman"/>
                      <w:color w:val="auto"/>
                      <w:sz w:val="18"/>
                      <w:szCs w:val="18"/>
                      <w:highlight w:val="none"/>
                      <w:lang w:val="en-US" w:eastAsia="zh-CN"/>
                    </w:rPr>
                    <w:t>cm/s）</w:t>
                  </w:r>
                </w:p>
              </w:tc>
              <w:tc>
                <w:tcPr>
                  <w:tcW w:w="1370" w:type="pct"/>
                  <w:noWrap w:val="0"/>
                  <w:vAlign w:val="center"/>
                </w:tcPr>
                <w:p w14:paraId="168B0D0B">
                  <w:pPr>
                    <w:jc w:val="center"/>
                    <w:rPr>
                      <w:rFonts w:hint="default"/>
                      <w:color w:val="auto"/>
                      <w:kern w:val="2"/>
                      <w:sz w:val="18"/>
                      <w:szCs w:val="18"/>
                      <w:highlight w:val="none"/>
                      <w:lang w:val="en-US" w:eastAsia="zh-CN" w:bidi="ar-SA"/>
                    </w:rPr>
                  </w:pPr>
                  <w:r>
                    <w:rPr>
                      <w:rFonts w:hint="eastAsia"/>
                      <w:color w:val="auto"/>
                      <w:kern w:val="2"/>
                      <w:sz w:val="18"/>
                      <w:szCs w:val="18"/>
                      <w:highlight w:val="none"/>
                      <w:lang w:val="en-US" w:eastAsia="zh-CN" w:bidi="ar-SA"/>
                    </w:rPr>
                    <w:t>200mm后C30混凝土（抗渗等级P8）+2mm厚HDPE膜</w:t>
                  </w:r>
                </w:p>
              </w:tc>
            </w:tr>
            <w:tr w14:paraId="1239E9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37" w:hRule="atLeast"/>
                <w:jc w:val="center"/>
              </w:trPr>
              <w:tc>
                <w:tcPr>
                  <w:tcW w:w="699" w:type="pct"/>
                  <w:vMerge w:val="continue"/>
                  <w:noWrap w:val="0"/>
                  <w:vAlign w:val="center"/>
                </w:tcPr>
                <w:p w14:paraId="18FDDF9B">
                  <w:pPr>
                    <w:jc w:val="center"/>
                    <w:rPr>
                      <w:color w:val="auto"/>
                      <w:sz w:val="18"/>
                      <w:szCs w:val="18"/>
                      <w:highlight w:val="none"/>
                    </w:rPr>
                  </w:pPr>
                </w:p>
              </w:tc>
              <w:tc>
                <w:tcPr>
                  <w:tcW w:w="1593" w:type="pct"/>
                  <w:noWrap w:val="0"/>
                  <w:vAlign w:val="center"/>
                </w:tcPr>
                <w:p w14:paraId="28571E16">
                  <w:pPr>
                    <w:jc w:val="center"/>
                    <w:rPr>
                      <w:rFonts w:hint="eastAsia" w:eastAsia="宋体"/>
                      <w:color w:val="auto"/>
                      <w:sz w:val="18"/>
                      <w:szCs w:val="18"/>
                      <w:highlight w:val="none"/>
                      <w:lang w:val="en-US" w:eastAsia="zh-CN"/>
                    </w:rPr>
                  </w:pPr>
                  <w:r>
                    <w:rPr>
                      <w:rFonts w:hint="eastAsia" w:eastAsia="宋体"/>
                      <w:color w:val="auto"/>
                      <w:sz w:val="18"/>
                      <w:szCs w:val="18"/>
                      <w:highlight w:val="none"/>
                      <w:lang w:val="en-US" w:eastAsia="zh-CN"/>
                    </w:rPr>
                    <w:t>事故池及初期雨水收集池</w:t>
                  </w:r>
                </w:p>
              </w:tc>
              <w:tc>
                <w:tcPr>
                  <w:tcW w:w="1337" w:type="pct"/>
                  <w:noWrap w:val="0"/>
                  <w:vAlign w:val="center"/>
                </w:tcPr>
                <w:p w14:paraId="43A61B82">
                  <w:pPr>
                    <w:jc w:val="center"/>
                    <w:rPr>
                      <w:color w:val="auto"/>
                      <w:kern w:val="0"/>
                      <w:sz w:val="18"/>
                      <w:szCs w:val="18"/>
                      <w:highlight w:val="none"/>
                      <w:lang w:bidi="ar"/>
                    </w:rPr>
                  </w:pPr>
                  <w:r>
                    <w:rPr>
                      <w:rFonts w:hint="eastAsia"/>
                      <w:color w:val="auto"/>
                      <w:kern w:val="0"/>
                      <w:sz w:val="18"/>
                      <w:szCs w:val="18"/>
                      <w:highlight w:val="none"/>
                      <w:lang w:val="en-US" w:eastAsia="zh-CN" w:bidi="ar"/>
                    </w:rPr>
                    <w:t>防渗结构应</w:t>
                  </w:r>
                  <w:r>
                    <w:rPr>
                      <w:color w:val="auto"/>
                      <w:kern w:val="0"/>
                      <w:sz w:val="18"/>
                      <w:szCs w:val="18"/>
                      <w:highlight w:val="none"/>
                      <w:lang w:bidi="ar"/>
                    </w:rPr>
                    <w:t>等效黏土防渗层Mb≥</w:t>
                  </w:r>
                  <w:r>
                    <w:rPr>
                      <w:rFonts w:hint="eastAsia"/>
                      <w:color w:val="auto"/>
                      <w:kern w:val="0"/>
                      <w:sz w:val="18"/>
                      <w:szCs w:val="18"/>
                      <w:highlight w:val="none"/>
                      <w:lang w:bidi="ar"/>
                    </w:rPr>
                    <w:t>6</w:t>
                  </w:r>
                  <w:r>
                    <w:rPr>
                      <w:color w:val="auto"/>
                      <w:kern w:val="0"/>
                      <w:sz w:val="18"/>
                      <w:szCs w:val="18"/>
                      <w:highlight w:val="none"/>
                      <w:lang w:bidi="ar"/>
                    </w:rPr>
                    <w:t>m，K≤1×10</w:t>
                  </w:r>
                  <w:r>
                    <w:rPr>
                      <w:color w:val="auto"/>
                      <w:kern w:val="0"/>
                      <w:sz w:val="18"/>
                      <w:szCs w:val="18"/>
                      <w:highlight w:val="none"/>
                      <w:vertAlign w:val="superscript"/>
                      <w:lang w:bidi="ar"/>
                    </w:rPr>
                    <w:t xml:space="preserve">-7 </w:t>
                  </w:r>
                  <w:r>
                    <w:rPr>
                      <w:color w:val="auto"/>
                      <w:kern w:val="0"/>
                      <w:sz w:val="18"/>
                      <w:szCs w:val="18"/>
                      <w:highlight w:val="none"/>
                      <w:lang w:bidi="ar"/>
                    </w:rPr>
                    <w:t>cm/s</w:t>
                  </w:r>
                </w:p>
              </w:tc>
              <w:tc>
                <w:tcPr>
                  <w:tcW w:w="1370" w:type="pct"/>
                  <w:noWrap w:val="0"/>
                  <w:vAlign w:val="center"/>
                </w:tcPr>
                <w:p w14:paraId="0C31F594">
                  <w:pPr>
                    <w:jc w:val="center"/>
                    <w:rPr>
                      <w:rFonts w:hint="default"/>
                      <w:color w:val="auto"/>
                      <w:kern w:val="0"/>
                      <w:sz w:val="18"/>
                      <w:szCs w:val="18"/>
                      <w:highlight w:val="none"/>
                      <w:lang w:val="en-US" w:eastAsia="zh-CN" w:bidi="ar"/>
                    </w:rPr>
                  </w:pPr>
                  <w:r>
                    <w:rPr>
                      <w:rFonts w:hint="eastAsia"/>
                      <w:color w:val="auto"/>
                      <w:kern w:val="0"/>
                      <w:sz w:val="18"/>
                      <w:szCs w:val="18"/>
                      <w:highlight w:val="none"/>
                      <w:lang w:val="en-US" w:eastAsia="zh-CN" w:bidi="ar"/>
                    </w:rPr>
                    <w:t>池底≥50mm厚，池壁≥35mm厚抗渗混凝土结构（抗渗等级P10）</w:t>
                  </w:r>
                </w:p>
              </w:tc>
            </w:tr>
            <w:tr w14:paraId="51AC4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pct"/>
                  <w:noWrap w:val="0"/>
                  <w:vAlign w:val="center"/>
                </w:tcPr>
                <w:p w14:paraId="2171906F">
                  <w:pP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一般防渗</w:t>
                  </w:r>
                </w:p>
              </w:tc>
              <w:tc>
                <w:tcPr>
                  <w:tcW w:w="1593" w:type="pct"/>
                  <w:noWrap w:val="0"/>
                  <w:vAlign w:val="center"/>
                </w:tcPr>
                <w:p w14:paraId="69A73E3D">
                  <w:pPr>
                    <w:jc w:val="center"/>
                    <w:rPr>
                      <w:rFonts w:hint="default" w:eastAsia="宋体"/>
                      <w:color w:val="auto"/>
                      <w:sz w:val="18"/>
                      <w:szCs w:val="18"/>
                      <w:highlight w:val="none"/>
                      <w:lang w:val="en-US" w:eastAsia="zh-CN"/>
                    </w:rPr>
                  </w:pPr>
                  <w:r>
                    <w:rPr>
                      <w:rFonts w:hint="eastAsia"/>
                      <w:b w:val="0"/>
                      <w:bCs w:val="0"/>
                      <w:color w:val="auto"/>
                      <w:kern w:val="21"/>
                      <w:sz w:val="18"/>
                      <w:szCs w:val="18"/>
                      <w:highlight w:val="none"/>
                      <w:lang w:val="en-US" w:eastAsia="zh-CN"/>
                    </w:rPr>
                    <w:t>标准化试验厂房、甲类和丙类仓库、公辅设施（空压站、循环水站、换热站、消防泵站及消防水池）、火炬系统、露天试验区地面</w:t>
                  </w:r>
                </w:p>
              </w:tc>
              <w:tc>
                <w:tcPr>
                  <w:tcW w:w="1337" w:type="pct"/>
                  <w:noWrap w:val="0"/>
                  <w:vAlign w:val="center"/>
                </w:tcPr>
                <w:p w14:paraId="5FF4634B">
                  <w:pPr>
                    <w:jc w:val="center"/>
                    <w:rPr>
                      <w:color w:val="auto"/>
                      <w:kern w:val="0"/>
                      <w:sz w:val="18"/>
                      <w:szCs w:val="18"/>
                      <w:highlight w:val="none"/>
                      <w:lang w:bidi="ar"/>
                    </w:rPr>
                  </w:pPr>
                  <w:r>
                    <w:rPr>
                      <w:rFonts w:hint="eastAsia"/>
                      <w:color w:val="auto"/>
                      <w:kern w:val="0"/>
                      <w:sz w:val="18"/>
                      <w:szCs w:val="18"/>
                      <w:highlight w:val="none"/>
                      <w:lang w:val="en-US" w:eastAsia="zh-CN" w:bidi="ar"/>
                    </w:rPr>
                    <w:t>防渗结构应</w:t>
                  </w:r>
                  <w:r>
                    <w:rPr>
                      <w:color w:val="auto"/>
                      <w:kern w:val="0"/>
                      <w:sz w:val="18"/>
                      <w:szCs w:val="18"/>
                      <w:highlight w:val="none"/>
                      <w:lang w:bidi="ar"/>
                    </w:rPr>
                    <w:t>等效黏土防渗层Mb≥</w:t>
                  </w:r>
                  <w:r>
                    <w:rPr>
                      <w:rFonts w:hint="eastAsia"/>
                      <w:color w:val="auto"/>
                      <w:kern w:val="0"/>
                      <w:sz w:val="18"/>
                      <w:szCs w:val="18"/>
                      <w:highlight w:val="none"/>
                      <w:lang w:val="en-US" w:eastAsia="zh-CN" w:bidi="ar"/>
                    </w:rPr>
                    <w:t>1.5</w:t>
                  </w:r>
                  <w:r>
                    <w:rPr>
                      <w:color w:val="auto"/>
                      <w:kern w:val="0"/>
                      <w:sz w:val="18"/>
                      <w:szCs w:val="18"/>
                      <w:highlight w:val="none"/>
                      <w:lang w:bidi="ar"/>
                    </w:rPr>
                    <w:t>m，K≤1×10</w:t>
                  </w:r>
                  <w:r>
                    <w:rPr>
                      <w:color w:val="auto"/>
                      <w:kern w:val="0"/>
                      <w:sz w:val="18"/>
                      <w:szCs w:val="18"/>
                      <w:highlight w:val="none"/>
                      <w:vertAlign w:val="superscript"/>
                      <w:lang w:bidi="ar"/>
                    </w:rPr>
                    <w:t xml:space="preserve">-7 </w:t>
                  </w:r>
                  <w:r>
                    <w:rPr>
                      <w:color w:val="auto"/>
                      <w:kern w:val="0"/>
                      <w:sz w:val="18"/>
                      <w:szCs w:val="18"/>
                      <w:highlight w:val="none"/>
                      <w:lang w:bidi="ar"/>
                    </w:rPr>
                    <w:t>cm/s</w:t>
                  </w:r>
                </w:p>
              </w:tc>
              <w:tc>
                <w:tcPr>
                  <w:tcW w:w="1370" w:type="pct"/>
                  <w:noWrap w:val="0"/>
                  <w:vAlign w:val="center"/>
                </w:tcPr>
                <w:p w14:paraId="7C614C1A">
                  <w:pPr>
                    <w:jc w:val="center"/>
                    <w:rPr>
                      <w:rFonts w:hint="eastAsia"/>
                      <w:color w:val="auto"/>
                      <w:kern w:val="0"/>
                      <w:sz w:val="18"/>
                      <w:szCs w:val="18"/>
                      <w:highlight w:val="none"/>
                      <w:lang w:val="en-US" w:eastAsia="zh-CN" w:bidi="ar"/>
                    </w:rPr>
                  </w:pPr>
                  <w:r>
                    <w:rPr>
                      <w:rFonts w:hint="eastAsia"/>
                      <w:color w:val="auto"/>
                      <w:kern w:val="2"/>
                      <w:sz w:val="18"/>
                      <w:szCs w:val="18"/>
                      <w:highlight w:val="none"/>
                      <w:lang w:val="en-US" w:eastAsia="zh-CN" w:bidi="ar-SA"/>
                    </w:rPr>
                    <w:t>200mm后C30混凝土（抗渗等级P8）</w:t>
                  </w:r>
                </w:p>
              </w:tc>
            </w:tr>
            <w:tr w14:paraId="4373A6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99" w:type="pct"/>
                  <w:noWrap w:val="0"/>
                  <w:vAlign w:val="center"/>
                </w:tcPr>
                <w:p w14:paraId="7C95642D">
                  <w:pPr>
                    <w:jc w:val="center"/>
                    <w:rPr>
                      <w:rFonts w:hint="eastAsia"/>
                      <w:color w:val="auto"/>
                      <w:sz w:val="18"/>
                      <w:szCs w:val="18"/>
                      <w:highlight w:val="none"/>
                    </w:rPr>
                  </w:pPr>
                  <w:r>
                    <w:rPr>
                      <w:color w:val="auto"/>
                      <w:sz w:val="18"/>
                      <w:szCs w:val="18"/>
                      <w:highlight w:val="none"/>
                    </w:rPr>
                    <w:t>简单防渗区</w:t>
                  </w:r>
                </w:p>
              </w:tc>
              <w:tc>
                <w:tcPr>
                  <w:tcW w:w="1593" w:type="pct"/>
                  <w:noWrap w:val="0"/>
                  <w:vAlign w:val="center"/>
                </w:tcPr>
                <w:p w14:paraId="77944DBA">
                  <w:pPr>
                    <w:jc w:val="center"/>
                    <w:rPr>
                      <w:rFonts w:hint="default" w:eastAsia="宋体"/>
                      <w:color w:val="auto"/>
                      <w:sz w:val="18"/>
                      <w:szCs w:val="18"/>
                      <w:highlight w:val="none"/>
                      <w:lang w:val="en-US" w:eastAsia="zh-CN"/>
                    </w:rPr>
                  </w:pPr>
                  <w:r>
                    <w:rPr>
                      <w:rFonts w:hint="eastAsia"/>
                      <w:b w:val="0"/>
                      <w:bCs w:val="0"/>
                      <w:color w:val="auto"/>
                      <w:kern w:val="21"/>
                      <w:sz w:val="18"/>
                      <w:szCs w:val="18"/>
                      <w:highlight w:val="none"/>
                      <w:lang w:val="en-US" w:eastAsia="zh-CN"/>
                    </w:rPr>
                    <w:t>综合楼、研发中心、主控楼和食堂</w:t>
                  </w:r>
                </w:p>
              </w:tc>
              <w:tc>
                <w:tcPr>
                  <w:tcW w:w="1337" w:type="pct"/>
                  <w:noWrap w:val="0"/>
                  <w:vAlign w:val="center"/>
                </w:tcPr>
                <w:p w14:paraId="101E8EA3">
                  <w:pPr>
                    <w:jc w:val="center"/>
                    <w:rPr>
                      <w:rFonts w:hint="default"/>
                      <w:color w:val="auto"/>
                      <w:kern w:val="2"/>
                      <w:sz w:val="18"/>
                      <w:szCs w:val="18"/>
                      <w:highlight w:val="none"/>
                      <w:lang w:val="en-US" w:eastAsia="zh-CN" w:bidi="ar-SA"/>
                    </w:rPr>
                  </w:pPr>
                  <w:r>
                    <w:rPr>
                      <w:rFonts w:hint="eastAsia"/>
                      <w:color w:val="auto"/>
                      <w:kern w:val="2"/>
                      <w:sz w:val="18"/>
                      <w:szCs w:val="18"/>
                      <w:highlight w:val="none"/>
                      <w:lang w:val="en-US" w:eastAsia="zh-CN" w:bidi="ar-SA"/>
                    </w:rPr>
                    <w:t>一般地面硬化</w:t>
                  </w:r>
                </w:p>
              </w:tc>
              <w:tc>
                <w:tcPr>
                  <w:tcW w:w="1370" w:type="pct"/>
                  <w:noWrap w:val="0"/>
                  <w:vAlign w:val="center"/>
                </w:tcPr>
                <w:p w14:paraId="7A00E965">
                  <w:pPr>
                    <w:jc w:val="center"/>
                    <w:rPr>
                      <w:rFonts w:hint="default"/>
                      <w:color w:val="auto"/>
                      <w:kern w:val="2"/>
                      <w:sz w:val="18"/>
                      <w:szCs w:val="18"/>
                      <w:highlight w:val="none"/>
                      <w:lang w:val="en-US" w:eastAsia="zh-CN" w:bidi="ar-SA"/>
                    </w:rPr>
                  </w:pPr>
                  <w:r>
                    <w:rPr>
                      <w:rFonts w:hint="eastAsia"/>
                      <w:color w:val="auto"/>
                      <w:kern w:val="2"/>
                      <w:sz w:val="18"/>
                      <w:szCs w:val="18"/>
                      <w:highlight w:val="none"/>
                      <w:lang w:val="en-US" w:eastAsia="zh-CN" w:bidi="ar-SA"/>
                    </w:rPr>
                    <w:t>一般水泥硬化</w:t>
                  </w:r>
                </w:p>
              </w:tc>
            </w:tr>
          </w:tbl>
          <w:p w14:paraId="2512F9A9">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Lines="0" w:line="360" w:lineRule="auto"/>
              <w:ind w:leftChars="200"/>
              <w:textAlignment w:val="auto"/>
              <w:rPr>
                <w:rFonts w:hint="eastAsia" w:ascii="Times New Roman" w:hAnsi="Times New Roman" w:eastAsia="宋体" w:cs="Times New Roman"/>
                <w:b w:val="0"/>
                <w:bCs w:val="0"/>
                <w:color w:val="auto"/>
                <w:kern w:val="21"/>
                <w:sz w:val="21"/>
                <w:szCs w:val="21"/>
                <w:highlight w:val="none"/>
                <w:lang w:val="en-US" w:eastAsia="zh-CN"/>
              </w:rPr>
            </w:pPr>
            <w:r>
              <w:rPr>
                <w:rFonts w:hint="eastAsia" w:ascii="Times New Roman" w:hAnsi="Times New Roman" w:eastAsia="宋体" w:cs="Times New Roman"/>
                <w:b w:val="0"/>
                <w:bCs w:val="0"/>
                <w:color w:val="auto"/>
                <w:kern w:val="21"/>
                <w:sz w:val="21"/>
                <w:szCs w:val="21"/>
                <w:highlight w:val="none"/>
                <w:lang w:val="en-US" w:eastAsia="zh-CN"/>
              </w:rPr>
              <w:t>（2）监测方案</w:t>
            </w:r>
          </w:p>
          <w:p w14:paraId="3370A339">
            <w:pPr>
              <w:pStyle w:val="5"/>
              <w:keepNext w:val="0"/>
              <w:keepLines w:val="0"/>
              <w:pageBreakBefore w:val="0"/>
              <w:widowControl w:val="0"/>
              <w:numPr>
                <w:ilvl w:val="0"/>
                <w:numId w:val="0"/>
              </w:numPr>
              <w:kinsoku/>
              <w:wordWrap/>
              <w:overflowPunct/>
              <w:topLinePunct w:val="0"/>
              <w:autoSpaceDE/>
              <w:autoSpaceDN/>
              <w:bidi w:val="0"/>
              <w:adjustRightInd/>
              <w:snapToGrid/>
              <w:spacing w:beforeLines="0" w:line="360" w:lineRule="auto"/>
              <w:ind w:leftChars="0" w:firstLine="420" w:firstLineChars="200"/>
              <w:textAlignment w:val="auto"/>
              <w:rPr>
                <w:rFonts w:hint="default" w:ascii="Times New Roman" w:hAnsi="Times New Roman" w:eastAsia="宋体" w:cs="Times New Roman"/>
                <w:b w:val="0"/>
                <w:bCs w:val="0"/>
                <w:color w:val="auto"/>
                <w:kern w:val="21"/>
                <w:sz w:val="21"/>
                <w:szCs w:val="21"/>
                <w:highlight w:val="none"/>
                <w:lang w:val="en-US" w:eastAsia="zh-CN"/>
              </w:rPr>
            </w:pPr>
            <w:r>
              <w:rPr>
                <w:rFonts w:hint="eastAsia" w:ascii="Times New Roman" w:hAnsi="Times New Roman" w:eastAsia="宋体" w:cs="Times New Roman"/>
                <w:b w:val="0"/>
                <w:bCs w:val="0"/>
                <w:color w:val="auto"/>
                <w:kern w:val="21"/>
                <w:sz w:val="21"/>
                <w:szCs w:val="21"/>
                <w:highlight w:val="none"/>
                <w:lang w:val="en-US" w:eastAsia="zh-CN"/>
              </w:rPr>
              <w:t>考虑到中试基地主要为后续入驻的中试项目提供生产、实验和物料贮存场地，后续的中试项目在运行过程中可能对基地周边的土壤和地下水环境产生潜在影响。为有效监控环境变化、识别潜在风险，并满足环境保护相关管理要求，本次环评要求在结合中试基地总平面布置情况，合理设置地下水和土壤跟踪监测点，并制定系统的环境监测计划。监测工作应于中试项目入驻运行前启动，获取并留存土壤和地下水的环境本底值，为后续环境管理与责任界定提供科学依据。根据</w:t>
            </w:r>
            <w:r>
              <w:rPr>
                <w:rFonts w:hint="eastAsia" w:ascii="宋体" w:hAnsi="宋体" w:eastAsia="宋体" w:cs="宋体"/>
                <w:color w:val="auto"/>
                <w:kern w:val="0"/>
                <w:sz w:val="21"/>
                <w:szCs w:val="21"/>
                <w:highlight w:val="none"/>
                <w:lang w:val="en-US" w:eastAsia="zh-CN" w:bidi="ar"/>
              </w:rPr>
              <w:t>《排污单位自行监测技术指南 总则》（</w:t>
            </w:r>
            <w:r>
              <w:rPr>
                <w:rFonts w:hint="default" w:ascii="Times New Roman" w:hAnsi="Times New Roman" w:eastAsia="宋体" w:cs="Times New Roman"/>
                <w:color w:val="auto"/>
                <w:kern w:val="0"/>
                <w:sz w:val="21"/>
                <w:szCs w:val="21"/>
                <w:highlight w:val="none"/>
                <w:lang w:val="en-US" w:eastAsia="zh-CN" w:bidi="ar"/>
              </w:rPr>
              <w:t>HJ819-2017</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《工业企业土壤和地下水自行监测技术指南（试行）》（HJ1209-2021）相关要求，</w:t>
            </w:r>
            <w:r>
              <w:rPr>
                <w:rFonts w:hint="eastAsia" w:ascii="Times New Roman" w:hAnsi="Times New Roman" w:eastAsia="宋体" w:cs="Times New Roman"/>
                <w:b w:val="0"/>
                <w:bCs w:val="0"/>
                <w:color w:val="auto"/>
                <w:kern w:val="21"/>
                <w:sz w:val="21"/>
                <w:szCs w:val="21"/>
                <w:highlight w:val="none"/>
                <w:lang w:val="en-US" w:eastAsia="zh-CN"/>
              </w:rPr>
              <w:t>监测方案见表5-4，点位布置见附图11。</w:t>
            </w:r>
          </w:p>
          <w:p w14:paraId="20E7DC66">
            <w:pPr>
              <w:pStyle w:val="5"/>
              <w:keepNext w:val="0"/>
              <w:keepLines w:val="0"/>
              <w:pageBreakBefore w:val="0"/>
              <w:widowControl w:val="0"/>
              <w:numPr>
                <w:ilvl w:val="0"/>
                <w:numId w:val="0"/>
              </w:numPr>
              <w:kinsoku/>
              <w:wordWrap/>
              <w:overflowPunct/>
              <w:topLinePunct w:val="0"/>
              <w:autoSpaceDE/>
              <w:autoSpaceDN/>
              <w:bidi w:val="0"/>
              <w:adjustRightInd/>
              <w:snapToGrid/>
              <w:spacing w:beforeLines="0" w:line="360" w:lineRule="auto"/>
              <w:ind w:leftChars="0" w:firstLine="0" w:firstLineChars="0"/>
              <w:jc w:val="center"/>
              <w:textAlignment w:val="auto"/>
              <w:rPr>
                <w:rFonts w:hint="default" w:ascii="Times New Roman" w:hAnsi="Times New Roman" w:eastAsia="宋体" w:cs="Times New Roman"/>
                <w:b/>
                <w:bCs/>
                <w:color w:val="auto"/>
                <w:kern w:val="21"/>
                <w:sz w:val="21"/>
                <w:szCs w:val="21"/>
                <w:highlight w:val="none"/>
                <w:lang w:val="en-US" w:eastAsia="zh-CN"/>
              </w:rPr>
            </w:pPr>
            <w:r>
              <w:rPr>
                <w:rFonts w:hint="eastAsia" w:ascii="Times New Roman" w:hAnsi="Times New Roman" w:eastAsia="宋体" w:cs="Times New Roman"/>
                <w:b/>
                <w:bCs/>
                <w:color w:val="auto"/>
                <w:kern w:val="21"/>
                <w:sz w:val="21"/>
                <w:szCs w:val="21"/>
                <w:highlight w:val="none"/>
                <w:lang w:val="en-US" w:eastAsia="zh-CN"/>
              </w:rPr>
              <w:t>表5-4    地下水、土壤环境跟踪检测方案一览表</w:t>
            </w:r>
          </w:p>
          <w:tbl>
            <w:tblPr>
              <w:tblStyle w:val="24"/>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550"/>
              <w:gridCol w:w="1239"/>
              <w:gridCol w:w="3125"/>
              <w:gridCol w:w="973"/>
              <w:gridCol w:w="1857"/>
            </w:tblGrid>
            <w:tr w14:paraId="63A3EB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0" w:type="pct"/>
                  <w:tcBorders>
                    <w:tl2br w:val="nil"/>
                    <w:tr2bl w:val="nil"/>
                  </w:tcBorders>
                  <w:noWrap w:val="0"/>
                  <w:vAlign w:val="center"/>
                </w:tcPr>
                <w:p w14:paraId="09C233A5">
                  <w:pPr>
                    <w:jc w:val="center"/>
                    <w:rPr>
                      <w:color w:val="auto"/>
                      <w:sz w:val="18"/>
                      <w:szCs w:val="18"/>
                      <w:highlight w:val="none"/>
                    </w:rPr>
                  </w:pPr>
                  <w:r>
                    <w:rPr>
                      <w:color w:val="auto"/>
                      <w:sz w:val="18"/>
                      <w:szCs w:val="18"/>
                      <w:highlight w:val="none"/>
                    </w:rPr>
                    <w:t>环境要素</w:t>
                  </w:r>
                </w:p>
              </w:tc>
              <w:tc>
                <w:tcPr>
                  <w:tcW w:w="384" w:type="pct"/>
                  <w:tcBorders>
                    <w:tl2br w:val="nil"/>
                    <w:tr2bl w:val="nil"/>
                  </w:tcBorders>
                  <w:noWrap w:val="0"/>
                  <w:vAlign w:val="center"/>
                </w:tcPr>
                <w:p w14:paraId="0B1956B1">
                  <w:pPr>
                    <w:jc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编号</w:t>
                  </w:r>
                </w:p>
              </w:tc>
              <w:tc>
                <w:tcPr>
                  <w:tcW w:w="802" w:type="pct"/>
                  <w:tcBorders>
                    <w:tl2br w:val="nil"/>
                    <w:tr2bl w:val="nil"/>
                  </w:tcBorders>
                  <w:noWrap w:val="0"/>
                  <w:vAlign w:val="center"/>
                </w:tcPr>
                <w:p w14:paraId="6BBC831F">
                  <w:pPr>
                    <w:jc w:val="center"/>
                    <w:rPr>
                      <w:color w:val="auto"/>
                      <w:sz w:val="18"/>
                      <w:szCs w:val="18"/>
                      <w:highlight w:val="none"/>
                    </w:rPr>
                  </w:pPr>
                  <w:r>
                    <w:rPr>
                      <w:color w:val="auto"/>
                      <w:sz w:val="18"/>
                      <w:szCs w:val="18"/>
                      <w:highlight w:val="none"/>
                    </w:rPr>
                    <w:t>监测点位</w:t>
                  </w:r>
                </w:p>
              </w:tc>
              <w:tc>
                <w:tcPr>
                  <w:tcW w:w="1946" w:type="pct"/>
                  <w:tcBorders>
                    <w:tl2br w:val="nil"/>
                    <w:tr2bl w:val="nil"/>
                  </w:tcBorders>
                  <w:noWrap w:val="0"/>
                  <w:vAlign w:val="center"/>
                </w:tcPr>
                <w:p w14:paraId="495E36EA">
                  <w:pPr>
                    <w:jc w:val="center"/>
                    <w:rPr>
                      <w:color w:val="auto"/>
                      <w:sz w:val="18"/>
                      <w:szCs w:val="18"/>
                      <w:highlight w:val="none"/>
                    </w:rPr>
                  </w:pPr>
                  <w:r>
                    <w:rPr>
                      <w:color w:val="auto"/>
                      <w:sz w:val="18"/>
                      <w:szCs w:val="18"/>
                      <w:highlight w:val="none"/>
                    </w:rPr>
                    <w:t>监测项目</w:t>
                  </w:r>
                </w:p>
              </w:tc>
              <w:tc>
                <w:tcPr>
                  <w:tcW w:w="640" w:type="pct"/>
                  <w:tcBorders>
                    <w:tl2br w:val="nil"/>
                    <w:tr2bl w:val="nil"/>
                  </w:tcBorders>
                  <w:noWrap w:val="0"/>
                  <w:vAlign w:val="center"/>
                </w:tcPr>
                <w:p w14:paraId="1177F8D2">
                  <w:pPr>
                    <w:jc w:val="center"/>
                    <w:rPr>
                      <w:color w:val="auto"/>
                      <w:sz w:val="18"/>
                      <w:szCs w:val="18"/>
                      <w:highlight w:val="none"/>
                    </w:rPr>
                  </w:pPr>
                  <w:r>
                    <w:rPr>
                      <w:color w:val="auto"/>
                      <w:sz w:val="18"/>
                      <w:szCs w:val="18"/>
                      <w:highlight w:val="none"/>
                    </w:rPr>
                    <w:t>监测频次</w:t>
                  </w:r>
                </w:p>
              </w:tc>
              <w:tc>
                <w:tcPr>
                  <w:tcW w:w="875" w:type="pct"/>
                  <w:tcBorders>
                    <w:tl2br w:val="nil"/>
                    <w:tr2bl w:val="nil"/>
                  </w:tcBorders>
                  <w:noWrap w:val="0"/>
                  <w:vAlign w:val="center"/>
                </w:tcPr>
                <w:p w14:paraId="75BF5968">
                  <w:pPr>
                    <w:jc w:val="center"/>
                    <w:rPr>
                      <w:color w:val="auto"/>
                      <w:sz w:val="18"/>
                      <w:szCs w:val="18"/>
                      <w:highlight w:val="none"/>
                    </w:rPr>
                  </w:pPr>
                  <w:r>
                    <w:rPr>
                      <w:color w:val="auto"/>
                      <w:sz w:val="18"/>
                      <w:szCs w:val="18"/>
                      <w:highlight w:val="none"/>
                    </w:rPr>
                    <w:t>控制指标</w:t>
                  </w:r>
                </w:p>
              </w:tc>
            </w:tr>
            <w:tr w14:paraId="448516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350" w:type="pct"/>
                  <w:vMerge w:val="restart"/>
                  <w:tcBorders>
                    <w:tl2br w:val="nil"/>
                    <w:tr2bl w:val="nil"/>
                  </w:tcBorders>
                  <w:noWrap w:val="0"/>
                  <w:vAlign w:val="center"/>
                </w:tcPr>
                <w:p w14:paraId="080FA07C">
                  <w:pPr>
                    <w:jc w:val="center"/>
                    <w:rPr>
                      <w:color w:val="auto"/>
                      <w:sz w:val="18"/>
                      <w:szCs w:val="18"/>
                      <w:highlight w:val="none"/>
                    </w:rPr>
                  </w:pPr>
                  <w:r>
                    <w:rPr>
                      <w:color w:val="auto"/>
                      <w:sz w:val="18"/>
                      <w:szCs w:val="18"/>
                      <w:highlight w:val="none"/>
                    </w:rPr>
                    <w:t>地下水</w:t>
                  </w:r>
                </w:p>
              </w:tc>
              <w:tc>
                <w:tcPr>
                  <w:tcW w:w="384" w:type="pct"/>
                  <w:tcBorders>
                    <w:tl2br w:val="nil"/>
                    <w:tr2bl w:val="nil"/>
                  </w:tcBorders>
                  <w:noWrap w:val="0"/>
                  <w:vAlign w:val="center"/>
                </w:tcPr>
                <w:p w14:paraId="590A9709">
                  <w:pPr>
                    <w:jc w:val="center"/>
                    <w:rPr>
                      <w:rFonts w:hint="default" w:ascii="Times New Roman" w:hAnsi="Times New Roman" w:eastAsia="宋体" w:cs="Times New Roman"/>
                      <w:color w:val="auto"/>
                      <w:w w:val="100"/>
                      <w:kern w:val="0"/>
                      <w:sz w:val="18"/>
                      <w:szCs w:val="18"/>
                      <w:highlight w:val="none"/>
                      <w:lang w:val="en-US" w:eastAsia="zh-CN"/>
                    </w:rPr>
                  </w:pPr>
                  <w:r>
                    <w:rPr>
                      <w:rFonts w:hint="eastAsia" w:ascii="Times New Roman" w:hAnsi="Times New Roman" w:eastAsia="宋体" w:cs="Times New Roman"/>
                      <w:color w:val="auto"/>
                      <w:w w:val="100"/>
                      <w:kern w:val="0"/>
                      <w:sz w:val="18"/>
                      <w:szCs w:val="18"/>
                      <w:highlight w:val="none"/>
                      <w:lang w:val="en-US" w:eastAsia="zh-CN"/>
                    </w:rPr>
                    <w:t>W1</w:t>
                  </w:r>
                </w:p>
              </w:tc>
              <w:tc>
                <w:tcPr>
                  <w:tcW w:w="802" w:type="pct"/>
                  <w:tcBorders>
                    <w:tl2br w:val="nil"/>
                    <w:tr2bl w:val="nil"/>
                  </w:tcBorders>
                  <w:noWrap w:val="0"/>
                  <w:vAlign w:val="center"/>
                </w:tcPr>
                <w:p w14:paraId="37C09774">
                  <w:pPr>
                    <w:jc w:val="center"/>
                    <w:rPr>
                      <w:rFonts w:hint="default" w:ascii="Times New Roman" w:hAnsi="Times New Roman" w:eastAsia="宋体" w:cs="Times New Roman"/>
                      <w:color w:val="auto"/>
                      <w:w w:val="100"/>
                      <w:kern w:val="0"/>
                      <w:sz w:val="18"/>
                      <w:szCs w:val="18"/>
                      <w:highlight w:val="none"/>
                      <w:lang w:val="en-US" w:eastAsia="zh-CN"/>
                    </w:rPr>
                  </w:pPr>
                  <w:r>
                    <w:rPr>
                      <w:rFonts w:hint="default" w:ascii="Times New Roman" w:hAnsi="Times New Roman" w:eastAsia="宋体" w:cs="Times New Roman"/>
                      <w:color w:val="auto"/>
                      <w:w w:val="100"/>
                      <w:kern w:val="0"/>
                      <w:sz w:val="18"/>
                      <w:szCs w:val="18"/>
                      <w:highlight w:val="none"/>
                      <w:lang w:val="en-US" w:eastAsia="zh-CN"/>
                    </w:rPr>
                    <w:t>危废库下游（东南）30m范围内</w:t>
                  </w:r>
                </w:p>
              </w:tc>
              <w:tc>
                <w:tcPr>
                  <w:tcW w:w="1946" w:type="pct"/>
                  <w:vMerge w:val="restart"/>
                  <w:tcBorders>
                    <w:tl2br w:val="nil"/>
                    <w:tr2bl w:val="nil"/>
                  </w:tcBorders>
                  <w:noWrap w:val="0"/>
                  <w:vAlign w:val="center"/>
                </w:tcPr>
                <w:p w14:paraId="38D4D78E">
                  <w:pPr>
                    <w:widowControl/>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色、臭和味、浑浊度、肉眼可见物、pH、总硬度、溶解性总固体、硫酸盐、氯化物、铁、锰、铜、锌、铝、挥发性酚类（以苯酚计）、阴离子表面活性剂、耗氧量、氨氮、硫化物、钠、总大肠菌群、菌落总数、亚硝酸盐（以N计）、硝酸盐（以N计）、氰化物、氟化物、碘化物、汞、砷、硒、镉、铬（六价）、铅、三氯甲烷、四氯化碳、苯、甲苯</w:t>
                  </w:r>
                </w:p>
              </w:tc>
              <w:tc>
                <w:tcPr>
                  <w:tcW w:w="640" w:type="pct"/>
                  <w:vMerge w:val="restart"/>
                  <w:tcBorders>
                    <w:tl2br w:val="nil"/>
                    <w:tr2bl w:val="nil"/>
                  </w:tcBorders>
                  <w:noWrap w:val="0"/>
                  <w:vAlign w:val="center"/>
                </w:tcPr>
                <w:p w14:paraId="24208081">
                  <w:pPr>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2次/a</w:t>
                  </w:r>
                </w:p>
              </w:tc>
              <w:tc>
                <w:tcPr>
                  <w:tcW w:w="875" w:type="pct"/>
                  <w:vMerge w:val="restart"/>
                  <w:tcBorders>
                    <w:tl2br w:val="nil"/>
                    <w:tr2bl w:val="nil"/>
                  </w:tcBorders>
                  <w:noWrap w:val="0"/>
                  <w:vAlign w:val="center"/>
                </w:tcPr>
                <w:p w14:paraId="50731557">
                  <w:pPr>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kern w:val="44"/>
                      <w:sz w:val="18"/>
                      <w:szCs w:val="18"/>
                      <w:highlight w:val="none"/>
                      <w:lang w:val="zh-CN"/>
                    </w:rPr>
                    <w:t>《地下水质量标准》（GB/T14848-2017）Ⅲ类</w:t>
                  </w:r>
                </w:p>
              </w:tc>
            </w:tr>
            <w:tr w14:paraId="151BEA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350" w:type="pct"/>
                  <w:vMerge w:val="continue"/>
                  <w:tcBorders>
                    <w:tl2br w:val="nil"/>
                    <w:tr2bl w:val="nil"/>
                  </w:tcBorders>
                  <w:noWrap w:val="0"/>
                  <w:vAlign w:val="center"/>
                </w:tcPr>
                <w:p w14:paraId="3EB0ADAE">
                  <w:pPr>
                    <w:jc w:val="center"/>
                    <w:rPr>
                      <w:color w:val="auto"/>
                      <w:sz w:val="18"/>
                      <w:szCs w:val="18"/>
                      <w:highlight w:val="none"/>
                    </w:rPr>
                  </w:pPr>
                </w:p>
              </w:tc>
              <w:tc>
                <w:tcPr>
                  <w:tcW w:w="384" w:type="pct"/>
                  <w:tcBorders>
                    <w:tl2br w:val="nil"/>
                    <w:tr2bl w:val="nil"/>
                  </w:tcBorders>
                  <w:noWrap w:val="0"/>
                  <w:vAlign w:val="center"/>
                </w:tcPr>
                <w:p w14:paraId="2101D18F">
                  <w:pPr>
                    <w:jc w:val="center"/>
                    <w:rPr>
                      <w:rFonts w:hint="default" w:ascii="Times New Roman" w:hAnsi="Times New Roman" w:eastAsia="宋体" w:cs="Times New Roman"/>
                      <w:color w:val="auto"/>
                      <w:w w:val="100"/>
                      <w:kern w:val="0"/>
                      <w:sz w:val="18"/>
                      <w:szCs w:val="18"/>
                      <w:highlight w:val="none"/>
                      <w:lang w:val="en-US" w:eastAsia="zh-CN"/>
                    </w:rPr>
                  </w:pPr>
                  <w:r>
                    <w:rPr>
                      <w:rFonts w:hint="eastAsia" w:ascii="Times New Roman" w:hAnsi="Times New Roman" w:eastAsia="宋体" w:cs="Times New Roman"/>
                      <w:color w:val="auto"/>
                      <w:w w:val="100"/>
                      <w:kern w:val="0"/>
                      <w:sz w:val="18"/>
                      <w:szCs w:val="18"/>
                      <w:highlight w:val="none"/>
                      <w:lang w:val="en-US" w:eastAsia="zh-CN"/>
                    </w:rPr>
                    <w:t>W2</w:t>
                  </w:r>
                </w:p>
              </w:tc>
              <w:tc>
                <w:tcPr>
                  <w:tcW w:w="802" w:type="pct"/>
                  <w:tcBorders>
                    <w:tl2br w:val="nil"/>
                    <w:tr2bl w:val="nil"/>
                  </w:tcBorders>
                  <w:noWrap w:val="0"/>
                  <w:vAlign w:val="center"/>
                </w:tcPr>
                <w:p w14:paraId="430CD193">
                  <w:pPr>
                    <w:jc w:val="center"/>
                    <w:rPr>
                      <w:rFonts w:hint="default" w:ascii="Times New Roman" w:hAnsi="Times New Roman" w:eastAsia="宋体" w:cs="Times New Roman"/>
                      <w:color w:val="auto"/>
                      <w:w w:val="100"/>
                      <w:kern w:val="0"/>
                      <w:sz w:val="18"/>
                      <w:szCs w:val="18"/>
                      <w:highlight w:val="none"/>
                    </w:rPr>
                  </w:pPr>
                  <w:r>
                    <w:rPr>
                      <w:rFonts w:hint="default" w:ascii="Times New Roman" w:hAnsi="Times New Roman" w:eastAsia="宋体" w:cs="Times New Roman"/>
                      <w:color w:val="auto"/>
                      <w:w w:val="100"/>
                      <w:kern w:val="0"/>
                      <w:sz w:val="18"/>
                      <w:szCs w:val="18"/>
                      <w:highlight w:val="none"/>
                      <w:lang w:val="en-US" w:eastAsia="zh-CN"/>
                    </w:rPr>
                    <w:t>事故应急池及初期雨水池下游（东南）30m范围内</w:t>
                  </w:r>
                </w:p>
              </w:tc>
              <w:tc>
                <w:tcPr>
                  <w:tcW w:w="1946" w:type="pct"/>
                  <w:vMerge w:val="continue"/>
                  <w:tcBorders>
                    <w:tl2br w:val="nil"/>
                    <w:tr2bl w:val="nil"/>
                  </w:tcBorders>
                  <w:noWrap w:val="0"/>
                  <w:vAlign w:val="center"/>
                </w:tcPr>
                <w:p w14:paraId="35ECF7D0">
                  <w:pPr>
                    <w:widowControl/>
                    <w:jc w:val="center"/>
                    <w:rPr>
                      <w:rFonts w:hint="default" w:ascii="Times New Roman" w:hAnsi="Times New Roman" w:eastAsia="宋体" w:cs="Times New Roman"/>
                      <w:color w:val="auto"/>
                      <w:sz w:val="18"/>
                      <w:szCs w:val="18"/>
                      <w:highlight w:val="none"/>
                    </w:rPr>
                  </w:pPr>
                </w:p>
              </w:tc>
              <w:tc>
                <w:tcPr>
                  <w:tcW w:w="640" w:type="pct"/>
                  <w:vMerge w:val="continue"/>
                  <w:tcBorders>
                    <w:tl2br w:val="nil"/>
                    <w:tr2bl w:val="nil"/>
                  </w:tcBorders>
                  <w:noWrap w:val="0"/>
                  <w:vAlign w:val="center"/>
                </w:tcPr>
                <w:p w14:paraId="656963C7">
                  <w:pPr>
                    <w:jc w:val="center"/>
                    <w:rPr>
                      <w:rFonts w:hint="default" w:ascii="Times New Roman" w:hAnsi="Times New Roman" w:eastAsia="宋体" w:cs="Times New Roman"/>
                      <w:bCs/>
                      <w:color w:val="auto"/>
                      <w:kern w:val="44"/>
                      <w:sz w:val="18"/>
                      <w:szCs w:val="18"/>
                      <w:highlight w:val="none"/>
                      <w:lang w:val="zh-CN"/>
                    </w:rPr>
                  </w:pPr>
                </w:p>
              </w:tc>
              <w:tc>
                <w:tcPr>
                  <w:tcW w:w="875" w:type="pct"/>
                  <w:vMerge w:val="continue"/>
                  <w:tcBorders>
                    <w:tl2br w:val="nil"/>
                    <w:tr2bl w:val="nil"/>
                  </w:tcBorders>
                  <w:noWrap w:val="0"/>
                  <w:vAlign w:val="center"/>
                </w:tcPr>
                <w:p w14:paraId="61A7919C">
                  <w:pPr>
                    <w:jc w:val="center"/>
                    <w:rPr>
                      <w:rFonts w:hint="default" w:ascii="Times New Roman" w:hAnsi="Times New Roman" w:eastAsia="宋体" w:cs="Times New Roman"/>
                      <w:color w:val="auto"/>
                      <w:kern w:val="44"/>
                      <w:sz w:val="18"/>
                      <w:szCs w:val="18"/>
                      <w:highlight w:val="none"/>
                      <w:lang w:val="zh-CN"/>
                    </w:rPr>
                  </w:pPr>
                </w:p>
              </w:tc>
            </w:tr>
            <w:tr w14:paraId="75441C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350" w:type="pct"/>
                  <w:vMerge w:val="restart"/>
                  <w:tcBorders>
                    <w:tl2br w:val="nil"/>
                    <w:tr2bl w:val="nil"/>
                  </w:tcBorders>
                  <w:noWrap w:val="0"/>
                  <w:vAlign w:val="center"/>
                </w:tcPr>
                <w:p w14:paraId="6BB98597">
                  <w:pPr>
                    <w:jc w:val="center"/>
                    <w:rPr>
                      <w:color w:val="auto"/>
                      <w:sz w:val="18"/>
                      <w:szCs w:val="18"/>
                      <w:highlight w:val="none"/>
                    </w:rPr>
                  </w:pPr>
                  <w:r>
                    <w:rPr>
                      <w:color w:val="auto"/>
                      <w:sz w:val="18"/>
                      <w:szCs w:val="18"/>
                      <w:highlight w:val="none"/>
                    </w:rPr>
                    <w:t>土壤</w:t>
                  </w:r>
                </w:p>
              </w:tc>
              <w:tc>
                <w:tcPr>
                  <w:tcW w:w="384" w:type="pct"/>
                  <w:tcBorders>
                    <w:tl2br w:val="nil"/>
                    <w:tr2bl w:val="nil"/>
                  </w:tcBorders>
                  <w:noWrap w:val="0"/>
                  <w:vAlign w:val="center"/>
                </w:tcPr>
                <w:p w14:paraId="15406693">
                  <w:pPr>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S1</w:t>
                  </w:r>
                </w:p>
              </w:tc>
              <w:tc>
                <w:tcPr>
                  <w:tcW w:w="802" w:type="pct"/>
                  <w:tcBorders>
                    <w:tl2br w:val="nil"/>
                    <w:tr2bl w:val="nil"/>
                  </w:tcBorders>
                  <w:noWrap w:val="0"/>
                  <w:vAlign w:val="center"/>
                </w:tcPr>
                <w:p w14:paraId="33EFD61F">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危废库旁边</w:t>
                  </w:r>
                </w:p>
              </w:tc>
              <w:tc>
                <w:tcPr>
                  <w:tcW w:w="1946" w:type="pct"/>
                  <w:vMerge w:val="restart"/>
                  <w:tcBorders>
                    <w:tl2br w:val="nil"/>
                    <w:tr2bl w:val="nil"/>
                  </w:tcBorders>
                  <w:noWrap w:val="0"/>
                  <w:vAlign w:val="center"/>
                </w:tcPr>
                <w:p w14:paraId="0CE9C25F">
                  <w:pPr>
                    <w:jc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砷、镉、铬（六价）、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并［k］荧蒽、䓛、二苯并［a、h］蒽、茚并［1,2,3-cd］芘、萘，石油烃</w:t>
                  </w:r>
                </w:p>
              </w:tc>
              <w:tc>
                <w:tcPr>
                  <w:tcW w:w="640" w:type="pct"/>
                  <w:vMerge w:val="restart"/>
                  <w:tcBorders>
                    <w:tl2br w:val="nil"/>
                    <w:tr2bl w:val="nil"/>
                  </w:tcBorders>
                  <w:noWrap w:val="0"/>
                  <w:vAlign w:val="center"/>
                </w:tcPr>
                <w:p w14:paraId="3DABE8E6">
                  <w:pPr>
                    <w:jc w:val="center"/>
                    <w:rPr>
                      <w:rFonts w:hint="eastAsia" w:ascii="Times New Roman" w:hAnsi="Times New Roman" w:eastAsia="宋体" w:cs="Times New Roman"/>
                      <w:bCs/>
                      <w:color w:val="auto"/>
                      <w:kern w:val="44"/>
                      <w:sz w:val="18"/>
                      <w:szCs w:val="18"/>
                      <w:highlight w:val="none"/>
                      <w:lang w:val="zh-CN" w:eastAsia="zh-CN"/>
                    </w:rPr>
                  </w:pPr>
                  <w:r>
                    <w:rPr>
                      <w:rFonts w:hint="default" w:ascii="Times New Roman" w:hAnsi="Times New Roman" w:eastAsia="宋体" w:cs="Times New Roman"/>
                      <w:bCs/>
                      <w:color w:val="auto"/>
                      <w:kern w:val="44"/>
                      <w:sz w:val="18"/>
                      <w:szCs w:val="18"/>
                      <w:highlight w:val="none"/>
                      <w:lang w:val="zh-CN"/>
                    </w:rPr>
                    <w:t>1次/</w:t>
                  </w:r>
                  <w:r>
                    <w:rPr>
                      <w:rFonts w:hint="eastAsia" w:ascii="Times New Roman" w:hAnsi="Times New Roman" w:eastAsia="宋体" w:cs="Times New Roman"/>
                      <w:bCs/>
                      <w:color w:val="auto"/>
                      <w:kern w:val="44"/>
                      <w:sz w:val="18"/>
                      <w:szCs w:val="18"/>
                      <w:highlight w:val="none"/>
                      <w:lang w:val="en-US" w:eastAsia="zh-CN"/>
                    </w:rPr>
                    <w:t>a</w:t>
                  </w:r>
                </w:p>
              </w:tc>
              <w:tc>
                <w:tcPr>
                  <w:tcW w:w="875" w:type="pct"/>
                  <w:vMerge w:val="restart"/>
                  <w:tcBorders>
                    <w:tl2br w:val="nil"/>
                    <w:tr2bl w:val="nil"/>
                  </w:tcBorders>
                  <w:noWrap w:val="0"/>
                  <w:vAlign w:val="center"/>
                </w:tcPr>
                <w:p w14:paraId="3C930B87">
                  <w:pPr>
                    <w:jc w:val="center"/>
                    <w:rPr>
                      <w:rFonts w:hint="default" w:ascii="Times New Roman" w:hAnsi="Times New Roman" w:eastAsia="宋体" w:cs="Times New Roman"/>
                      <w:color w:val="auto"/>
                      <w:kern w:val="44"/>
                      <w:sz w:val="18"/>
                      <w:szCs w:val="18"/>
                      <w:highlight w:val="none"/>
                      <w:lang w:val="zh-CN"/>
                    </w:rPr>
                  </w:pPr>
                  <w:r>
                    <w:rPr>
                      <w:rFonts w:hint="default" w:ascii="Times New Roman" w:hAnsi="Times New Roman" w:eastAsia="宋体" w:cs="Times New Roman"/>
                      <w:color w:val="auto"/>
                      <w:sz w:val="18"/>
                      <w:szCs w:val="18"/>
                      <w:highlight w:val="none"/>
                    </w:rPr>
                    <w:t>《土壤环境质量建设用地土壤污染风险管控标准（试行）》（GB36600-2018）中表1中第二类用地筛选值。</w:t>
                  </w:r>
                </w:p>
              </w:tc>
            </w:tr>
            <w:tr w14:paraId="5998B8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350" w:type="pct"/>
                  <w:vMerge w:val="continue"/>
                  <w:tcBorders>
                    <w:tl2br w:val="nil"/>
                    <w:tr2bl w:val="nil"/>
                  </w:tcBorders>
                  <w:noWrap w:val="0"/>
                  <w:vAlign w:val="center"/>
                </w:tcPr>
                <w:p w14:paraId="0F6E78BF">
                  <w:pPr>
                    <w:jc w:val="center"/>
                    <w:rPr>
                      <w:color w:val="auto"/>
                      <w:sz w:val="18"/>
                      <w:szCs w:val="18"/>
                      <w:highlight w:val="none"/>
                    </w:rPr>
                  </w:pPr>
                </w:p>
              </w:tc>
              <w:tc>
                <w:tcPr>
                  <w:tcW w:w="384" w:type="pct"/>
                  <w:tcBorders>
                    <w:tl2br w:val="nil"/>
                    <w:tr2bl w:val="nil"/>
                  </w:tcBorders>
                  <w:noWrap w:val="0"/>
                  <w:vAlign w:val="center"/>
                </w:tcPr>
                <w:p w14:paraId="74C11D2E">
                  <w:pPr>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S2</w:t>
                  </w:r>
                </w:p>
              </w:tc>
              <w:tc>
                <w:tcPr>
                  <w:tcW w:w="802" w:type="pct"/>
                  <w:tcBorders>
                    <w:tl2br w:val="nil"/>
                    <w:tr2bl w:val="nil"/>
                  </w:tcBorders>
                  <w:noWrap w:val="0"/>
                  <w:vAlign w:val="center"/>
                </w:tcPr>
                <w:p w14:paraId="6961697E">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火炬装置旁边</w:t>
                  </w:r>
                </w:p>
              </w:tc>
              <w:tc>
                <w:tcPr>
                  <w:tcW w:w="1946" w:type="pct"/>
                  <w:vMerge w:val="continue"/>
                  <w:tcBorders>
                    <w:tl2br w:val="nil"/>
                    <w:tr2bl w:val="nil"/>
                  </w:tcBorders>
                  <w:noWrap w:val="0"/>
                  <w:vAlign w:val="center"/>
                </w:tcPr>
                <w:p w14:paraId="72A4E07A">
                  <w:pPr>
                    <w:jc w:val="center"/>
                    <w:rPr>
                      <w:color w:val="auto"/>
                      <w:sz w:val="18"/>
                      <w:szCs w:val="18"/>
                      <w:highlight w:val="none"/>
                    </w:rPr>
                  </w:pPr>
                </w:p>
              </w:tc>
              <w:tc>
                <w:tcPr>
                  <w:tcW w:w="640" w:type="pct"/>
                  <w:vMerge w:val="continue"/>
                  <w:tcBorders>
                    <w:tl2br w:val="nil"/>
                    <w:tr2bl w:val="nil"/>
                  </w:tcBorders>
                  <w:noWrap w:val="0"/>
                  <w:vAlign w:val="center"/>
                </w:tcPr>
                <w:p w14:paraId="44E36CA7">
                  <w:pPr>
                    <w:jc w:val="center"/>
                    <w:rPr>
                      <w:bCs/>
                      <w:color w:val="auto"/>
                      <w:kern w:val="44"/>
                      <w:sz w:val="18"/>
                      <w:szCs w:val="18"/>
                      <w:highlight w:val="none"/>
                      <w:lang w:val="zh-CN"/>
                    </w:rPr>
                  </w:pPr>
                </w:p>
              </w:tc>
              <w:tc>
                <w:tcPr>
                  <w:tcW w:w="875" w:type="pct"/>
                  <w:vMerge w:val="continue"/>
                  <w:tcBorders>
                    <w:tl2br w:val="nil"/>
                    <w:tr2bl w:val="nil"/>
                  </w:tcBorders>
                  <w:noWrap w:val="0"/>
                  <w:vAlign w:val="center"/>
                </w:tcPr>
                <w:p w14:paraId="43112AE5">
                  <w:pPr>
                    <w:jc w:val="center"/>
                    <w:rPr>
                      <w:color w:val="auto"/>
                      <w:sz w:val="18"/>
                      <w:szCs w:val="18"/>
                      <w:highlight w:val="none"/>
                    </w:rPr>
                  </w:pPr>
                </w:p>
              </w:tc>
            </w:tr>
          </w:tbl>
          <w:p w14:paraId="6F659DC4">
            <w:pPr>
              <w:pStyle w:val="5"/>
              <w:keepNext w:val="0"/>
              <w:keepLines w:val="0"/>
              <w:pageBreakBefore w:val="0"/>
              <w:widowControl w:val="0"/>
              <w:numPr>
                <w:ilvl w:val="0"/>
                <w:numId w:val="0"/>
              </w:numPr>
              <w:kinsoku/>
              <w:wordWrap/>
              <w:overflowPunct/>
              <w:topLinePunct w:val="0"/>
              <w:autoSpaceDE/>
              <w:autoSpaceDN/>
              <w:bidi w:val="0"/>
              <w:adjustRightInd/>
              <w:snapToGrid/>
              <w:spacing w:beforeLines="0" w:line="360" w:lineRule="auto"/>
              <w:ind w:leftChars="0" w:firstLine="420" w:firstLineChars="200"/>
              <w:textAlignment w:val="auto"/>
              <w:rPr>
                <w:rFonts w:hint="default" w:ascii="Times New Roman" w:hAnsi="Times New Roman" w:eastAsia="宋体" w:cs="Times New Roman"/>
                <w:b w:val="0"/>
                <w:bCs w:val="0"/>
                <w:color w:val="auto"/>
                <w:kern w:val="21"/>
                <w:sz w:val="21"/>
                <w:szCs w:val="21"/>
                <w:highlight w:val="none"/>
                <w:lang w:val="en-US" w:eastAsia="zh-CN"/>
              </w:rPr>
            </w:pPr>
            <w:r>
              <w:rPr>
                <w:rFonts w:hint="eastAsia" w:ascii="Times New Roman" w:hAnsi="Times New Roman" w:eastAsia="宋体" w:cs="Times New Roman"/>
                <w:b w:val="0"/>
                <w:bCs w:val="0"/>
                <w:color w:val="auto"/>
                <w:kern w:val="21"/>
                <w:sz w:val="21"/>
                <w:szCs w:val="21"/>
                <w:highlight w:val="none"/>
                <w:lang w:val="en-US" w:eastAsia="zh-CN"/>
              </w:rPr>
              <w:t>同时要求，根据实际入驻中试项目产排污情况及污染源位置，根据其环评监测计划要求设置的跟踪监测点及特征污染物应纳入到中试基地整体监测计划中，中试项目新增点位的监测数据应提供给中试基地安环管理机构备案。</w:t>
            </w:r>
          </w:p>
          <w:p w14:paraId="0DCE3A27">
            <w:pPr>
              <w:pStyle w:val="5"/>
              <w:keepNext w:val="0"/>
              <w:keepLines w:val="0"/>
              <w:pageBreakBefore w:val="0"/>
              <w:widowControl w:val="0"/>
              <w:kinsoku/>
              <w:wordWrap/>
              <w:overflowPunct/>
              <w:topLinePunct w:val="0"/>
              <w:autoSpaceDE/>
              <w:autoSpaceDN/>
              <w:bidi w:val="0"/>
              <w:adjustRightInd/>
              <w:snapToGrid/>
              <w:spacing w:before="0" w:beforeLines="0" w:line="360" w:lineRule="auto"/>
              <w:ind w:firstLine="422" w:firstLineChars="200"/>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bCs/>
                <w:color w:val="auto"/>
                <w:kern w:val="21"/>
                <w:sz w:val="21"/>
                <w:szCs w:val="21"/>
                <w:highlight w:val="none"/>
                <w:lang w:val="en-US" w:eastAsia="zh-CN"/>
              </w:rPr>
              <w:t>6</w:t>
            </w:r>
            <w:r>
              <w:rPr>
                <w:rFonts w:hint="default" w:ascii="Times New Roman" w:hAnsi="Times New Roman" w:eastAsia="宋体" w:cs="Times New Roman"/>
                <w:b/>
                <w:bCs/>
                <w:color w:val="auto"/>
                <w:kern w:val="21"/>
                <w:sz w:val="21"/>
                <w:szCs w:val="21"/>
                <w:highlight w:val="none"/>
              </w:rPr>
              <w:t>、环境风险</w:t>
            </w:r>
            <w:r>
              <w:rPr>
                <w:rFonts w:hint="eastAsia" w:ascii="Times New Roman" w:hAnsi="Times New Roman" w:eastAsia="宋体" w:cs="Times New Roman"/>
                <w:b/>
                <w:bCs/>
                <w:color w:val="auto"/>
                <w:kern w:val="21"/>
                <w:sz w:val="21"/>
                <w:szCs w:val="21"/>
                <w:highlight w:val="none"/>
                <w:lang w:val="en-US" w:eastAsia="zh-CN"/>
              </w:rPr>
              <w:t>防范措施</w:t>
            </w:r>
          </w:p>
          <w:p w14:paraId="56BA8066">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Autospacing="0"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本次评价最大可信事故为外部管廊富一氧化碳管道发生泄漏或火灾爆炸事故伴生污染物的排放；</w:t>
            </w:r>
            <w:r>
              <w:rPr>
                <w:rFonts w:hint="eastAsia" w:ascii="Times New Roman" w:hAnsi="Times New Roman" w:eastAsia="宋体" w:cs="Times New Roman"/>
                <w:b w:val="0"/>
                <w:bCs w:val="0"/>
                <w:color w:val="auto"/>
                <w:sz w:val="21"/>
                <w:szCs w:val="21"/>
                <w:highlight w:val="none"/>
                <w:lang w:val="en-US" w:eastAsia="zh-CN"/>
              </w:rPr>
              <w:t>基地</w:t>
            </w:r>
            <w:r>
              <w:rPr>
                <w:rFonts w:hint="default" w:ascii="Times New Roman" w:hAnsi="Times New Roman" w:eastAsia="宋体" w:cs="Times New Roman"/>
                <w:b w:val="0"/>
                <w:bCs w:val="0"/>
                <w:color w:val="auto"/>
                <w:sz w:val="21"/>
                <w:szCs w:val="21"/>
                <w:highlight w:val="none"/>
                <w:lang w:val="en-US" w:eastAsia="zh-CN"/>
              </w:rPr>
              <w:t>内天然气管道泄漏或火灾爆炸事故伴生污染物的排放。</w:t>
            </w:r>
          </w:p>
          <w:p w14:paraId="0533BD46">
            <w:pPr>
              <w:keepNext w:val="0"/>
              <w:keepLines w:val="0"/>
              <w:pageBreakBefore w:val="0"/>
              <w:widowControl/>
              <w:suppressLineNumbers w:val="0"/>
              <w:kinsoku/>
              <w:wordWrap/>
              <w:overflowPunct/>
              <w:topLinePunct w:val="0"/>
              <w:autoSpaceDE/>
              <w:autoSpaceDN/>
              <w:bidi w:val="0"/>
              <w:adjustRightInd/>
              <w:snapToGrid/>
              <w:spacing w:beforeLines="0" w:line="360" w:lineRule="auto"/>
              <w:ind w:firstLine="420" w:firstLineChars="200"/>
              <w:jc w:val="left"/>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本项目通过制定较为周全的风险事故防范措施和事故应急预案，当发生风险事故时立即启动事故应急预案，能确保事故不扩大，不会对周边环境造成较大危害。在采取有效风险防范措施和应急预案后，项目环境风险可控。</w:t>
            </w:r>
          </w:p>
          <w:p w14:paraId="6D667875">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rPr>
                <w:rFonts w:hint="default" w:ascii="Times New Roman" w:hAnsi="Times New Roman" w:eastAsia="宋体" w:cs="Times New Roman"/>
                <w:b w:val="0"/>
                <w:bCs w:val="0"/>
                <w:color w:val="auto"/>
                <w:kern w:val="0"/>
                <w:sz w:val="21"/>
                <w:szCs w:val="21"/>
                <w:highlight w:val="none"/>
                <w:lang w:val="en-US" w:eastAsia="zh-CN" w:bidi="ar"/>
              </w:rPr>
            </w:pPr>
            <w:r>
              <w:rPr>
                <w:rFonts w:hint="default" w:ascii="Times New Roman" w:hAnsi="Times New Roman" w:eastAsia="宋体" w:cs="Times New Roman"/>
                <w:b w:val="0"/>
                <w:bCs w:val="0"/>
                <w:color w:val="auto"/>
                <w:kern w:val="0"/>
                <w:sz w:val="21"/>
                <w:szCs w:val="21"/>
                <w:highlight w:val="none"/>
                <w:lang w:val="en-US" w:eastAsia="zh-CN" w:bidi="ar"/>
              </w:rPr>
              <w:t>具体环境风险评价内容见《</w:t>
            </w:r>
            <w:r>
              <w:rPr>
                <w:rFonts w:hint="default" w:ascii="Times New Roman" w:hAnsi="Times New Roman" w:eastAsia="宋体" w:cs="Times New Roman"/>
                <w:b w:val="0"/>
                <w:bCs w:val="0"/>
                <w:color w:val="auto"/>
                <w:kern w:val="21"/>
                <w:sz w:val="21"/>
                <w:szCs w:val="21"/>
                <w:highlight w:val="none"/>
                <w:u w:val="none"/>
                <w:lang w:val="en-US" w:eastAsia="zh-CN"/>
              </w:rPr>
              <w:t>鄂尔多斯现代煤化工创新技术中试基地基础设施建设项目环境风险评价专题报告</w:t>
            </w:r>
            <w:r>
              <w:rPr>
                <w:rFonts w:hint="default" w:ascii="Times New Roman" w:hAnsi="Times New Roman" w:eastAsia="宋体" w:cs="Times New Roman"/>
                <w:b w:val="0"/>
                <w:bCs w:val="0"/>
                <w:color w:val="auto"/>
                <w:kern w:val="0"/>
                <w:sz w:val="21"/>
                <w:szCs w:val="21"/>
                <w:highlight w:val="none"/>
                <w:lang w:val="en-US" w:eastAsia="zh-CN" w:bidi="ar"/>
              </w:rPr>
              <w:t>》。</w:t>
            </w:r>
          </w:p>
          <w:p w14:paraId="0D5E7EDE">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both"/>
              <w:textAlignment w:val="auto"/>
              <w:rPr>
                <w:rFonts w:hint="default" w:ascii="Times New Roman" w:hAnsi="Times New Roman" w:eastAsia="宋体" w:cs="Times New Roman"/>
                <w:b w:val="0"/>
                <w:bCs w:val="0"/>
                <w:color w:val="auto"/>
                <w:kern w:val="0"/>
                <w:sz w:val="21"/>
                <w:szCs w:val="21"/>
                <w:highlight w:val="none"/>
                <w:lang w:val="en-US" w:eastAsia="zh-CN" w:bidi="ar"/>
              </w:rPr>
            </w:pPr>
          </w:p>
        </w:tc>
      </w:tr>
      <w:tr w14:paraId="14DD8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53" w:type="dxa"/>
            <w:noWrap w:val="0"/>
            <w:vAlign w:val="center"/>
          </w:tcPr>
          <w:p w14:paraId="08ADEE14">
            <w:pPr>
              <w:adjustRightInd w:val="0"/>
              <w:snapToGrid w:val="0"/>
              <w:jc w:val="center"/>
              <w:rPr>
                <w:rFonts w:hint="eastAsia" w:ascii="宋体" w:hAnsi="宋体"/>
                <w:bCs/>
                <w:color w:val="auto"/>
                <w:szCs w:val="21"/>
                <w:highlight w:val="none"/>
              </w:rPr>
            </w:pPr>
          </w:p>
          <w:p w14:paraId="5FF2DDBA">
            <w:pPr>
              <w:adjustRightInd w:val="0"/>
              <w:snapToGrid w:val="0"/>
              <w:jc w:val="center"/>
              <w:rPr>
                <w:rFonts w:hint="eastAsia" w:ascii="宋体" w:hAnsi="宋体"/>
                <w:bCs/>
                <w:color w:val="auto"/>
                <w:szCs w:val="21"/>
                <w:highlight w:val="none"/>
              </w:rPr>
            </w:pPr>
            <w:r>
              <w:rPr>
                <w:rFonts w:hint="eastAsia" w:ascii="宋体" w:hAnsi="宋体"/>
                <w:bCs/>
                <w:color w:val="auto"/>
                <w:szCs w:val="21"/>
                <w:highlight w:val="none"/>
              </w:rPr>
              <w:t>其他</w:t>
            </w:r>
          </w:p>
          <w:p w14:paraId="6EBDB3CE">
            <w:pPr>
              <w:adjustRightInd w:val="0"/>
              <w:snapToGrid w:val="0"/>
              <w:jc w:val="center"/>
              <w:rPr>
                <w:rFonts w:hint="eastAsia" w:ascii="宋体" w:hAnsi="宋体"/>
                <w:bCs/>
                <w:color w:val="auto"/>
                <w:szCs w:val="21"/>
                <w:highlight w:val="none"/>
              </w:rPr>
            </w:pPr>
          </w:p>
        </w:tc>
        <w:tc>
          <w:tcPr>
            <w:tcW w:w="8457" w:type="dxa"/>
            <w:noWrap w:val="0"/>
            <w:vAlign w:val="center"/>
          </w:tcPr>
          <w:p w14:paraId="2C0D15CB">
            <w:pPr>
              <w:adjustRightInd w:val="0"/>
              <w:snapToGrid w:val="0"/>
              <w:jc w:val="center"/>
              <w:rPr>
                <w:rFonts w:hint="eastAsia" w:ascii="宋体" w:hAnsi="宋体" w:cs="宋体"/>
                <w:bCs/>
                <w:color w:val="auto"/>
                <w:spacing w:val="10"/>
                <w:szCs w:val="21"/>
                <w:highlight w:val="none"/>
                <w:lang w:val="en-US" w:eastAsia="zh-CN"/>
              </w:rPr>
            </w:pPr>
          </w:p>
          <w:p w14:paraId="7DDBE03C">
            <w:pPr>
              <w:adjustRightInd w:val="0"/>
              <w:snapToGrid w:val="0"/>
              <w:jc w:val="center"/>
              <w:rPr>
                <w:rFonts w:hint="eastAsia" w:ascii="宋体" w:hAnsi="宋体" w:cs="宋体"/>
                <w:bCs/>
                <w:color w:val="auto"/>
                <w:spacing w:val="10"/>
                <w:szCs w:val="21"/>
                <w:highlight w:val="none"/>
                <w:lang w:val="en-US" w:eastAsia="zh-CN"/>
              </w:rPr>
            </w:pPr>
            <w:r>
              <w:rPr>
                <w:rFonts w:hint="eastAsia" w:ascii="宋体" w:hAnsi="宋体" w:cs="宋体"/>
                <w:bCs/>
                <w:color w:val="auto"/>
                <w:spacing w:val="10"/>
                <w:szCs w:val="21"/>
                <w:highlight w:val="none"/>
                <w:lang w:val="en-US" w:eastAsia="zh-CN"/>
              </w:rPr>
              <w:t>无</w:t>
            </w:r>
          </w:p>
          <w:p w14:paraId="3CF6EB5C">
            <w:pPr>
              <w:adjustRightInd w:val="0"/>
              <w:snapToGrid w:val="0"/>
              <w:jc w:val="center"/>
              <w:rPr>
                <w:rFonts w:hint="default" w:ascii="宋体" w:hAnsi="宋体" w:cs="宋体"/>
                <w:bCs/>
                <w:color w:val="auto"/>
                <w:spacing w:val="10"/>
                <w:szCs w:val="21"/>
                <w:highlight w:val="none"/>
                <w:lang w:val="en-US" w:eastAsia="zh-CN"/>
              </w:rPr>
            </w:pPr>
          </w:p>
        </w:tc>
      </w:tr>
      <w:tr w14:paraId="08119D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72" w:hRule="atLeast"/>
          <w:jc w:val="center"/>
        </w:trPr>
        <w:tc>
          <w:tcPr>
            <w:tcW w:w="753" w:type="dxa"/>
            <w:noWrap w:val="0"/>
            <w:vAlign w:val="center"/>
          </w:tcPr>
          <w:p w14:paraId="44F41D0A">
            <w:pPr>
              <w:adjustRightInd w:val="0"/>
              <w:snapToGrid w:val="0"/>
              <w:jc w:val="center"/>
              <w:rPr>
                <w:rFonts w:ascii="宋体" w:hAnsi="宋体" w:cs="宋体"/>
                <w:bCs/>
                <w:color w:val="auto"/>
                <w:spacing w:val="10"/>
                <w:szCs w:val="21"/>
                <w:highlight w:val="none"/>
              </w:rPr>
            </w:pPr>
            <w:r>
              <w:rPr>
                <w:rFonts w:hint="eastAsia" w:ascii="宋体" w:hAnsi="宋体"/>
                <w:bCs/>
                <w:color w:val="auto"/>
                <w:szCs w:val="21"/>
                <w:highlight w:val="none"/>
              </w:rPr>
              <w:t>环保投资</w:t>
            </w:r>
          </w:p>
        </w:tc>
        <w:tc>
          <w:tcPr>
            <w:tcW w:w="8457" w:type="dxa"/>
            <w:noWrap w:val="0"/>
            <w:vAlign w:val="top"/>
          </w:tcPr>
          <w:p w14:paraId="54FFED3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本项目总投资</w:t>
            </w:r>
            <w:r>
              <w:rPr>
                <w:rFonts w:hint="eastAsia" w:ascii="Times New Roman" w:hAnsi="Times New Roman" w:eastAsia="宋体" w:cs="Times New Roman"/>
                <w:color w:val="auto"/>
                <w:sz w:val="21"/>
                <w:szCs w:val="21"/>
                <w:highlight w:val="none"/>
                <w:lang w:val="en-US" w:eastAsia="zh-CN"/>
              </w:rPr>
              <w:t>45000</w:t>
            </w:r>
            <w:r>
              <w:rPr>
                <w:rFonts w:hint="default" w:ascii="Times New Roman" w:hAnsi="Times New Roman" w:eastAsia="宋体" w:cs="Times New Roman"/>
                <w:color w:val="auto"/>
                <w:sz w:val="21"/>
                <w:szCs w:val="21"/>
                <w:highlight w:val="none"/>
                <w:lang w:val="en-US" w:eastAsia="zh-CN"/>
              </w:rPr>
              <w:t>万元，</w:t>
            </w:r>
            <w:r>
              <w:rPr>
                <w:rFonts w:hint="default" w:ascii="Times New Roman" w:hAnsi="Times New Roman" w:eastAsia="宋体" w:cs="Times New Roman"/>
                <w:color w:val="auto"/>
                <w:kern w:val="0"/>
                <w:sz w:val="21"/>
                <w:szCs w:val="21"/>
                <w:highlight w:val="none"/>
                <w:lang w:val="en-US" w:eastAsia="zh-CN" w:bidi="ar"/>
              </w:rPr>
              <w:t>项目为环保工程，针对本项目工程的环保投资</w:t>
            </w:r>
            <w:r>
              <w:rPr>
                <w:rFonts w:hint="default" w:ascii="Times New Roman" w:hAnsi="Times New Roman" w:eastAsia="宋体" w:cs="Times New Roman"/>
                <w:color w:val="auto"/>
                <w:sz w:val="21"/>
                <w:szCs w:val="21"/>
                <w:highlight w:val="none"/>
                <w:lang w:val="en-US" w:eastAsia="zh-CN"/>
              </w:rPr>
              <w:t>为</w:t>
            </w:r>
            <w:r>
              <w:rPr>
                <w:rFonts w:hint="eastAsia" w:ascii="Times New Roman" w:hAnsi="Times New Roman" w:eastAsia="宋体" w:cs="Times New Roman"/>
                <w:color w:val="auto"/>
                <w:sz w:val="21"/>
                <w:szCs w:val="21"/>
                <w:highlight w:val="none"/>
                <w:lang w:val="en-US" w:eastAsia="zh-CN"/>
              </w:rPr>
              <w:t>4592</w:t>
            </w:r>
            <w:r>
              <w:rPr>
                <w:rFonts w:hint="default" w:ascii="Times New Roman" w:hAnsi="Times New Roman" w:eastAsia="宋体" w:cs="Times New Roman"/>
                <w:color w:val="auto"/>
                <w:sz w:val="21"/>
                <w:szCs w:val="21"/>
                <w:highlight w:val="none"/>
                <w:lang w:val="en-US" w:eastAsia="zh-CN"/>
              </w:rPr>
              <w:t>万元，占总投资的</w:t>
            </w:r>
            <w:r>
              <w:rPr>
                <w:rFonts w:hint="eastAsia" w:ascii="Times New Roman" w:hAnsi="Times New Roman" w:eastAsia="宋体" w:cs="Times New Roman"/>
                <w:color w:val="auto"/>
                <w:sz w:val="21"/>
                <w:szCs w:val="21"/>
                <w:highlight w:val="none"/>
                <w:lang w:val="en-US" w:eastAsia="zh-CN"/>
              </w:rPr>
              <w:t>10.2</w:t>
            </w:r>
            <w:r>
              <w:rPr>
                <w:rFonts w:hint="default" w:ascii="Times New Roman" w:hAnsi="Times New Roman" w:eastAsia="宋体" w:cs="Times New Roman"/>
                <w:color w:val="auto"/>
                <w:sz w:val="21"/>
                <w:szCs w:val="21"/>
                <w:highlight w:val="none"/>
                <w:lang w:val="en-US" w:eastAsia="zh-CN"/>
              </w:rPr>
              <w:t>%。具体见下表。</w:t>
            </w:r>
          </w:p>
          <w:p w14:paraId="0FE7EB0F">
            <w:pPr>
              <w:pStyle w:val="5"/>
              <w:ind w:firstLine="0"/>
              <w:jc w:val="center"/>
              <w:rPr>
                <w:rFonts w:hint="default" w:ascii="Times New Roman" w:hAnsi="Times New Roman" w:eastAsia="宋体" w:cs="Times New Roman"/>
                <w:b/>
                <w:bCs/>
                <w:color w:val="auto"/>
                <w:kern w:val="21"/>
                <w:sz w:val="21"/>
                <w:szCs w:val="21"/>
                <w:highlight w:val="none"/>
              </w:rPr>
            </w:pPr>
            <w:r>
              <w:rPr>
                <w:rFonts w:hint="default" w:ascii="Times New Roman" w:hAnsi="Times New Roman" w:eastAsia="宋体" w:cs="Times New Roman"/>
                <w:b/>
                <w:bCs/>
                <w:color w:val="auto"/>
                <w:kern w:val="21"/>
                <w:sz w:val="21"/>
                <w:szCs w:val="21"/>
                <w:highlight w:val="none"/>
                <w:lang w:val="en-US" w:eastAsia="zh-CN"/>
              </w:rPr>
              <w:t>表</w:t>
            </w:r>
            <w:r>
              <w:rPr>
                <w:rFonts w:hint="eastAsia" w:ascii="Times New Roman" w:hAnsi="Times New Roman" w:eastAsia="宋体" w:cs="Times New Roman"/>
                <w:b/>
                <w:bCs/>
                <w:color w:val="auto"/>
                <w:kern w:val="21"/>
                <w:sz w:val="21"/>
                <w:szCs w:val="21"/>
                <w:highlight w:val="none"/>
                <w:lang w:val="en-US" w:eastAsia="zh-CN"/>
              </w:rPr>
              <w:t>5</w:t>
            </w:r>
            <w:r>
              <w:rPr>
                <w:rFonts w:hint="default" w:ascii="Times New Roman" w:hAnsi="Times New Roman" w:eastAsia="宋体" w:cs="Times New Roman"/>
                <w:b/>
                <w:bCs/>
                <w:color w:val="auto"/>
                <w:kern w:val="21"/>
                <w:sz w:val="21"/>
                <w:szCs w:val="21"/>
                <w:highlight w:val="none"/>
                <w:lang w:val="en-US" w:eastAsia="zh-CN"/>
              </w:rPr>
              <w:t>-</w:t>
            </w:r>
            <w:r>
              <w:rPr>
                <w:rFonts w:hint="eastAsia" w:ascii="Times New Roman" w:hAnsi="Times New Roman" w:eastAsia="宋体" w:cs="Times New Roman"/>
                <w:b/>
                <w:bCs/>
                <w:color w:val="auto"/>
                <w:kern w:val="21"/>
                <w:sz w:val="21"/>
                <w:szCs w:val="21"/>
                <w:highlight w:val="none"/>
                <w:lang w:val="en-US" w:eastAsia="zh-CN"/>
              </w:rPr>
              <w:t>4</w:t>
            </w:r>
            <w:r>
              <w:rPr>
                <w:rFonts w:hint="default" w:ascii="Times New Roman" w:hAnsi="Times New Roman" w:eastAsia="宋体" w:cs="Times New Roman"/>
                <w:b/>
                <w:bCs/>
                <w:color w:val="auto"/>
                <w:kern w:val="21"/>
                <w:sz w:val="21"/>
                <w:szCs w:val="21"/>
                <w:highlight w:val="none"/>
                <w:lang w:val="en-US" w:eastAsia="zh-CN"/>
              </w:rPr>
              <w:t xml:space="preserve"> </w:t>
            </w:r>
            <w:r>
              <w:rPr>
                <w:rFonts w:hint="eastAsia" w:ascii="Times New Roman" w:hAnsi="Times New Roman" w:eastAsia="宋体" w:cs="Times New Roman"/>
                <w:b/>
                <w:bCs/>
                <w:color w:val="auto"/>
                <w:kern w:val="21"/>
                <w:sz w:val="21"/>
                <w:szCs w:val="21"/>
                <w:highlight w:val="none"/>
                <w:lang w:val="en-US" w:eastAsia="zh-CN"/>
              </w:rPr>
              <w:t xml:space="preserve">  </w:t>
            </w:r>
            <w:r>
              <w:rPr>
                <w:rFonts w:hint="default" w:ascii="Times New Roman" w:hAnsi="Times New Roman" w:eastAsia="宋体" w:cs="Times New Roman"/>
                <w:b/>
                <w:bCs/>
                <w:color w:val="auto"/>
                <w:kern w:val="21"/>
                <w:sz w:val="21"/>
                <w:szCs w:val="21"/>
                <w:highlight w:val="none"/>
                <w:lang w:val="en-US" w:eastAsia="zh-CN"/>
              </w:rPr>
              <w:t>环保投资一览表</w:t>
            </w:r>
          </w:p>
          <w:tbl>
            <w:tblPr>
              <w:tblStyle w:val="24"/>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412"/>
              <w:gridCol w:w="1399"/>
              <w:gridCol w:w="3467"/>
              <w:gridCol w:w="1149"/>
            </w:tblGrid>
            <w:tr w14:paraId="5616D3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2" w:type="pct"/>
                  <w:tcBorders>
                    <w:tl2br w:val="nil"/>
                    <w:tr2bl w:val="nil"/>
                  </w:tcBorders>
                  <w:noWrap w:val="0"/>
                  <w:vAlign w:val="center"/>
                </w:tcPr>
                <w:p w14:paraId="07EF43F5">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环境要素</w:t>
                  </w:r>
                </w:p>
              </w:tc>
              <w:tc>
                <w:tcPr>
                  <w:tcW w:w="857" w:type="pct"/>
                  <w:tcBorders>
                    <w:tl2br w:val="nil"/>
                    <w:tr2bl w:val="nil"/>
                  </w:tcBorders>
                  <w:noWrap w:val="0"/>
                  <w:vAlign w:val="center"/>
                </w:tcPr>
                <w:p w14:paraId="48CAD3DF">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污染源</w:t>
                  </w:r>
                </w:p>
              </w:tc>
              <w:tc>
                <w:tcPr>
                  <w:tcW w:w="849" w:type="pct"/>
                  <w:tcBorders>
                    <w:tl2br w:val="nil"/>
                    <w:tr2bl w:val="nil"/>
                  </w:tcBorders>
                  <w:noWrap w:val="0"/>
                  <w:vAlign w:val="center"/>
                </w:tcPr>
                <w:p w14:paraId="44C453C1">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污染物</w:t>
                  </w:r>
                </w:p>
              </w:tc>
              <w:tc>
                <w:tcPr>
                  <w:tcW w:w="2104" w:type="pct"/>
                  <w:tcBorders>
                    <w:tl2br w:val="nil"/>
                    <w:tr2bl w:val="nil"/>
                  </w:tcBorders>
                  <w:noWrap w:val="0"/>
                  <w:vAlign w:val="center"/>
                </w:tcPr>
                <w:p w14:paraId="6C64C1B6">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环保设施</w:t>
                  </w:r>
                </w:p>
              </w:tc>
              <w:tc>
                <w:tcPr>
                  <w:tcW w:w="697" w:type="pct"/>
                  <w:tcBorders>
                    <w:tl2br w:val="nil"/>
                    <w:tr2bl w:val="nil"/>
                  </w:tcBorders>
                  <w:noWrap w:val="0"/>
                  <w:vAlign w:val="center"/>
                </w:tcPr>
                <w:p w14:paraId="63454AAB">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投资</w:t>
                  </w:r>
                </w:p>
                <w:p w14:paraId="06F3CABE">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（万元）</w:t>
                  </w:r>
                </w:p>
              </w:tc>
            </w:tr>
            <w:tr w14:paraId="62D8A4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492" w:type="pct"/>
                  <w:vMerge w:val="restart"/>
                  <w:tcBorders>
                    <w:tl2br w:val="nil"/>
                    <w:tr2bl w:val="nil"/>
                  </w:tcBorders>
                  <w:noWrap w:val="0"/>
                  <w:vAlign w:val="center"/>
                </w:tcPr>
                <w:p w14:paraId="67C41E47">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eastAsia="zh-CN"/>
                    </w:rPr>
                  </w:pPr>
                  <w:bookmarkStart w:id="11" w:name="OLE_LINK414" w:colFirst="5" w:colLast="5"/>
                  <w:r>
                    <w:rPr>
                      <w:rFonts w:hint="default" w:ascii="Times New Roman" w:hAnsi="Times New Roman" w:eastAsia="宋体" w:cs="Times New Roman"/>
                      <w:b w:val="0"/>
                      <w:bCs w:val="0"/>
                      <w:color w:val="auto"/>
                      <w:sz w:val="18"/>
                      <w:szCs w:val="18"/>
                      <w:highlight w:val="none"/>
                      <w:lang w:val="en-US" w:eastAsia="zh-CN"/>
                    </w:rPr>
                    <w:t>废气</w:t>
                  </w:r>
                </w:p>
              </w:tc>
              <w:tc>
                <w:tcPr>
                  <w:tcW w:w="857" w:type="pct"/>
                  <w:tcBorders>
                    <w:tl2br w:val="nil"/>
                    <w:tr2bl w:val="nil"/>
                  </w:tcBorders>
                  <w:noWrap w:val="0"/>
                  <w:vAlign w:val="center"/>
                </w:tcPr>
                <w:p w14:paraId="1E3BDC70">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中试项目生产</w:t>
                  </w:r>
                  <w:r>
                    <w:rPr>
                      <w:rFonts w:hint="eastAsia" w:ascii="Times New Roman" w:hAnsi="Times New Roman" w:cs="Times New Roman"/>
                      <w:b w:val="0"/>
                      <w:bCs w:val="0"/>
                      <w:color w:val="auto"/>
                      <w:sz w:val="18"/>
                      <w:szCs w:val="18"/>
                      <w:highlight w:val="none"/>
                      <w:lang w:val="en-US" w:eastAsia="zh-CN"/>
                    </w:rPr>
                    <w:t>事故状态驰放气</w:t>
                  </w:r>
                </w:p>
              </w:tc>
              <w:tc>
                <w:tcPr>
                  <w:tcW w:w="849" w:type="pct"/>
                  <w:tcBorders>
                    <w:tl2br w:val="nil"/>
                    <w:tr2bl w:val="nil"/>
                  </w:tcBorders>
                  <w:noWrap w:val="0"/>
                  <w:vAlign w:val="center"/>
                </w:tcPr>
                <w:p w14:paraId="065B9C87">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VOCs</w:t>
                  </w:r>
                  <w:r>
                    <w:rPr>
                      <w:rFonts w:hint="eastAsia" w:ascii="Times New Roman" w:hAnsi="Times New Roman" w:eastAsia="宋体" w:cs="Times New Roman"/>
                      <w:b w:val="0"/>
                      <w:bCs w:val="0"/>
                      <w:color w:val="auto"/>
                      <w:sz w:val="18"/>
                      <w:szCs w:val="18"/>
                      <w:highlight w:val="none"/>
                      <w:lang w:val="en-US" w:eastAsia="zh-CN"/>
                    </w:rPr>
                    <w:t>、CO、氢气、氨等</w:t>
                  </w:r>
                </w:p>
              </w:tc>
              <w:tc>
                <w:tcPr>
                  <w:tcW w:w="2104" w:type="pct"/>
                  <w:tcBorders>
                    <w:tl2br w:val="nil"/>
                    <w:tr2bl w:val="nil"/>
                  </w:tcBorders>
                  <w:noWrap w:val="0"/>
                  <w:vAlign w:val="center"/>
                </w:tcPr>
                <w:p w14:paraId="2144D827">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火炬系统</w:t>
                  </w:r>
                </w:p>
              </w:tc>
              <w:tc>
                <w:tcPr>
                  <w:tcW w:w="697" w:type="pct"/>
                  <w:tcBorders>
                    <w:tl2br w:val="nil"/>
                    <w:tr2bl w:val="nil"/>
                  </w:tcBorders>
                  <w:noWrap w:val="0"/>
                  <w:vAlign w:val="center"/>
                </w:tcPr>
                <w:p w14:paraId="7B4C324B">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3</w:t>
                  </w:r>
                  <w:r>
                    <w:rPr>
                      <w:rFonts w:hint="default" w:ascii="Times New Roman" w:hAnsi="Times New Roman" w:eastAsia="宋体" w:cs="Times New Roman"/>
                      <w:b w:val="0"/>
                      <w:bCs w:val="0"/>
                      <w:color w:val="auto"/>
                      <w:sz w:val="18"/>
                      <w:szCs w:val="18"/>
                      <w:highlight w:val="none"/>
                      <w:lang w:val="en-US" w:eastAsia="zh-CN"/>
                    </w:rPr>
                    <w:t>000</w:t>
                  </w:r>
                </w:p>
              </w:tc>
            </w:tr>
            <w:tr w14:paraId="3D9CCF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92" w:type="pct"/>
                  <w:vMerge w:val="continue"/>
                  <w:tcBorders>
                    <w:tl2br w:val="nil"/>
                    <w:tr2bl w:val="nil"/>
                  </w:tcBorders>
                  <w:noWrap w:val="0"/>
                  <w:vAlign w:val="center"/>
                </w:tcPr>
                <w:p w14:paraId="5373EC51">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bookmarkStart w:id="12" w:name="OLE_LINK365" w:colFirst="3" w:colLast="3"/>
                </w:p>
              </w:tc>
              <w:tc>
                <w:tcPr>
                  <w:tcW w:w="857" w:type="pct"/>
                  <w:vMerge w:val="restart"/>
                  <w:tcBorders>
                    <w:tl2br w:val="nil"/>
                    <w:tr2bl w:val="nil"/>
                  </w:tcBorders>
                  <w:noWrap w:val="0"/>
                  <w:vAlign w:val="center"/>
                </w:tcPr>
                <w:p w14:paraId="7C846F8D">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危废库</w:t>
                  </w:r>
                </w:p>
              </w:tc>
              <w:tc>
                <w:tcPr>
                  <w:tcW w:w="849" w:type="pct"/>
                  <w:vMerge w:val="restart"/>
                  <w:tcBorders>
                    <w:tl2br w:val="nil"/>
                    <w:tr2bl w:val="nil"/>
                  </w:tcBorders>
                  <w:noWrap w:val="0"/>
                  <w:vAlign w:val="center"/>
                </w:tcPr>
                <w:p w14:paraId="304FCEF6">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废气</w:t>
                  </w:r>
                </w:p>
              </w:tc>
              <w:tc>
                <w:tcPr>
                  <w:tcW w:w="2104" w:type="pct"/>
                  <w:tcBorders>
                    <w:tl2br w:val="nil"/>
                    <w:tr2bl w:val="nil"/>
                  </w:tcBorders>
                  <w:noWrap w:val="0"/>
                  <w:vAlign w:val="center"/>
                </w:tcPr>
                <w:p w14:paraId="5296115A">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jc w:val="center"/>
                    <w:textAlignment w:val="baseline"/>
                    <w:rPr>
                      <w:rFonts w:hint="default" w:ascii="Times New Roman" w:hAnsi="Times New Roman" w:eastAsia="宋体" w:cs="Times New Roman"/>
                      <w:b w:val="0"/>
                      <w:bCs w:val="0"/>
                      <w:color w:val="auto"/>
                      <w:sz w:val="18"/>
                      <w:szCs w:val="18"/>
                      <w:highlight w:val="none"/>
                      <w:lang w:val="en-US" w:eastAsia="zh-CN"/>
                    </w:rPr>
                  </w:pPr>
                  <w:r>
                    <w:rPr>
                      <w:rFonts w:ascii="宋体" w:hAnsi="宋体" w:eastAsia="宋体" w:cs="宋体"/>
                      <w:color w:val="auto"/>
                      <w:kern w:val="0"/>
                      <w:sz w:val="18"/>
                      <w:szCs w:val="18"/>
                      <w:highlight w:val="none"/>
                      <w:lang w:val="en-US" w:eastAsia="zh-CN" w:bidi="ar"/>
                    </w:rPr>
                    <w:t>选用合适的</w:t>
                  </w:r>
                  <w:r>
                    <w:rPr>
                      <w:rFonts w:hint="eastAsia" w:ascii="宋体" w:hAnsi="宋体" w:eastAsia="宋体" w:cs="宋体"/>
                      <w:color w:val="auto"/>
                      <w:kern w:val="0"/>
                      <w:sz w:val="18"/>
                      <w:szCs w:val="18"/>
                      <w:highlight w:val="none"/>
                      <w:lang w:val="en-US" w:eastAsia="zh-CN" w:bidi="ar"/>
                    </w:rPr>
                    <w:t>闭口</w:t>
                  </w:r>
                  <w:r>
                    <w:rPr>
                      <w:rFonts w:ascii="宋体" w:hAnsi="宋体" w:eastAsia="宋体" w:cs="宋体"/>
                      <w:color w:val="auto"/>
                      <w:kern w:val="0"/>
                      <w:sz w:val="18"/>
                      <w:szCs w:val="18"/>
                      <w:highlight w:val="none"/>
                      <w:lang w:val="en-US" w:eastAsia="zh-CN" w:bidi="ar"/>
                    </w:rPr>
                    <w:t>容器收集</w:t>
                  </w:r>
                  <w:r>
                    <w:rPr>
                      <w:rFonts w:hint="eastAsia" w:ascii="宋体" w:hAnsi="宋体" w:eastAsia="宋体" w:cs="宋体"/>
                      <w:color w:val="auto"/>
                      <w:kern w:val="0"/>
                      <w:sz w:val="18"/>
                      <w:szCs w:val="18"/>
                      <w:highlight w:val="none"/>
                      <w:lang w:val="en-US" w:eastAsia="zh-CN" w:bidi="ar"/>
                    </w:rPr>
                    <w:t>盛装</w:t>
                  </w:r>
                  <w:r>
                    <w:rPr>
                      <w:rFonts w:hint="eastAsia" w:ascii="Times New Roman" w:hAnsi="Times New Roman" w:eastAsia="宋体" w:cs="Times New Roman"/>
                      <w:b w:val="0"/>
                      <w:bCs w:val="0"/>
                      <w:color w:val="auto"/>
                      <w:sz w:val="18"/>
                      <w:szCs w:val="18"/>
                      <w:highlight w:val="none"/>
                      <w:lang w:val="en-US" w:eastAsia="zh-CN"/>
                    </w:rPr>
                    <w:t>，盛装液态废物的容器尽可能采用托盘存放，缩短贮存周期。</w:t>
                  </w:r>
                </w:p>
              </w:tc>
              <w:tc>
                <w:tcPr>
                  <w:tcW w:w="697" w:type="pct"/>
                  <w:tcBorders>
                    <w:tl2br w:val="nil"/>
                    <w:tr2bl w:val="nil"/>
                  </w:tcBorders>
                  <w:noWrap w:val="0"/>
                  <w:vAlign w:val="center"/>
                </w:tcPr>
                <w:p w14:paraId="39AF2616">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2</w:t>
                  </w:r>
                </w:p>
              </w:tc>
            </w:tr>
            <w:tr w14:paraId="2F6847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92" w:type="pct"/>
                  <w:vMerge w:val="continue"/>
                  <w:tcBorders>
                    <w:tl2br w:val="nil"/>
                    <w:tr2bl w:val="nil"/>
                  </w:tcBorders>
                  <w:noWrap w:val="0"/>
                  <w:vAlign w:val="center"/>
                </w:tcPr>
                <w:p w14:paraId="79B985DB">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p>
              </w:tc>
              <w:tc>
                <w:tcPr>
                  <w:tcW w:w="857" w:type="pct"/>
                  <w:vMerge w:val="continue"/>
                  <w:tcBorders>
                    <w:tl2br w:val="nil"/>
                    <w:tr2bl w:val="nil"/>
                  </w:tcBorders>
                  <w:noWrap w:val="0"/>
                  <w:vAlign w:val="center"/>
                </w:tcPr>
                <w:p w14:paraId="2FCE87E6">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eastAsia" w:ascii="Times New Roman" w:hAnsi="Times New Roman" w:eastAsia="宋体" w:cs="Times New Roman"/>
                      <w:b w:val="0"/>
                      <w:bCs w:val="0"/>
                      <w:color w:val="auto"/>
                      <w:sz w:val="18"/>
                      <w:szCs w:val="18"/>
                      <w:highlight w:val="none"/>
                      <w:lang w:val="en-US" w:eastAsia="zh-CN"/>
                    </w:rPr>
                  </w:pPr>
                </w:p>
              </w:tc>
              <w:tc>
                <w:tcPr>
                  <w:tcW w:w="849" w:type="pct"/>
                  <w:vMerge w:val="continue"/>
                  <w:tcBorders>
                    <w:tl2br w:val="nil"/>
                    <w:tr2bl w:val="nil"/>
                  </w:tcBorders>
                  <w:noWrap w:val="0"/>
                  <w:vAlign w:val="center"/>
                </w:tcPr>
                <w:p w14:paraId="229AE8CC">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p>
              </w:tc>
              <w:tc>
                <w:tcPr>
                  <w:tcW w:w="2104" w:type="pct"/>
                  <w:tcBorders>
                    <w:tl2br w:val="nil"/>
                    <w:tr2bl w:val="nil"/>
                  </w:tcBorders>
                  <w:noWrap w:val="0"/>
                  <w:vAlign w:val="center"/>
                </w:tcPr>
                <w:p w14:paraId="7BD411AE">
                  <w:pPr>
                    <w:keepNext w:val="0"/>
                    <w:keepLines w:val="0"/>
                    <w:widowControl/>
                    <w:suppressLineNumbers w:val="0"/>
                    <w:jc w:val="both"/>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后期如实际贮存危废属于</w:t>
                  </w:r>
                  <w:r>
                    <w:rPr>
                      <w:rFonts w:hint="eastAsia" w:ascii="宋体" w:hAnsi="宋体" w:eastAsia="宋体" w:cs="宋体"/>
                      <w:color w:val="auto"/>
                      <w:kern w:val="0"/>
                      <w:sz w:val="18"/>
                      <w:szCs w:val="18"/>
                      <w:highlight w:val="none"/>
                      <w:lang w:val="en-US" w:eastAsia="zh-CN" w:bidi="ar"/>
                    </w:rPr>
                    <w:t>易产生粉尘、</w:t>
                  </w:r>
                  <w:r>
                    <w:rPr>
                      <w:rFonts w:hint="default" w:ascii="Times New Roman" w:hAnsi="Times New Roman" w:eastAsia="宋体" w:cs="Times New Roman"/>
                      <w:color w:val="auto"/>
                      <w:kern w:val="0"/>
                      <w:sz w:val="18"/>
                      <w:szCs w:val="18"/>
                      <w:highlight w:val="none"/>
                      <w:lang w:val="en-US" w:eastAsia="zh-CN" w:bidi="ar"/>
                    </w:rPr>
                    <w:t>VOCs</w:t>
                  </w:r>
                  <w:r>
                    <w:rPr>
                      <w:rFonts w:hint="eastAsia" w:ascii="宋体" w:hAnsi="宋体" w:eastAsia="宋体" w:cs="宋体"/>
                      <w:color w:val="auto"/>
                      <w:kern w:val="0"/>
                      <w:sz w:val="18"/>
                      <w:szCs w:val="18"/>
                      <w:highlight w:val="none"/>
                      <w:lang w:val="en-US" w:eastAsia="zh-CN" w:bidi="ar"/>
                    </w:rPr>
                    <w:t>、酸雾、有毒有害大气污染物和刺激性气味气体的废物，</w:t>
                  </w:r>
                  <w:r>
                    <w:rPr>
                      <w:rFonts w:hint="eastAsia" w:ascii="Times New Roman" w:hAnsi="Times New Roman" w:eastAsia="宋体" w:cs="Times New Roman"/>
                      <w:b w:val="0"/>
                      <w:bCs w:val="0"/>
                      <w:color w:val="auto"/>
                      <w:sz w:val="18"/>
                      <w:szCs w:val="18"/>
                      <w:highlight w:val="none"/>
                      <w:lang w:val="en-US" w:eastAsia="zh-CN"/>
                    </w:rPr>
                    <w:t>应增设负压收集+净化装置+排气筒。</w:t>
                  </w:r>
                </w:p>
              </w:tc>
              <w:tc>
                <w:tcPr>
                  <w:tcW w:w="697" w:type="pct"/>
                  <w:tcBorders>
                    <w:tl2br w:val="nil"/>
                    <w:tr2bl w:val="nil"/>
                  </w:tcBorders>
                  <w:noWrap w:val="0"/>
                  <w:vAlign w:val="center"/>
                </w:tcPr>
                <w:p w14:paraId="771DD7EC">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eastAsia"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不计入本次环评</w:t>
                  </w:r>
                </w:p>
              </w:tc>
            </w:tr>
            <w:tr w14:paraId="00D84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2" w:type="pct"/>
                  <w:vMerge w:val="restart"/>
                  <w:tcBorders>
                    <w:tl2br w:val="nil"/>
                    <w:tr2bl w:val="nil"/>
                  </w:tcBorders>
                  <w:noWrap w:val="0"/>
                  <w:vAlign w:val="center"/>
                </w:tcPr>
                <w:p w14:paraId="63535885">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en-US" w:eastAsia="zh-CN"/>
                    </w:rPr>
                    <w:t>废</w:t>
                  </w:r>
                  <w:r>
                    <w:rPr>
                      <w:rFonts w:hint="default" w:ascii="Times New Roman" w:hAnsi="Times New Roman" w:eastAsia="宋体" w:cs="Times New Roman"/>
                      <w:b w:val="0"/>
                      <w:bCs w:val="0"/>
                      <w:color w:val="auto"/>
                      <w:sz w:val="18"/>
                      <w:szCs w:val="18"/>
                      <w:highlight w:val="none"/>
                    </w:rPr>
                    <w:t>水</w:t>
                  </w:r>
                </w:p>
              </w:tc>
              <w:tc>
                <w:tcPr>
                  <w:tcW w:w="857" w:type="pct"/>
                  <w:tcBorders>
                    <w:tl2br w:val="nil"/>
                    <w:tr2bl w:val="nil"/>
                  </w:tcBorders>
                  <w:noWrap w:val="0"/>
                  <w:vAlign w:val="center"/>
                </w:tcPr>
                <w:p w14:paraId="1D700C2E">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生活污水</w:t>
                  </w:r>
                </w:p>
              </w:tc>
              <w:tc>
                <w:tcPr>
                  <w:tcW w:w="849" w:type="pct"/>
                  <w:tcBorders>
                    <w:tl2br w:val="nil"/>
                    <w:tr2bl w:val="nil"/>
                  </w:tcBorders>
                  <w:noWrap w:val="0"/>
                  <w:vAlign w:val="center"/>
                </w:tcPr>
                <w:p w14:paraId="1372D4A4">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COD、BOD</w:t>
                  </w:r>
                  <w:r>
                    <w:rPr>
                      <w:rFonts w:hint="default" w:ascii="Times New Roman" w:hAnsi="Times New Roman" w:eastAsia="宋体" w:cs="Times New Roman"/>
                      <w:b w:val="0"/>
                      <w:bCs w:val="0"/>
                      <w:color w:val="auto"/>
                      <w:sz w:val="18"/>
                      <w:szCs w:val="18"/>
                      <w:highlight w:val="none"/>
                      <w:vertAlign w:val="subscript"/>
                      <w:lang w:val="en-US" w:eastAsia="zh-CN"/>
                    </w:rPr>
                    <w:t>5</w:t>
                  </w:r>
                  <w:r>
                    <w:rPr>
                      <w:rFonts w:hint="default" w:ascii="Times New Roman" w:hAnsi="Times New Roman" w:eastAsia="宋体" w:cs="Times New Roman"/>
                      <w:b w:val="0"/>
                      <w:bCs w:val="0"/>
                      <w:color w:val="auto"/>
                      <w:sz w:val="18"/>
                      <w:szCs w:val="18"/>
                      <w:highlight w:val="none"/>
                      <w:lang w:val="en-US" w:eastAsia="zh-CN"/>
                    </w:rPr>
                    <w:t>、SS、氨氮</w:t>
                  </w:r>
                </w:p>
              </w:tc>
              <w:tc>
                <w:tcPr>
                  <w:tcW w:w="2104" w:type="pct"/>
                  <w:tcBorders>
                    <w:tl2br w:val="nil"/>
                    <w:tr2bl w:val="nil"/>
                  </w:tcBorders>
                  <w:noWrap w:val="0"/>
                  <w:vAlign w:val="center"/>
                </w:tcPr>
                <w:p w14:paraId="182F2555">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30m</w:t>
                  </w:r>
                  <w:r>
                    <w:rPr>
                      <w:rFonts w:hint="default" w:ascii="Times New Roman" w:hAnsi="Times New Roman" w:eastAsia="宋体" w:cs="Times New Roman"/>
                      <w:b w:val="0"/>
                      <w:bCs w:val="0"/>
                      <w:color w:val="auto"/>
                      <w:sz w:val="18"/>
                      <w:szCs w:val="18"/>
                      <w:highlight w:val="none"/>
                      <w:vertAlign w:val="superscript"/>
                      <w:lang w:val="en-US" w:eastAsia="zh-CN"/>
                    </w:rPr>
                    <w:t>3</w:t>
                  </w:r>
                  <w:r>
                    <w:rPr>
                      <w:rFonts w:hint="default" w:ascii="Times New Roman" w:hAnsi="Times New Roman" w:eastAsia="宋体" w:cs="Times New Roman"/>
                      <w:b w:val="0"/>
                      <w:bCs w:val="0"/>
                      <w:color w:val="auto"/>
                      <w:sz w:val="18"/>
                      <w:szCs w:val="18"/>
                      <w:highlight w:val="none"/>
                      <w:lang w:val="en-US" w:eastAsia="zh-CN"/>
                    </w:rPr>
                    <w:t>化粪池收集，定期清污车外运</w:t>
                  </w:r>
                  <w:r>
                    <w:rPr>
                      <w:rFonts w:hint="eastAsia" w:ascii="Times New Roman" w:hAnsi="Times New Roman" w:cs="Times New Roman"/>
                      <w:b w:val="0"/>
                      <w:bCs w:val="0"/>
                      <w:color w:val="auto"/>
                      <w:sz w:val="18"/>
                      <w:szCs w:val="18"/>
                      <w:highlight w:val="none"/>
                      <w:lang w:val="en-US" w:eastAsia="zh-CN"/>
                    </w:rPr>
                    <w:t>园区生活污水处理厂</w:t>
                  </w:r>
                  <w:r>
                    <w:rPr>
                      <w:rFonts w:hint="default" w:ascii="Times New Roman" w:hAnsi="Times New Roman" w:eastAsia="宋体" w:cs="Times New Roman"/>
                      <w:b w:val="0"/>
                      <w:bCs w:val="0"/>
                      <w:color w:val="auto"/>
                      <w:sz w:val="18"/>
                      <w:szCs w:val="18"/>
                      <w:highlight w:val="none"/>
                      <w:lang w:val="en-US" w:eastAsia="zh-CN"/>
                    </w:rPr>
                    <w:t>处理。</w:t>
                  </w:r>
                </w:p>
              </w:tc>
              <w:tc>
                <w:tcPr>
                  <w:tcW w:w="697" w:type="pct"/>
                  <w:tcBorders>
                    <w:tl2br w:val="nil"/>
                    <w:tr2bl w:val="nil"/>
                  </w:tcBorders>
                  <w:noWrap w:val="0"/>
                  <w:vAlign w:val="center"/>
                </w:tcPr>
                <w:p w14:paraId="2930DC3F">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5</w:t>
                  </w:r>
                </w:p>
              </w:tc>
            </w:tr>
            <w:tr w14:paraId="594C55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492" w:type="pct"/>
                  <w:vMerge w:val="continue"/>
                  <w:tcBorders>
                    <w:tl2br w:val="nil"/>
                    <w:tr2bl w:val="nil"/>
                  </w:tcBorders>
                  <w:noWrap w:val="0"/>
                  <w:vAlign w:val="center"/>
                </w:tcPr>
                <w:p w14:paraId="71629C5D">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p>
              </w:tc>
              <w:tc>
                <w:tcPr>
                  <w:tcW w:w="857" w:type="pct"/>
                  <w:tcBorders>
                    <w:tl2br w:val="nil"/>
                    <w:tr2bl w:val="nil"/>
                  </w:tcBorders>
                  <w:noWrap w:val="0"/>
                  <w:vAlign w:val="center"/>
                </w:tcPr>
                <w:p w14:paraId="227BD966">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循环水站</w:t>
                  </w:r>
                  <w:r>
                    <w:rPr>
                      <w:rFonts w:hint="eastAsia" w:ascii="Times New Roman" w:hAnsi="Times New Roman" w:cs="Times New Roman"/>
                      <w:b w:val="0"/>
                      <w:bCs w:val="0"/>
                      <w:color w:val="auto"/>
                      <w:sz w:val="18"/>
                      <w:szCs w:val="18"/>
                      <w:highlight w:val="none"/>
                      <w:lang w:val="en-US" w:eastAsia="zh-CN"/>
                    </w:rPr>
                    <w:t>废水</w:t>
                  </w:r>
                  <w:r>
                    <w:rPr>
                      <w:rFonts w:hint="eastAsia" w:ascii="Times New Roman" w:hAnsi="Times New Roman" w:eastAsia="宋体" w:cs="Times New Roman"/>
                      <w:b w:val="0"/>
                      <w:bCs w:val="0"/>
                      <w:color w:val="auto"/>
                      <w:sz w:val="18"/>
                      <w:szCs w:val="18"/>
                      <w:highlight w:val="none"/>
                      <w:lang w:val="en-US" w:eastAsia="zh-CN"/>
                    </w:rPr>
                    <w:t>、火炬系统</w:t>
                  </w:r>
                  <w:r>
                    <w:rPr>
                      <w:rFonts w:hint="eastAsia" w:ascii="Times New Roman" w:hAnsi="Times New Roman" w:cs="Times New Roman"/>
                      <w:b w:val="0"/>
                      <w:bCs w:val="0"/>
                      <w:color w:val="auto"/>
                      <w:sz w:val="18"/>
                      <w:szCs w:val="18"/>
                      <w:highlight w:val="none"/>
                      <w:lang w:val="en-US" w:eastAsia="zh-CN"/>
                    </w:rPr>
                    <w:t>废</w:t>
                  </w:r>
                  <w:r>
                    <w:rPr>
                      <w:rFonts w:hint="eastAsia" w:ascii="Times New Roman" w:hAnsi="Times New Roman" w:eastAsia="宋体" w:cs="Times New Roman"/>
                      <w:b w:val="0"/>
                      <w:bCs w:val="0"/>
                      <w:color w:val="auto"/>
                      <w:sz w:val="18"/>
                      <w:szCs w:val="18"/>
                      <w:highlight w:val="none"/>
                      <w:lang w:val="en-US" w:eastAsia="zh-CN"/>
                    </w:rPr>
                    <w:t>水</w:t>
                  </w:r>
                </w:p>
              </w:tc>
              <w:tc>
                <w:tcPr>
                  <w:tcW w:w="849" w:type="pct"/>
                  <w:tcBorders>
                    <w:tl2br w:val="nil"/>
                    <w:tr2bl w:val="nil"/>
                  </w:tcBorders>
                  <w:noWrap w:val="0"/>
                  <w:vAlign w:val="center"/>
                </w:tcPr>
                <w:p w14:paraId="46E9054F">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COD、盐类、硫化物、酚类、SS等</w:t>
                  </w:r>
                </w:p>
              </w:tc>
              <w:tc>
                <w:tcPr>
                  <w:tcW w:w="2104" w:type="pct"/>
                  <w:tcBorders>
                    <w:tl2br w:val="nil"/>
                    <w:tr2bl w:val="nil"/>
                  </w:tcBorders>
                  <w:noWrap w:val="0"/>
                  <w:vAlign w:val="center"/>
                </w:tcPr>
                <w:p w14:paraId="592A0DE7">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收集后管道送</w:t>
                  </w:r>
                  <w:r>
                    <w:rPr>
                      <w:rFonts w:hint="eastAsia" w:ascii="Times New Roman" w:hAnsi="Times New Roman" w:cs="Times New Roman"/>
                      <w:color w:val="auto"/>
                      <w:sz w:val="18"/>
                      <w:szCs w:val="18"/>
                      <w:highlight w:val="none"/>
                      <w:u w:val="none"/>
                      <w:lang w:val="en-US" w:eastAsia="zh-CN"/>
                    </w:rPr>
                    <w:t>中煤鄂尔多斯能源化工有限公司</w:t>
                  </w:r>
                  <w:r>
                    <w:rPr>
                      <w:rFonts w:hint="eastAsia" w:ascii="Times New Roman" w:hAnsi="Times New Roman" w:eastAsia="宋体" w:cs="Times New Roman"/>
                      <w:b w:val="0"/>
                      <w:bCs w:val="0"/>
                      <w:color w:val="auto"/>
                      <w:sz w:val="18"/>
                      <w:szCs w:val="18"/>
                      <w:highlight w:val="none"/>
                      <w:lang w:val="en-US" w:eastAsia="zh-CN"/>
                    </w:rPr>
                    <w:t>废水处理系统处理</w:t>
                  </w:r>
                </w:p>
              </w:tc>
              <w:tc>
                <w:tcPr>
                  <w:tcW w:w="697" w:type="pct"/>
                  <w:tcBorders>
                    <w:tl2br w:val="nil"/>
                    <w:tr2bl w:val="nil"/>
                  </w:tcBorders>
                  <w:noWrap w:val="0"/>
                  <w:vAlign w:val="center"/>
                </w:tcPr>
                <w:p w14:paraId="67F5E07B">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5</w:t>
                  </w:r>
                </w:p>
              </w:tc>
            </w:tr>
            <w:bookmarkEnd w:id="12"/>
            <w:tr w14:paraId="30461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2" w:type="pct"/>
                  <w:tcBorders>
                    <w:tl2br w:val="nil"/>
                    <w:tr2bl w:val="nil"/>
                  </w:tcBorders>
                  <w:noWrap w:val="0"/>
                  <w:vAlign w:val="center"/>
                </w:tcPr>
                <w:p w14:paraId="062F0581">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噪声</w:t>
                  </w:r>
                </w:p>
              </w:tc>
              <w:tc>
                <w:tcPr>
                  <w:tcW w:w="857" w:type="pct"/>
                  <w:tcBorders>
                    <w:tl2br w:val="nil"/>
                    <w:tr2bl w:val="nil"/>
                  </w:tcBorders>
                  <w:noWrap w:val="0"/>
                  <w:vAlign w:val="center"/>
                </w:tcPr>
                <w:p w14:paraId="471448E9">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lang w:val="en-US" w:eastAsia="zh-CN"/>
                    </w:rPr>
                    <w:t>生产</w:t>
                  </w:r>
                  <w:r>
                    <w:rPr>
                      <w:rFonts w:hint="default" w:ascii="Times New Roman" w:hAnsi="Times New Roman" w:eastAsia="宋体" w:cs="Times New Roman"/>
                      <w:b w:val="0"/>
                      <w:bCs w:val="0"/>
                      <w:color w:val="auto"/>
                      <w:sz w:val="18"/>
                      <w:szCs w:val="18"/>
                      <w:highlight w:val="none"/>
                    </w:rPr>
                    <w:t>设备</w:t>
                  </w:r>
                </w:p>
              </w:tc>
              <w:tc>
                <w:tcPr>
                  <w:tcW w:w="849" w:type="pct"/>
                  <w:tcBorders>
                    <w:tl2br w:val="nil"/>
                    <w:tr2bl w:val="nil"/>
                  </w:tcBorders>
                  <w:noWrap w:val="0"/>
                  <w:vAlign w:val="center"/>
                </w:tcPr>
                <w:p w14:paraId="7C6CA552">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噪声</w:t>
                  </w:r>
                </w:p>
              </w:tc>
              <w:tc>
                <w:tcPr>
                  <w:tcW w:w="2104" w:type="pct"/>
                  <w:tcBorders>
                    <w:tl2br w:val="nil"/>
                    <w:tr2bl w:val="nil"/>
                  </w:tcBorders>
                  <w:noWrap w:val="0"/>
                  <w:vAlign w:val="center"/>
                </w:tcPr>
                <w:p w14:paraId="5B01001C">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选用低噪声设备、厂房隔声</w:t>
                  </w:r>
                </w:p>
              </w:tc>
              <w:tc>
                <w:tcPr>
                  <w:tcW w:w="697" w:type="pct"/>
                  <w:tcBorders>
                    <w:tl2br w:val="nil"/>
                    <w:tr2bl w:val="nil"/>
                  </w:tcBorders>
                  <w:noWrap w:val="0"/>
                  <w:vAlign w:val="center"/>
                </w:tcPr>
                <w:p w14:paraId="46D3B204">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计入主体工程</w:t>
                  </w:r>
                </w:p>
              </w:tc>
            </w:tr>
            <w:tr w14:paraId="480A3B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492" w:type="pct"/>
                  <w:tcBorders>
                    <w:tl2br w:val="nil"/>
                    <w:tr2bl w:val="nil"/>
                  </w:tcBorders>
                  <w:noWrap w:val="0"/>
                  <w:vAlign w:val="center"/>
                </w:tcPr>
                <w:p w14:paraId="09B2FC5F">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固体废物</w:t>
                  </w:r>
                </w:p>
              </w:tc>
              <w:tc>
                <w:tcPr>
                  <w:tcW w:w="1706" w:type="pct"/>
                  <w:gridSpan w:val="2"/>
                  <w:tcBorders>
                    <w:tl2br w:val="nil"/>
                    <w:tr2bl w:val="nil"/>
                  </w:tcBorders>
                  <w:noWrap w:val="0"/>
                  <w:vAlign w:val="center"/>
                </w:tcPr>
                <w:p w14:paraId="53096C86">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入驻中试项目产生的危废、研发实验室危废等</w:t>
                  </w:r>
                </w:p>
              </w:tc>
              <w:tc>
                <w:tcPr>
                  <w:tcW w:w="2104" w:type="pct"/>
                  <w:tcBorders>
                    <w:tl2br w:val="nil"/>
                    <w:tr2bl w:val="nil"/>
                  </w:tcBorders>
                  <w:noWrap w:val="0"/>
                  <w:vAlign w:val="center"/>
                </w:tcPr>
                <w:p w14:paraId="14A99690">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eastAsia" w:ascii="Times New Roman" w:hAnsi="Times New Roman" w:eastAsia="宋体" w:cs="Times New Roman"/>
                      <w:b w:val="0"/>
                      <w:bCs w:val="0"/>
                      <w:color w:val="auto"/>
                      <w:sz w:val="18"/>
                      <w:szCs w:val="18"/>
                      <w:highlight w:val="none"/>
                      <w:vertAlign w:val="baseline"/>
                      <w:lang w:val="en-US" w:eastAsia="zh-CN"/>
                    </w:rPr>
                  </w:pPr>
                  <w:r>
                    <w:rPr>
                      <w:rFonts w:hint="default" w:ascii="Times New Roman" w:hAnsi="Times New Roman" w:eastAsia="宋体" w:cs="Times New Roman"/>
                      <w:b w:val="0"/>
                      <w:bCs w:val="0"/>
                      <w:color w:val="auto"/>
                      <w:kern w:val="0"/>
                      <w:sz w:val="18"/>
                      <w:szCs w:val="18"/>
                      <w:highlight w:val="none"/>
                      <w:vertAlign w:val="baseline"/>
                      <w:lang w:val="en-US" w:eastAsia="zh-CN"/>
                    </w:rPr>
                    <w:t>建设278.31m</w:t>
                  </w:r>
                  <w:r>
                    <w:rPr>
                      <w:rFonts w:hint="default" w:ascii="Times New Roman" w:hAnsi="Times New Roman" w:eastAsia="宋体" w:cs="Times New Roman"/>
                      <w:b w:val="0"/>
                      <w:bCs w:val="0"/>
                      <w:color w:val="auto"/>
                      <w:kern w:val="0"/>
                      <w:sz w:val="18"/>
                      <w:szCs w:val="18"/>
                      <w:highlight w:val="none"/>
                      <w:vertAlign w:val="superscript"/>
                      <w:lang w:val="en-US" w:eastAsia="zh-CN"/>
                    </w:rPr>
                    <w:t>2</w:t>
                  </w:r>
                  <w:r>
                    <w:rPr>
                      <w:rFonts w:hint="default" w:ascii="Times New Roman" w:hAnsi="Times New Roman" w:eastAsia="宋体" w:cs="Times New Roman"/>
                      <w:b w:val="0"/>
                      <w:bCs w:val="0"/>
                      <w:color w:val="auto"/>
                      <w:kern w:val="0"/>
                      <w:sz w:val="18"/>
                      <w:szCs w:val="18"/>
                      <w:highlight w:val="none"/>
                      <w:vertAlign w:val="baseline"/>
                      <w:lang w:val="en-US" w:eastAsia="zh-CN"/>
                    </w:rPr>
                    <w:t>的危废库1座。</w:t>
                  </w:r>
                  <w:r>
                    <w:rPr>
                      <w:rFonts w:hint="eastAsia" w:ascii="Times New Roman" w:hAnsi="Times New Roman" w:eastAsia="宋体" w:cs="Times New Roman"/>
                      <w:b w:val="0"/>
                      <w:bCs w:val="0"/>
                      <w:color w:val="auto"/>
                      <w:kern w:val="0"/>
                      <w:sz w:val="18"/>
                      <w:szCs w:val="18"/>
                      <w:highlight w:val="none"/>
                      <w:vertAlign w:val="baseline"/>
                      <w:lang w:val="en-US" w:eastAsia="zh-CN"/>
                    </w:rPr>
                    <w:t>严格按照</w:t>
                  </w:r>
                  <w:r>
                    <w:rPr>
                      <w:rFonts w:hint="default" w:ascii="Times New Roman" w:hAnsi="Times New Roman" w:eastAsia="宋体" w:cs="Times New Roman"/>
                      <w:b w:val="0"/>
                      <w:bCs w:val="0"/>
                      <w:color w:val="auto"/>
                      <w:sz w:val="18"/>
                      <w:szCs w:val="18"/>
                      <w:highlight w:val="none"/>
                    </w:rPr>
                    <w:t>《危险废物贮存污染控制标准》（GB18597-2023）要求</w:t>
                  </w:r>
                  <w:r>
                    <w:rPr>
                      <w:rFonts w:hint="eastAsia" w:ascii="Times New Roman" w:hAnsi="Times New Roman" w:eastAsia="宋体" w:cs="Times New Roman"/>
                      <w:b w:val="0"/>
                      <w:bCs w:val="0"/>
                      <w:color w:val="auto"/>
                      <w:sz w:val="18"/>
                      <w:szCs w:val="18"/>
                      <w:highlight w:val="none"/>
                      <w:lang w:val="en-US" w:eastAsia="zh-CN"/>
                    </w:rPr>
                    <w:t>建设。</w:t>
                  </w:r>
                </w:p>
              </w:tc>
              <w:tc>
                <w:tcPr>
                  <w:tcW w:w="697" w:type="pct"/>
                  <w:tcBorders>
                    <w:tl2br w:val="nil"/>
                    <w:tr2bl w:val="nil"/>
                  </w:tcBorders>
                  <w:noWrap w:val="0"/>
                  <w:vAlign w:val="center"/>
                </w:tcPr>
                <w:p w14:paraId="39668BCF">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180</w:t>
                  </w:r>
                </w:p>
              </w:tc>
            </w:tr>
            <w:tr w14:paraId="3E3A8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2" w:type="pct"/>
                  <w:tcBorders>
                    <w:tl2br w:val="nil"/>
                    <w:tr2bl w:val="nil"/>
                  </w:tcBorders>
                  <w:noWrap w:val="0"/>
                  <w:vAlign w:val="center"/>
                </w:tcPr>
                <w:p w14:paraId="7CC12CBE">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环境风险</w:t>
                  </w:r>
                </w:p>
              </w:tc>
              <w:tc>
                <w:tcPr>
                  <w:tcW w:w="3810" w:type="pct"/>
                  <w:gridSpan w:val="3"/>
                  <w:tcBorders>
                    <w:tl2br w:val="nil"/>
                    <w:tr2bl w:val="nil"/>
                  </w:tcBorders>
                  <w:noWrap w:val="0"/>
                  <w:vAlign w:val="center"/>
                </w:tcPr>
                <w:p w14:paraId="6C6CB761">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both"/>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vertAlign w:val="baseline"/>
                      <w:lang w:val="en-US" w:eastAsia="zh-CN"/>
                    </w:rPr>
                    <w:t>1座</w:t>
                  </w:r>
                  <w:r>
                    <w:rPr>
                      <w:rFonts w:hint="eastAsia" w:ascii="Times New Roman" w:hAnsi="Times New Roman" w:eastAsia="宋体" w:cs="Times New Roman"/>
                      <w:b w:val="0"/>
                      <w:bCs w:val="0"/>
                      <w:color w:val="auto"/>
                      <w:sz w:val="18"/>
                      <w:szCs w:val="18"/>
                      <w:highlight w:val="none"/>
                      <w:lang w:val="en-US" w:eastAsia="zh-CN"/>
                    </w:rPr>
                    <w:t>事故水池，总容积约2650m</w:t>
                  </w:r>
                  <w:r>
                    <w:rPr>
                      <w:rFonts w:hint="eastAsia" w:ascii="Times New Roman" w:hAnsi="Times New Roman" w:eastAsia="宋体" w:cs="Times New Roman"/>
                      <w:b w:val="0"/>
                      <w:bCs w:val="0"/>
                      <w:color w:val="auto"/>
                      <w:sz w:val="18"/>
                      <w:szCs w:val="18"/>
                      <w:highlight w:val="none"/>
                      <w:vertAlign w:val="superscript"/>
                      <w:lang w:val="en-US" w:eastAsia="zh-CN"/>
                    </w:rPr>
                    <w:t>3</w:t>
                  </w:r>
                  <w:r>
                    <w:rPr>
                      <w:rFonts w:hint="eastAsia" w:ascii="Times New Roman" w:hAnsi="Times New Roman" w:eastAsia="宋体" w:cs="Times New Roman"/>
                      <w:b w:val="0"/>
                      <w:bCs w:val="0"/>
                      <w:color w:val="auto"/>
                      <w:sz w:val="18"/>
                      <w:szCs w:val="18"/>
                      <w:highlight w:val="none"/>
                      <w:lang w:val="en-US" w:eastAsia="zh-CN"/>
                    </w:rPr>
                    <w:t>；1座初期雨水收集池，总容积约220m</w:t>
                  </w:r>
                  <w:r>
                    <w:rPr>
                      <w:rFonts w:hint="eastAsia" w:ascii="Times New Roman" w:hAnsi="Times New Roman" w:eastAsia="宋体" w:cs="Times New Roman"/>
                      <w:b w:val="0"/>
                      <w:bCs w:val="0"/>
                      <w:color w:val="auto"/>
                      <w:sz w:val="18"/>
                      <w:szCs w:val="18"/>
                      <w:highlight w:val="none"/>
                      <w:vertAlign w:val="superscript"/>
                      <w:lang w:val="en-US" w:eastAsia="zh-CN"/>
                    </w:rPr>
                    <w:t>3</w:t>
                  </w:r>
                  <w:r>
                    <w:rPr>
                      <w:rFonts w:hint="default" w:ascii="Times New Roman" w:hAnsi="Times New Roman" w:eastAsia="宋体" w:cs="Times New Roman"/>
                      <w:b w:val="0"/>
                      <w:bCs w:val="0"/>
                      <w:color w:val="auto"/>
                      <w:sz w:val="18"/>
                      <w:szCs w:val="18"/>
                      <w:highlight w:val="none"/>
                      <w:lang w:val="en-US" w:eastAsia="zh-CN"/>
                    </w:rPr>
                    <w:t>。</w:t>
                  </w:r>
                </w:p>
              </w:tc>
              <w:tc>
                <w:tcPr>
                  <w:tcW w:w="697" w:type="pct"/>
                  <w:tcBorders>
                    <w:tl2br w:val="nil"/>
                    <w:tr2bl w:val="nil"/>
                  </w:tcBorders>
                  <w:noWrap w:val="0"/>
                  <w:vAlign w:val="center"/>
                </w:tcPr>
                <w:p w14:paraId="03B62078">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1400</w:t>
                  </w:r>
                </w:p>
              </w:tc>
            </w:tr>
            <w:tr w14:paraId="7F854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2" w:type="pct"/>
                  <w:tcBorders>
                    <w:tl2br w:val="nil"/>
                    <w:tr2bl w:val="nil"/>
                  </w:tcBorders>
                  <w:noWrap w:val="0"/>
                  <w:vAlign w:val="center"/>
                </w:tcPr>
                <w:p w14:paraId="513617BF">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cs="Times New Roman"/>
                      <w:b w:val="0"/>
                      <w:bCs w:val="0"/>
                      <w:color w:val="auto"/>
                      <w:sz w:val="18"/>
                      <w:szCs w:val="18"/>
                      <w:highlight w:val="none"/>
                      <w:lang w:val="en-US" w:eastAsia="zh-CN"/>
                    </w:rPr>
                    <w:t>绿化</w:t>
                  </w:r>
                </w:p>
              </w:tc>
              <w:tc>
                <w:tcPr>
                  <w:tcW w:w="3810" w:type="pct"/>
                  <w:gridSpan w:val="3"/>
                  <w:tcBorders>
                    <w:tl2br w:val="nil"/>
                    <w:tr2bl w:val="nil"/>
                  </w:tcBorders>
                  <w:noWrap w:val="0"/>
                  <w:vAlign w:val="center"/>
                </w:tcPr>
                <w:p w14:paraId="39E6971E">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both"/>
                    <w:textAlignment w:val="baseline"/>
                    <w:rPr>
                      <w:rFonts w:hint="eastAsia" w:ascii="Times New Roman" w:hAnsi="Times New Roman" w:eastAsia="宋体" w:cs="Times New Roman"/>
                      <w:b w:val="0"/>
                      <w:bCs w:val="0"/>
                      <w:color w:val="auto"/>
                      <w:sz w:val="18"/>
                      <w:szCs w:val="18"/>
                      <w:highlight w:val="none"/>
                      <w:vertAlign w:val="baseline"/>
                      <w:lang w:val="en-US" w:eastAsia="zh-CN"/>
                    </w:rPr>
                  </w:pPr>
                </w:p>
              </w:tc>
              <w:tc>
                <w:tcPr>
                  <w:tcW w:w="697" w:type="pct"/>
                  <w:tcBorders>
                    <w:tl2br w:val="nil"/>
                    <w:tr2bl w:val="nil"/>
                  </w:tcBorders>
                  <w:noWrap w:val="0"/>
                  <w:vAlign w:val="center"/>
                </w:tcPr>
                <w:p w14:paraId="3874F6A9">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eastAsia" w:ascii="Times New Roman" w:hAnsi="Times New Roman" w:eastAsia="宋体" w:cs="Times New Roman"/>
                      <w:b w:val="0"/>
                      <w:bCs w:val="0"/>
                      <w:color w:val="auto"/>
                      <w:sz w:val="18"/>
                      <w:szCs w:val="18"/>
                      <w:highlight w:val="none"/>
                      <w:lang w:val="en-US" w:eastAsia="zh-CN"/>
                    </w:rPr>
                  </w:pPr>
                </w:p>
              </w:tc>
            </w:tr>
            <w:bookmarkEnd w:id="11"/>
            <w:tr w14:paraId="566A11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02" w:type="pct"/>
                  <w:gridSpan w:val="4"/>
                  <w:tcBorders>
                    <w:tl2br w:val="nil"/>
                    <w:tr2bl w:val="nil"/>
                  </w:tcBorders>
                  <w:noWrap w:val="0"/>
                  <w:vAlign w:val="center"/>
                </w:tcPr>
                <w:p w14:paraId="59AC7DBB">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合计</w:t>
                  </w:r>
                </w:p>
              </w:tc>
              <w:tc>
                <w:tcPr>
                  <w:tcW w:w="697" w:type="pct"/>
                  <w:tcBorders>
                    <w:tl2br w:val="nil"/>
                    <w:tr2bl w:val="nil"/>
                  </w:tcBorders>
                  <w:noWrap w:val="0"/>
                  <w:vAlign w:val="center"/>
                </w:tcPr>
                <w:p w14:paraId="336A6D73">
                  <w:pPr>
                    <w:pStyle w:val="54"/>
                    <w:keepNext w:val="0"/>
                    <w:keepLines w:val="0"/>
                    <w:pageBreakBefore w:val="0"/>
                    <w:widowControl w:val="0"/>
                    <w:kinsoku/>
                    <w:wordWrap/>
                    <w:overflowPunct/>
                    <w:topLinePunct w:val="0"/>
                    <w:autoSpaceDE w:val="0"/>
                    <w:autoSpaceDN w:val="0"/>
                    <w:bidi w:val="0"/>
                    <w:adjustRightInd w:val="0"/>
                    <w:snapToGrid/>
                    <w:ind w:left="0" w:leftChars="0" w:right="0" w:rightChars="0"/>
                    <w:textAlignment w:val="baseline"/>
                    <w:rPr>
                      <w:rFonts w:hint="default" w:ascii="Times New Roman" w:hAnsi="Times New Roman" w:eastAsia="宋体" w:cs="Times New Roman"/>
                      <w:b w:val="0"/>
                      <w:bCs w:val="0"/>
                      <w:color w:val="auto"/>
                      <w:sz w:val="18"/>
                      <w:szCs w:val="18"/>
                      <w:highlight w:val="none"/>
                      <w:lang w:val="en-US" w:eastAsia="zh-CN"/>
                    </w:rPr>
                  </w:pPr>
                  <w:r>
                    <w:rPr>
                      <w:rFonts w:hint="eastAsia" w:ascii="Times New Roman" w:hAnsi="Times New Roman" w:eastAsia="宋体" w:cs="Times New Roman"/>
                      <w:b w:val="0"/>
                      <w:bCs w:val="0"/>
                      <w:color w:val="auto"/>
                      <w:sz w:val="18"/>
                      <w:szCs w:val="18"/>
                      <w:highlight w:val="none"/>
                      <w:lang w:val="en-US" w:eastAsia="zh-CN"/>
                    </w:rPr>
                    <w:t>4592</w:t>
                  </w:r>
                </w:p>
              </w:tc>
            </w:tr>
          </w:tbl>
          <w:p w14:paraId="47F85A96">
            <w:pPr>
              <w:adjustRightInd w:val="0"/>
              <w:snapToGrid w:val="0"/>
              <w:rPr>
                <w:rFonts w:ascii="宋体" w:hAnsi="宋体" w:cs="宋体"/>
                <w:bCs/>
                <w:color w:val="auto"/>
                <w:spacing w:val="10"/>
                <w:szCs w:val="21"/>
                <w:highlight w:val="none"/>
              </w:rPr>
            </w:pPr>
          </w:p>
          <w:p w14:paraId="30A6321B">
            <w:pPr>
              <w:adjustRightInd w:val="0"/>
              <w:snapToGrid w:val="0"/>
              <w:rPr>
                <w:rFonts w:ascii="宋体" w:hAnsi="宋体" w:cs="宋体"/>
                <w:bCs/>
                <w:color w:val="auto"/>
                <w:spacing w:val="10"/>
                <w:szCs w:val="21"/>
                <w:highlight w:val="none"/>
              </w:rPr>
            </w:pPr>
          </w:p>
          <w:p w14:paraId="0A96AAE1">
            <w:pPr>
              <w:adjustRightInd w:val="0"/>
              <w:snapToGrid w:val="0"/>
              <w:rPr>
                <w:rFonts w:ascii="宋体" w:hAnsi="宋体" w:cs="宋体"/>
                <w:bCs/>
                <w:color w:val="auto"/>
                <w:spacing w:val="10"/>
                <w:szCs w:val="21"/>
                <w:highlight w:val="none"/>
              </w:rPr>
            </w:pPr>
          </w:p>
          <w:p w14:paraId="28317897">
            <w:pPr>
              <w:adjustRightInd w:val="0"/>
              <w:snapToGrid w:val="0"/>
              <w:rPr>
                <w:rFonts w:ascii="宋体" w:hAnsi="宋体" w:cs="宋体"/>
                <w:bCs/>
                <w:color w:val="auto"/>
                <w:spacing w:val="10"/>
                <w:szCs w:val="21"/>
                <w:highlight w:val="none"/>
              </w:rPr>
            </w:pPr>
          </w:p>
          <w:p w14:paraId="44CBF498">
            <w:pPr>
              <w:adjustRightInd w:val="0"/>
              <w:snapToGrid w:val="0"/>
              <w:rPr>
                <w:rFonts w:ascii="宋体" w:hAnsi="宋体" w:cs="宋体"/>
                <w:bCs/>
                <w:color w:val="auto"/>
                <w:spacing w:val="10"/>
                <w:szCs w:val="21"/>
                <w:highlight w:val="none"/>
              </w:rPr>
            </w:pPr>
          </w:p>
          <w:p w14:paraId="30D7E612">
            <w:pPr>
              <w:adjustRightInd w:val="0"/>
              <w:snapToGrid w:val="0"/>
              <w:rPr>
                <w:rFonts w:ascii="宋体" w:hAnsi="宋体" w:cs="宋体"/>
                <w:bCs/>
                <w:color w:val="auto"/>
                <w:spacing w:val="10"/>
                <w:szCs w:val="21"/>
                <w:highlight w:val="none"/>
              </w:rPr>
            </w:pPr>
          </w:p>
          <w:p w14:paraId="4695517B">
            <w:pPr>
              <w:adjustRightInd w:val="0"/>
              <w:snapToGrid w:val="0"/>
              <w:rPr>
                <w:rFonts w:ascii="宋体" w:hAnsi="宋体" w:cs="宋体"/>
                <w:bCs/>
                <w:color w:val="auto"/>
                <w:spacing w:val="10"/>
                <w:szCs w:val="21"/>
                <w:highlight w:val="none"/>
              </w:rPr>
            </w:pPr>
          </w:p>
        </w:tc>
      </w:tr>
    </w:tbl>
    <w:p w14:paraId="51A14CC6">
      <w:pPr>
        <w:rPr>
          <w:color w:val="auto"/>
          <w:highlight w:val="none"/>
        </w:r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14:paraId="424F451B">
      <w:pPr>
        <w:pStyle w:val="20"/>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六、生态环境保护措施监督检查清单</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351"/>
        <w:gridCol w:w="3300"/>
        <w:gridCol w:w="2064"/>
        <w:gridCol w:w="2614"/>
        <w:gridCol w:w="2845"/>
      </w:tblGrid>
      <w:tr w14:paraId="0FD24C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1182" w:type="pct"/>
            <w:vMerge w:val="restart"/>
            <w:tcBorders>
              <w:tl2br w:val="single" w:color="auto" w:sz="4" w:space="0"/>
            </w:tcBorders>
            <w:noWrap w:val="0"/>
            <w:vAlign w:val="top"/>
          </w:tcPr>
          <w:p w14:paraId="6C46841A">
            <w:pPr>
              <w:pStyle w:val="20"/>
              <w:adjustRightInd w:val="0"/>
              <w:snapToGrid w:val="0"/>
              <w:spacing w:before="72" w:beforeLines="30" w:beforeAutospacing="0" w:after="0" w:afterAutospacing="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 xml:space="preserve">                    内容</w:t>
            </w:r>
          </w:p>
          <w:p w14:paraId="3AD464AD">
            <w:pPr>
              <w:pStyle w:val="20"/>
              <w:adjustRightInd w:val="0"/>
              <w:snapToGrid w:val="0"/>
              <w:spacing w:before="0" w:beforeAutospacing="0" w:after="0" w:afterAutospacing="0" w:line="14" w:lineRule="auto"/>
              <w:outlineLvl w:val="0"/>
              <w:rPr>
                <w:rFonts w:hint="eastAsia" w:ascii="黑体" w:hAnsi="黑体" w:eastAsia="黑体" w:cs="宋体"/>
                <w:color w:val="auto"/>
                <w:kern w:val="2"/>
                <w:sz w:val="135"/>
                <w:szCs w:val="21"/>
                <w:highlight w:val="none"/>
              </w:rPr>
            </w:pPr>
            <w:r>
              <w:rPr>
                <w:rFonts w:hint="eastAsia" w:ascii="黑体" w:hAnsi="黑体" w:eastAsia="黑体" w:cs="宋体"/>
                <w:color w:val="auto"/>
                <w:kern w:val="2"/>
                <w:sz w:val="21"/>
                <w:szCs w:val="21"/>
                <w:highlight w:val="none"/>
              </w:rPr>
              <w:t xml:space="preserve"> </w:t>
            </w:r>
            <w:r>
              <w:rPr>
                <w:rFonts w:hint="eastAsia" w:ascii="黑体" w:hAnsi="黑体" w:eastAsia="黑体" w:cs="宋体"/>
                <w:color w:val="auto"/>
                <w:kern w:val="2"/>
                <w:sz w:val="135"/>
                <w:szCs w:val="21"/>
                <w:highlight w:val="none"/>
              </w:rPr>
              <w:t xml:space="preserve"> </w:t>
            </w:r>
          </w:p>
          <w:p w14:paraId="078E697C">
            <w:pPr>
              <w:pStyle w:val="20"/>
              <w:adjustRightInd w:val="0"/>
              <w:snapToGrid w:val="0"/>
              <w:spacing w:before="0" w:beforeAutospacing="0" w:after="0" w:afterAutospacing="0"/>
              <w:outlineLvl w:val="0"/>
              <w:rPr>
                <w:rFonts w:hint="eastAsia"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要素</w:t>
            </w:r>
          </w:p>
        </w:tc>
        <w:tc>
          <w:tcPr>
            <w:tcW w:w="1892" w:type="pct"/>
            <w:gridSpan w:val="2"/>
            <w:noWrap w:val="0"/>
            <w:vAlign w:val="center"/>
          </w:tcPr>
          <w:p w14:paraId="4A7DDA95">
            <w:pPr>
              <w:pStyle w:val="20"/>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施工期</w:t>
            </w:r>
          </w:p>
        </w:tc>
        <w:tc>
          <w:tcPr>
            <w:tcW w:w="1925" w:type="pct"/>
            <w:gridSpan w:val="2"/>
            <w:noWrap w:val="0"/>
            <w:vAlign w:val="center"/>
          </w:tcPr>
          <w:p w14:paraId="57F78249">
            <w:pPr>
              <w:pStyle w:val="20"/>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运营期</w:t>
            </w:r>
          </w:p>
        </w:tc>
      </w:tr>
      <w:tr w14:paraId="40FBD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82" w:type="pct"/>
            <w:vMerge w:val="continue"/>
            <w:noWrap w:val="0"/>
            <w:vAlign w:val="top"/>
          </w:tcPr>
          <w:p w14:paraId="39EFBBEE">
            <w:pPr>
              <w:pStyle w:val="20"/>
              <w:adjustRightInd w:val="0"/>
              <w:snapToGrid w:val="0"/>
              <w:spacing w:before="0" w:beforeAutospacing="0" w:after="0" w:afterAutospacing="0"/>
              <w:ind w:firstLine="840"/>
              <w:jc w:val="center"/>
              <w:outlineLvl w:val="0"/>
              <w:rPr>
                <w:rFonts w:ascii="黑体" w:hAnsi="黑体" w:eastAsia="黑体" w:cs="宋体"/>
                <w:color w:val="auto"/>
                <w:kern w:val="2"/>
                <w:sz w:val="21"/>
                <w:szCs w:val="21"/>
                <w:highlight w:val="none"/>
              </w:rPr>
            </w:pPr>
          </w:p>
        </w:tc>
        <w:tc>
          <w:tcPr>
            <w:tcW w:w="1164" w:type="pct"/>
            <w:noWrap w:val="0"/>
            <w:vAlign w:val="center"/>
          </w:tcPr>
          <w:p w14:paraId="7DC3655C">
            <w:pPr>
              <w:pStyle w:val="20"/>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环境保护措施</w:t>
            </w:r>
          </w:p>
        </w:tc>
        <w:tc>
          <w:tcPr>
            <w:tcW w:w="728" w:type="pct"/>
            <w:noWrap w:val="0"/>
            <w:vAlign w:val="center"/>
          </w:tcPr>
          <w:p w14:paraId="525FD85D">
            <w:pPr>
              <w:pStyle w:val="20"/>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验收要求</w:t>
            </w:r>
          </w:p>
        </w:tc>
        <w:tc>
          <w:tcPr>
            <w:tcW w:w="922" w:type="pct"/>
            <w:noWrap w:val="0"/>
            <w:vAlign w:val="center"/>
          </w:tcPr>
          <w:p w14:paraId="5F0693D0">
            <w:pPr>
              <w:pStyle w:val="20"/>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环境保护措施</w:t>
            </w:r>
          </w:p>
        </w:tc>
        <w:tc>
          <w:tcPr>
            <w:tcW w:w="1003" w:type="pct"/>
            <w:noWrap w:val="0"/>
            <w:vAlign w:val="center"/>
          </w:tcPr>
          <w:p w14:paraId="1FA0E47A">
            <w:pPr>
              <w:pStyle w:val="20"/>
              <w:adjustRightInd w:val="0"/>
              <w:snapToGrid w:val="0"/>
              <w:spacing w:before="0" w:beforeAutospacing="0" w:after="0" w:afterAutospacing="0"/>
              <w:jc w:val="center"/>
              <w:outlineLvl w:val="0"/>
              <w:rPr>
                <w:rFonts w:ascii="黑体" w:hAnsi="黑体" w:eastAsia="黑体" w:cs="宋体"/>
                <w:color w:val="auto"/>
                <w:kern w:val="2"/>
                <w:sz w:val="21"/>
                <w:szCs w:val="21"/>
                <w:highlight w:val="none"/>
              </w:rPr>
            </w:pPr>
            <w:r>
              <w:rPr>
                <w:rFonts w:hint="eastAsia" w:ascii="黑体" w:hAnsi="黑体" w:eastAsia="黑体" w:cs="宋体"/>
                <w:color w:val="auto"/>
                <w:kern w:val="2"/>
                <w:sz w:val="21"/>
                <w:szCs w:val="21"/>
                <w:highlight w:val="none"/>
              </w:rPr>
              <w:t>验收要求</w:t>
            </w:r>
          </w:p>
        </w:tc>
      </w:tr>
      <w:tr w14:paraId="5D75B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82" w:type="pct"/>
            <w:noWrap w:val="0"/>
            <w:vAlign w:val="center"/>
          </w:tcPr>
          <w:p w14:paraId="75C56BA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陆生生态</w:t>
            </w:r>
          </w:p>
        </w:tc>
        <w:tc>
          <w:tcPr>
            <w:tcW w:w="1892" w:type="pct"/>
            <w:gridSpan w:val="2"/>
            <w:noWrap w:val="0"/>
            <w:vAlign w:val="center"/>
          </w:tcPr>
          <w:p w14:paraId="77118D58">
            <w:pPr>
              <w:adjustRightInd w:val="0"/>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控制施工范围；表土分层剥离、堆存，用于基地绿化恢复；加强基地绿化、硬化。</w:t>
            </w:r>
          </w:p>
        </w:tc>
        <w:tc>
          <w:tcPr>
            <w:tcW w:w="922" w:type="pct"/>
            <w:noWrap w:val="0"/>
            <w:vAlign w:val="center"/>
          </w:tcPr>
          <w:p w14:paraId="5B856D3B">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003" w:type="pct"/>
            <w:noWrap w:val="0"/>
            <w:vAlign w:val="center"/>
          </w:tcPr>
          <w:p w14:paraId="76770C6C">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184A18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2" w:type="pct"/>
            <w:noWrap w:val="0"/>
            <w:vAlign w:val="center"/>
          </w:tcPr>
          <w:p w14:paraId="3FF95AB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水生生态</w:t>
            </w:r>
          </w:p>
        </w:tc>
        <w:tc>
          <w:tcPr>
            <w:tcW w:w="1164" w:type="pct"/>
            <w:noWrap w:val="0"/>
            <w:vAlign w:val="center"/>
          </w:tcPr>
          <w:p w14:paraId="69060372">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728" w:type="pct"/>
            <w:noWrap w:val="0"/>
            <w:vAlign w:val="center"/>
          </w:tcPr>
          <w:p w14:paraId="245F3D69">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922" w:type="pct"/>
            <w:noWrap w:val="0"/>
            <w:vAlign w:val="center"/>
          </w:tcPr>
          <w:p w14:paraId="150F0C72">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003" w:type="pct"/>
            <w:noWrap w:val="0"/>
            <w:vAlign w:val="center"/>
          </w:tcPr>
          <w:p w14:paraId="00C57215">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37AC2A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82" w:type="pct"/>
            <w:noWrap w:val="0"/>
            <w:vAlign w:val="center"/>
          </w:tcPr>
          <w:p w14:paraId="755AB1E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地表水环境</w:t>
            </w:r>
          </w:p>
        </w:tc>
        <w:tc>
          <w:tcPr>
            <w:tcW w:w="1892" w:type="pct"/>
            <w:gridSpan w:val="2"/>
            <w:noWrap w:val="0"/>
            <w:vAlign w:val="center"/>
          </w:tcPr>
          <w:p w14:paraId="3ECEA3FF">
            <w:pPr>
              <w:adjustRightInd w:val="0"/>
              <w:snapToGrid w:val="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施工期生活污水采用移动厕所收集，定期送园区污水处理厂处理；管道试压废水、车辆轮胎清洗废水经临时沉淀池收集沉淀后用于施工场地洒水降尘、绿化等</w:t>
            </w:r>
            <w:r>
              <w:rPr>
                <w:rFonts w:hint="default" w:ascii="Times New Roman" w:hAnsi="Times New Roman" w:eastAsia="宋体" w:cs="Times New Roman"/>
                <w:color w:val="auto"/>
                <w:sz w:val="21"/>
                <w:szCs w:val="21"/>
                <w:highlight w:val="none"/>
              </w:rPr>
              <w:t>。</w:t>
            </w:r>
          </w:p>
        </w:tc>
        <w:tc>
          <w:tcPr>
            <w:tcW w:w="1925" w:type="pct"/>
            <w:gridSpan w:val="2"/>
            <w:noWrap w:val="0"/>
            <w:vAlign w:val="center"/>
          </w:tcPr>
          <w:p w14:paraId="34C73265">
            <w:pPr>
              <w:adjustRightInd w:val="0"/>
              <w:snapToGrid w:val="0"/>
              <w:jc w:val="both"/>
              <w:rPr>
                <w:rFonts w:hint="default" w:ascii="宋体" w:hAnsi="宋体" w:cs="宋体"/>
                <w:color w:val="auto"/>
                <w:szCs w:val="21"/>
                <w:highlight w:val="none"/>
                <w:lang w:val="en-US"/>
              </w:rPr>
            </w:pPr>
            <w:r>
              <w:rPr>
                <w:color w:val="auto"/>
                <w:kern w:val="21"/>
                <w:sz w:val="21"/>
                <w:szCs w:val="21"/>
                <w:highlight w:val="none"/>
              </w:rPr>
              <w:t>生活污水</w:t>
            </w:r>
            <w:r>
              <w:rPr>
                <w:rFonts w:hint="eastAsia"/>
                <w:color w:val="auto"/>
                <w:kern w:val="21"/>
                <w:sz w:val="21"/>
                <w:szCs w:val="21"/>
                <w:highlight w:val="none"/>
                <w:lang w:val="en-US" w:eastAsia="zh-CN"/>
              </w:rPr>
              <w:t>由</w:t>
            </w:r>
            <w:r>
              <w:rPr>
                <w:rFonts w:hint="eastAsia"/>
                <w:caps/>
                <w:color w:val="auto"/>
                <w:sz w:val="21"/>
                <w:szCs w:val="21"/>
                <w:highlight w:val="none"/>
                <w:lang w:val="en-US" w:eastAsia="zh-CN"/>
              </w:rPr>
              <w:t>30</w:t>
            </w:r>
            <w:r>
              <w:rPr>
                <w:rFonts w:hint="eastAsia"/>
                <w:color w:val="auto"/>
                <w:kern w:val="21"/>
                <w:sz w:val="21"/>
                <w:szCs w:val="21"/>
                <w:highlight w:val="none"/>
                <w:lang w:val="en-US" w:eastAsia="zh-CN"/>
              </w:rPr>
              <w:t>m</w:t>
            </w:r>
            <w:r>
              <w:rPr>
                <w:rFonts w:hint="eastAsia"/>
                <w:caps/>
                <w:color w:val="auto"/>
                <w:sz w:val="21"/>
                <w:szCs w:val="21"/>
                <w:highlight w:val="none"/>
                <w:vertAlign w:val="superscript"/>
                <w:lang w:val="en-US" w:eastAsia="zh-CN"/>
              </w:rPr>
              <w:t>3</w:t>
            </w:r>
            <w:r>
              <w:rPr>
                <w:rFonts w:hint="eastAsia"/>
                <w:caps/>
                <w:color w:val="auto"/>
                <w:sz w:val="21"/>
                <w:szCs w:val="21"/>
                <w:highlight w:val="none"/>
              </w:rPr>
              <w:t>化粪池收集后</w:t>
            </w:r>
            <w:r>
              <w:rPr>
                <w:color w:val="auto"/>
                <w:sz w:val="21"/>
                <w:szCs w:val="21"/>
                <w:highlight w:val="none"/>
              </w:rPr>
              <w:t>，</w:t>
            </w:r>
            <w:r>
              <w:rPr>
                <w:rFonts w:hint="eastAsia" w:ascii="宋体" w:hAnsi="宋体" w:cs="宋体"/>
                <w:color w:val="auto"/>
                <w:szCs w:val="21"/>
                <w:highlight w:val="none"/>
                <w:lang w:val="en-US" w:eastAsia="zh-CN"/>
              </w:rPr>
              <w:t>定期清掏送园区污水处理厂处理</w:t>
            </w:r>
            <w:r>
              <w:rPr>
                <w:rFonts w:hint="eastAsia"/>
                <w:color w:val="auto"/>
                <w:sz w:val="21"/>
                <w:szCs w:val="21"/>
                <w:highlight w:val="none"/>
                <w:lang w:eastAsia="zh-CN"/>
              </w:rPr>
              <w:t>；</w:t>
            </w:r>
            <w:r>
              <w:rPr>
                <w:rFonts w:hint="eastAsia"/>
                <w:color w:val="auto"/>
                <w:highlight w:val="none"/>
                <w:lang w:val="en-US" w:eastAsia="zh-CN"/>
              </w:rPr>
              <w:t>初期雨水收集后由罐车拉运至园区污水处理厂处理；</w:t>
            </w:r>
            <w:r>
              <w:rPr>
                <w:rFonts w:hint="eastAsia"/>
                <w:color w:val="auto"/>
                <w:kern w:val="21"/>
                <w:sz w:val="21"/>
                <w:szCs w:val="21"/>
                <w:highlight w:val="none"/>
                <w:lang w:val="en-US" w:eastAsia="zh-CN"/>
              </w:rPr>
              <w:t>循环水站废水和火炬系统废水通过</w:t>
            </w:r>
            <w:r>
              <w:rPr>
                <w:rFonts w:hint="eastAsia"/>
                <w:caps/>
                <w:color w:val="auto"/>
                <w:sz w:val="21"/>
                <w:szCs w:val="21"/>
                <w:highlight w:val="none"/>
                <w:lang w:val="en-US" w:eastAsia="zh-CN"/>
              </w:rPr>
              <w:t>管道送</w:t>
            </w:r>
            <w:r>
              <w:rPr>
                <w:rFonts w:hint="eastAsia" w:ascii="Times New Roman" w:hAnsi="Times New Roman" w:cs="Times New Roman"/>
                <w:color w:val="auto"/>
                <w:szCs w:val="21"/>
                <w:highlight w:val="none"/>
                <w:u w:val="none"/>
                <w:lang w:val="en-US" w:eastAsia="zh-CN"/>
              </w:rPr>
              <w:t>中煤鄂尔多斯能源化工有限公司</w:t>
            </w:r>
            <w:r>
              <w:rPr>
                <w:rFonts w:hint="eastAsia"/>
                <w:caps/>
                <w:color w:val="auto"/>
                <w:sz w:val="21"/>
                <w:szCs w:val="21"/>
                <w:highlight w:val="none"/>
                <w:lang w:val="en-US" w:eastAsia="zh-CN"/>
              </w:rPr>
              <w:t>污水处理系统处理。</w:t>
            </w:r>
          </w:p>
        </w:tc>
      </w:tr>
      <w:tr w14:paraId="34F405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82" w:type="pct"/>
            <w:noWrap w:val="0"/>
            <w:vAlign w:val="center"/>
          </w:tcPr>
          <w:p w14:paraId="14AD02A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地下水及土壤环境</w:t>
            </w:r>
          </w:p>
        </w:tc>
        <w:tc>
          <w:tcPr>
            <w:tcW w:w="3817" w:type="pct"/>
            <w:gridSpan w:val="4"/>
            <w:noWrap w:val="0"/>
            <w:vAlign w:val="center"/>
          </w:tcPr>
          <w:p w14:paraId="644B112E">
            <w:pPr>
              <w:adjustRightInd w:val="0"/>
              <w:snapToGrid w:val="0"/>
              <w:jc w:val="both"/>
              <w:rPr>
                <w:rFonts w:ascii="宋体" w:hAnsi="宋体" w:cs="宋体"/>
                <w:color w:val="auto"/>
                <w:szCs w:val="21"/>
                <w:highlight w:val="none"/>
              </w:rPr>
            </w:pPr>
            <w:r>
              <w:rPr>
                <w:rFonts w:hint="eastAsia" w:eastAsia="宋体"/>
                <w:color w:val="auto"/>
                <w:kern w:val="21"/>
                <w:sz w:val="21"/>
                <w:szCs w:val="21"/>
                <w:highlight w:val="none"/>
                <w:lang w:val="en-US" w:eastAsia="zh-CN"/>
              </w:rPr>
              <w:t>中试基地分为重点防渗区、一般防渗区和简单防渗区，并按照分区防渗要求严格施工，确保各各防渗区满足相应技术要求。</w:t>
            </w:r>
          </w:p>
        </w:tc>
      </w:tr>
      <w:tr w14:paraId="3E85D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82" w:type="pct"/>
            <w:noWrap w:val="0"/>
            <w:vAlign w:val="center"/>
          </w:tcPr>
          <w:p w14:paraId="561F8A00">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声环境</w:t>
            </w:r>
          </w:p>
        </w:tc>
        <w:tc>
          <w:tcPr>
            <w:tcW w:w="1164" w:type="pct"/>
            <w:noWrap w:val="0"/>
            <w:vAlign w:val="center"/>
          </w:tcPr>
          <w:p w14:paraId="5BCA0EE0">
            <w:pPr>
              <w:adjustRightInd w:val="0"/>
              <w:snapToGrid w:val="0"/>
              <w:jc w:val="both"/>
              <w:rPr>
                <w:rFonts w:ascii="宋体" w:hAnsi="宋体" w:cs="宋体"/>
                <w:color w:val="auto"/>
                <w:szCs w:val="21"/>
                <w:highlight w:val="none"/>
              </w:rPr>
            </w:pPr>
            <w:r>
              <w:rPr>
                <w:rFonts w:ascii="宋体" w:hAnsi="宋体" w:eastAsia="宋体" w:cs="宋体"/>
                <w:b w:val="0"/>
                <w:bCs w:val="0"/>
                <w:color w:val="auto"/>
                <w:sz w:val="21"/>
                <w:szCs w:val="21"/>
                <w:highlight w:val="none"/>
              </w:rPr>
              <w:t>（</w:t>
            </w:r>
            <w:r>
              <w:rPr>
                <w:rFonts w:ascii="TimesNewRomanPSMT" w:hAnsi="TimesNewRomanPSMT" w:eastAsia="TimesNewRomanPSMT" w:cs="TimesNewRomanPSMT"/>
                <w:b w:val="0"/>
                <w:bCs w:val="0"/>
                <w:color w:val="auto"/>
                <w:sz w:val="21"/>
                <w:szCs w:val="21"/>
                <w:highlight w:val="none"/>
              </w:rPr>
              <w:t>1</w:t>
            </w:r>
            <w:r>
              <w:rPr>
                <w:rFonts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采用低噪声施工设备</w:t>
            </w:r>
            <w:r>
              <w:rPr>
                <w:rFonts w:ascii="宋体" w:hAnsi="宋体" w:eastAsia="宋体" w:cs="宋体"/>
                <w:b w:val="0"/>
                <w:bCs w:val="0"/>
                <w:color w:val="auto"/>
                <w:sz w:val="21"/>
                <w:szCs w:val="21"/>
                <w:highlight w:val="none"/>
              </w:rPr>
              <w:t>（</w:t>
            </w:r>
            <w:r>
              <w:rPr>
                <w:rFonts w:hint="default" w:ascii="TimesNewRomanPSMT" w:hAnsi="TimesNewRomanPSMT" w:eastAsia="TimesNewRomanPSMT" w:cs="TimesNewRomanPSMT"/>
                <w:b w:val="0"/>
                <w:bCs w:val="0"/>
                <w:color w:val="auto"/>
                <w:sz w:val="21"/>
                <w:szCs w:val="21"/>
                <w:highlight w:val="none"/>
              </w:rPr>
              <w:t>2</w:t>
            </w:r>
            <w:r>
              <w:rPr>
                <w:rFonts w:ascii="宋体" w:hAnsi="宋体" w:eastAsia="宋体" w:cs="宋体"/>
                <w:b w:val="0"/>
                <w:bCs w:val="0"/>
                <w:color w:val="auto"/>
                <w:sz w:val="21"/>
                <w:szCs w:val="21"/>
                <w:highlight w:val="none"/>
              </w:rPr>
              <w:t>）</w:t>
            </w:r>
            <w:r>
              <w:rPr>
                <w:rFonts w:hint="default" w:ascii="Times New Roman" w:hAnsi="Times New Roman" w:eastAsia="宋体" w:cs="Times New Roman"/>
                <w:color w:val="auto"/>
                <w:sz w:val="21"/>
                <w:szCs w:val="21"/>
                <w:highlight w:val="none"/>
              </w:rPr>
              <w:t>施工机械要注意保养、合理操作，尽量使机械噪声降低至最低水平</w:t>
            </w:r>
            <w:r>
              <w:rPr>
                <w:rFonts w:ascii="宋体" w:hAnsi="宋体" w:eastAsia="宋体" w:cs="宋体"/>
                <w:b w:val="0"/>
                <w:bCs w:val="0"/>
                <w:color w:val="auto"/>
                <w:sz w:val="21"/>
                <w:szCs w:val="21"/>
                <w:highlight w:val="none"/>
              </w:rPr>
              <w:t>。（</w:t>
            </w:r>
            <w:r>
              <w:rPr>
                <w:rFonts w:hint="default" w:ascii="TimesNewRomanPSMT" w:hAnsi="TimesNewRomanPSMT" w:eastAsia="TimesNewRomanPSMT" w:cs="TimesNewRomanPSMT"/>
                <w:b w:val="0"/>
                <w:bCs w:val="0"/>
                <w:color w:val="auto"/>
                <w:sz w:val="21"/>
                <w:szCs w:val="21"/>
                <w:highlight w:val="none"/>
              </w:rPr>
              <w:t>3</w:t>
            </w:r>
            <w:r>
              <w:rPr>
                <w:rFonts w:ascii="宋体" w:hAnsi="宋体" w:eastAsia="宋体" w:cs="宋体"/>
                <w:b w:val="0"/>
                <w:bCs w:val="0"/>
                <w:color w:val="auto"/>
                <w:sz w:val="21"/>
                <w:szCs w:val="21"/>
                <w:highlight w:val="none"/>
              </w:rPr>
              <w:t>）采用噪声水平满足国家相关标准的施工机械或采取带隔声、消声设备的机械，控制设备噪声源强，加强对施工机械设备的维修、保养，减少噪声产生。（</w:t>
            </w:r>
            <w:r>
              <w:rPr>
                <w:rFonts w:hint="default" w:ascii="TimesNewRomanPSMT" w:hAnsi="TimesNewRomanPSMT" w:eastAsia="TimesNewRomanPSMT" w:cs="TimesNewRomanPSMT"/>
                <w:b w:val="0"/>
                <w:bCs w:val="0"/>
                <w:color w:val="auto"/>
                <w:sz w:val="21"/>
                <w:szCs w:val="21"/>
                <w:highlight w:val="none"/>
              </w:rPr>
              <w:t>4</w:t>
            </w:r>
            <w:r>
              <w:rPr>
                <w:rFonts w:ascii="宋体" w:hAnsi="宋体" w:eastAsia="宋体" w:cs="宋体"/>
                <w:b w:val="0"/>
                <w:bCs w:val="0"/>
                <w:color w:val="auto"/>
                <w:sz w:val="21"/>
                <w:szCs w:val="21"/>
                <w:highlight w:val="none"/>
              </w:rPr>
              <w:t>）建立施工围挡等遮挡措施，减少施工噪声的影响。</w:t>
            </w:r>
          </w:p>
        </w:tc>
        <w:tc>
          <w:tcPr>
            <w:tcW w:w="728" w:type="pct"/>
            <w:noWrap w:val="0"/>
            <w:vAlign w:val="center"/>
          </w:tcPr>
          <w:p w14:paraId="60CD0645">
            <w:pPr>
              <w:adjustRightInd w:val="0"/>
              <w:snapToGrid w:val="0"/>
              <w:jc w:val="both"/>
              <w:rPr>
                <w:rFonts w:ascii="宋体" w:hAnsi="宋体" w:cs="宋体"/>
                <w:color w:val="auto"/>
                <w:szCs w:val="21"/>
                <w:highlight w:val="none"/>
              </w:rPr>
            </w:pPr>
            <w:r>
              <w:rPr>
                <w:rFonts w:ascii="宋体" w:hAnsi="宋体" w:eastAsia="宋体" w:cs="宋体"/>
                <w:b w:val="0"/>
                <w:bCs w:val="0"/>
                <w:color w:val="auto"/>
                <w:sz w:val="21"/>
                <w:szCs w:val="21"/>
                <w:highlight w:val="none"/>
              </w:rPr>
              <w:t>确保厂界达到《建筑施工场界环境 噪声排放限值》（</w:t>
            </w:r>
            <w:r>
              <w:rPr>
                <w:rFonts w:ascii="TimesNewRomanPSMT" w:hAnsi="TimesNewRomanPSMT" w:eastAsia="TimesNewRomanPSMT" w:cs="TimesNewRomanPSMT"/>
                <w:b w:val="0"/>
                <w:bCs w:val="0"/>
                <w:color w:val="auto"/>
                <w:sz w:val="21"/>
                <w:szCs w:val="21"/>
                <w:highlight w:val="none"/>
              </w:rPr>
              <w:t>GB12523-2011</w:t>
            </w:r>
            <w:r>
              <w:rPr>
                <w:rFonts w:ascii="宋体" w:hAnsi="宋体" w:eastAsia="宋体" w:cs="宋体"/>
                <w:b w:val="0"/>
                <w:bCs w:val="0"/>
                <w:color w:val="auto"/>
                <w:sz w:val="21"/>
                <w:szCs w:val="21"/>
                <w:highlight w:val="none"/>
              </w:rPr>
              <w:t>） 要求。</w:t>
            </w:r>
          </w:p>
        </w:tc>
        <w:tc>
          <w:tcPr>
            <w:tcW w:w="922" w:type="pct"/>
            <w:noWrap w:val="0"/>
            <w:vAlign w:val="center"/>
          </w:tcPr>
          <w:p w14:paraId="669106F4">
            <w:pPr>
              <w:adjustRightInd w:val="0"/>
              <w:snapToGrid w:val="0"/>
              <w:jc w:val="both"/>
              <w:rPr>
                <w:rFonts w:hint="eastAsia" w:ascii="宋体" w:hAnsi="宋体" w:eastAsia="宋体" w:cs="宋体"/>
                <w:color w:val="auto"/>
                <w:szCs w:val="21"/>
                <w:highlight w:val="none"/>
                <w:lang w:eastAsia="zh-CN"/>
              </w:rPr>
            </w:pPr>
            <w:r>
              <w:rPr>
                <w:color w:val="auto"/>
                <w:kern w:val="21"/>
                <w:sz w:val="21"/>
                <w:szCs w:val="21"/>
                <w:highlight w:val="none"/>
              </w:rPr>
              <w:t>选用低噪声设备</w:t>
            </w:r>
            <w:r>
              <w:rPr>
                <w:rFonts w:hint="eastAsia"/>
                <w:color w:val="auto"/>
                <w:kern w:val="21"/>
                <w:sz w:val="21"/>
                <w:szCs w:val="21"/>
                <w:highlight w:val="none"/>
                <w:lang w:eastAsia="zh-CN"/>
              </w:rPr>
              <w:t>；</w:t>
            </w:r>
            <w:r>
              <w:rPr>
                <w:rFonts w:hint="eastAsia"/>
                <w:color w:val="auto"/>
                <w:kern w:val="21"/>
                <w:sz w:val="21"/>
                <w:szCs w:val="21"/>
                <w:highlight w:val="none"/>
                <w:lang w:val="en-US" w:eastAsia="zh-CN"/>
              </w:rPr>
              <w:t>厂房</w:t>
            </w:r>
            <w:r>
              <w:rPr>
                <w:color w:val="auto"/>
                <w:kern w:val="21"/>
                <w:sz w:val="21"/>
                <w:szCs w:val="21"/>
                <w:highlight w:val="none"/>
              </w:rPr>
              <w:t>隔声、</w:t>
            </w:r>
            <w:r>
              <w:rPr>
                <w:rFonts w:hint="eastAsia"/>
                <w:color w:val="auto"/>
                <w:kern w:val="21"/>
                <w:sz w:val="21"/>
                <w:szCs w:val="21"/>
                <w:highlight w:val="none"/>
                <w:lang w:val="en-US" w:eastAsia="zh-CN"/>
              </w:rPr>
              <w:t>基础</w:t>
            </w:r>
            <w:r>
              <w:rPr>
                <w:rFonts w:hint="eastAsia"/>
                <w:color w:val="auto"/>
                <w:kern w:val="21"/>
                <w:sz w:val="21"/>
                <w:szCs w:val="21"/>
                <w:highlight w:val="none"/>
              </w:rPr>
              <w:t>减振</w:t>
            </w:r>
            <w:r>
              <w:rPr>
                <w:rFonts w:hint="eastAsia"/>
                <w:color w:val="auto"/>
                <w:kern w:val="21"/>
                <w:sz w:val="21"/>
                <w:szCs w:val="21"/>
                <w:highlight w:val="none"/>
                <w:lang w:eastAsia="zh-CN"/>
              </w:rPr>
              <w:t>。</w:t>
            </w:r>
          </w:p>
        </w:tc>
        <w:tc>
          <w:tcPr>
            <w:tcW w:w="1003" w:type="pct"/>
            <w:noWrap w:val="0"/>
            <w:vAlign w:val="center"/>
          </w:tcPr>
          <w:p w14:paraId="6D7A311A">
            <w:pPr>
              <w:adjustRightInd w:val="0"/>
              <w:snapToGrid w:val="0"/>
              <w:jc w:val="both"/>
              <w:rPr>
                <w:rFonts w:hint="eastAsia" w:eastAsia="宋体"/>
                <w:color w:val="auto"/>
                <w:kern w:val="21"/>
                <w:sz w:val="21"/>
                <w:szCs w:val="21"/>
                <w:highlight w:val="none"/>
                <w:lang w:val="en-US" w:eastAsia="zh-CN" w:bidi="ar-SA"/>
              </w:rPr>
            </w:pPr>
            <w:r>
              <w:rPr>
                <w:rFonts w:hint="eastAsia"/>
                <w:color w:val="auto"/>
                <w:sz w:val="21"/>
                <w:szCs w:val="21"/>
                <w:highlight w:val="none"/>
                <w:lang w:val="en-US" w:eastAsia="zh-CN"/>
              </w:rPr>
              <w:t>厂界噪声满足</w:t>
            </w:r>
            <w:r>
              <w:rPr>
                <w:color w:val="auto"/>
                <w:sz w:val="21"/>
                <w:szCs w:val="21"/>
                <w:highlight w:val="none"/>
              </w:rPr>
              <w:t>《工业企业厂界环境噪声排放标准》（GB12348-2008）中</w:t>
            </w:r>
            <w:r>
              <w:rPr>
                <w:rFonts w:hint="eastAsia"/>
                <w:color w:val="auto"/>
                <w:sz w:val="21"/>
                <w:szCs w:val="21"/>
                <w:highlight w:val="none"/>
                <w:lang w:val="en-US" w:eastAsia="zh-CN"/>
              </w:rPr>
              <w:t>3</w:t>
            </w:r>
            <w:r>
              <w:rPr>
                <w:color w:val="auto"/>
                <w:sz w:val="21"/>
                <w:szCs w:val="21"/>
                <w:highlight w:val="none"/>
              </w:rPr>
              <w:t>类标准</w:t>
            </w:r>
            <w:r>
              <w:rPr>
                <w:rFonts w:hint="eastAsia"/>
                <w:color w:val="auto"/>
                <w:sz w:val="21"/>
                <w:szCs w:val="21"/>
                <w:highlight w:val="none"/>
                <w:lang w:val="en-US" w:eastAsia="zh-CN"/>
              </w:rPr>
              <w:t>限值。</w:t>
            </w:r>
          </w:p>
        </w:tc>
      </w:tr>
      <w:tr w14:paraId="13142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82" w:type="pct"/>
            <w:noWrap w:val="0"/>
            <w:vAlign w:val="center"/>
          </w:tcPr>
          <w:p w14:paraId="7C8810D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振动</w:t>
            </w:r>
          </w:p>
        </w:tc>
        <w:tc>
          <w:tcPr>
            <w:tcW w:w="1164" w:type="pct"/>
            <w:noWrap w:val="0"/>
            <w:vAlign w:val="center"/>
          </w:tcPr>
          <w:p w14:paraId="3FCE39C6">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728" w:type="pct"/>
            <w:noWrap w:val="0"/>
            <w:vAlign w:val="center"/>
          </w:tcPr>
          <w:p w14:paraId="059DA350">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922" w:type="pct"/>
            <w:noWrap w:val="0"/>
            <w:vAlign w:val="center"/>
          </w:tcPr>
          <w:p w14:paraId="1D74F7F4">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003" w:type="pct"/>
            <w:noWrap w:val="0"/>
            <w:vAlign w:val="center"/>
          </w:tcPr>
          <w:p w14:paraId="468C523A">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7F1CA9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82" w:type="pct"/>
            <w:noWrap w:val="0"/>
            <w:vAlign w:val="center"/>
          </w:tcPr>
          <w:p w14:paraId="30461344">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大气环境</w:t>
            </w:r>
          </w:p>
        </w:tc>
        <w:tc>
          <w:tcPr>
            <w:tcW w:w="1164" w:type="pct"/>
            <w:noWrap w:val="0"/>
            <w:vAlign w:val="center"/>
          </w:tcPr>
          <w:p w14:paraId="2F1F199E">
            <w:pPr>
              <w:widowControl/>
              <w:jc w:val="both"/>
              <w:rPr>
                <w:rFonts w:hint="eastAsia" w:eastAsia="宋体"/>
                <w:color w:val="auto"/>
                <w:kern w:val="2"/>
                <w:sz w:val="21"/>
                <w:szCs w:val="21"/>
                <w:highlight w:val="none"/>
                <w:lang w:val="en-US" w:eastAsia="zh-CN" w:bidi="ar-SA"/>
              </w:rPr>
            </w:pPr>
            <w:r>
              <w:rPr>
                <w:rFonts w:hint="eastAsia" w:ascii="宋体" w:hAnsi="宋体" w:cs="宋体"/>
                <w:color w:val="auto"/>
                <w:kern w:val="0"/>
                <w:szCs w:val="21"/>
                <w:highlight w:val="none"/>
                <w:lang w:bidi="ar"/>
              </w:rPr>
              <w:t>洒水抑尘、设置施工围挡，加强施工机械管理，确保非移动道路施工机械尾气达标排放</w:t>
            </w:r>
            <w:r>
              <w:rPr>
                <w:rFonts w:hint="eastAsia" w:ascii="宋体" w:hAnsi="宋体" w:cs="宋体"/>
                <w:color w:val="auto"/>
                <w:kern w:val="0"/>
                <w:szCs w:val="21"/>
                <w:highlight w:val="none"/>
                <w:lang w:eastAsia="zh-CN" w:bidi="ar"/>
              </w:rPr>
              <w:t>。</w:t>
            </w:r>
          </w:p>
        </w:tc>
        <w:tc>
          <w:tcPr>
            <w:tcW w:w="728" w:type="pct"/>
            <w:noWrap w:val="0"/>
            <w:vAlign w:val="center"/>
          </w:tcPr>
          <w:p w14:paraId="22241B72">
            <w:pPr>
              <w:adjustRightInd w:val="0"/>
              <w:snapToGrid w:val="0"/>
              <w:jc w:val="center"/>
              <w:rPr>
                <w:color w:val="auto"/>
                <w:kern w:val="2"/>
                <w:sz w:val="21"/>
                <w:szCs w:val="21"/>
                <w:highlight w:val="none"/>
                <w:lang w:val="en-US" w:eastAsia="zh-CN" w:bidi="ar-SA"/>
              </w:rPr>
            </w:pPr>
            <w:r>
              <w:rPr>
                <w:rFonts w:ascii="宋体" w:hAnsi="宋体" w:cs="宋体"/>
                <w:color w:val="auto"/>
                <w:szCs w:val="21"/>
                <w:highlight w:val="none"/>
              </w:rPr>
              <w:t>减少扬尘，未对周围环境造成明显影响。</w:t>
            </w:r>
          </w:p>
        </w:tc>
        <w:tc>
          <w:tcPr>
            <w:tcW w:w="1925" w:type="pct"/>
            <w:gridSpan w:val="2"/>
            <w:noWrap w:val="0"/>
            <w:vAlign w:val="center"/>
          </w:tcPr>
          <w:p w14:paraId="36B89B46">
            <w:pPr>
              <w:adjustRightInd w:val="0"/>
              <w:snapToGrid w:val="0"/>
              <w:jc w:val="both"/>
              <w:rPr>
                <w:rFonts w:ascii="宋体" w:hAnsi="宋体" w:cs="宋体"/>
                <w:color w:val="auto"/>
                <w:szCs w:val="21"/>
                <w:highlight w:val="none"/>
              </w:rPr>
            </w:pPr>
            <w:r>
              <w:rPr>
                <w:rFonts w:hint="eastAsia" w:ascii="宋体" w:hAnsi="宋体" w:cs="宋体"/>
                <w:color w:val="auto"/>
                <w:szCs w:val="21"/>
                <w:highlight w:val="none"/>
                <w:lang w:val="en-US" w:eastAsia="zh-CN"/>
              </w:rPr>
              <w:t>火炬系统用于处理基地后续中试项目事故状态下驰放气的处理；危废库内危废</w:t>
            </w:r>
            <w:r>
              <w:rPr>
                <w:rFonts w:ascii="宋体" w:hAnsi="宋体" w:eastAsia="宋体" w:cs="宋体"/>
                <w:color w:val="auto"/>
                <w:kern w:val="0"/>
                <w:sz w:val="21"/>
                <w:szCs w:val="21"/>
                <w:highlight w:val="none"/>
                <w:lang w:val="en-US" w:eastAsia="zh-CN" w:bidi="ar"/>
              </w:rPr>
              <w:t>选用合适的</w:t>
            </w:r>
            <w:r>
              <w:rPr>
                <w:rFonts w:hint="eastAsia" w:ascii="宋体" w:hAnsi="宋体" w:eastAsia="宋体" w:cs="宋体"/>
                <w:color w:val="auto"/>
                <w:kern w:val="0"/>
                <w:sz w:val="21"/>
                <w:szCs w:val="21"/>
                <w:highlight w:val="none"/>
                <w:lang w:val="en-US" w:eastAsia="zh-CN" w:bidi="ar"/>
              </w:rPr>
              <w:t>闭口</w:t>
            </w:r>
            <w:r>
              <w:rPr>
                <w:rFonts w:ascii="宋体" w:hAnsi="宋体" w:eastAsia="宋体" w:cs="宋体"/>
                <w:color w:val="auto"/>
                <w:kern w:val="0"/>
                <w:sz w:val="21"/>
                <w:szCs w:val="21"/>
                <w:highlight w:val="none"/>
                <w:lang w:val="en-US" w:eastAsia="zh-CN" w:bidi="ar"/>
              </w:rPr>
              <w:t>容器收集</w:t>
            </w:r>
            <w:r>
              <w:rPr>
                <w:rFonts w:hint="eastAsia" w:ascii="宋体" w:hAnsi="宋体" w:eastAsia="宋体" w:cs="宋体"/>
                <w:color w:val="auto"/>
                <w:kern w:val="0"/>
                <w:sz w:val="21"/>
                <w:szCs w:val="21"/>
                <w:highlight w:val="none"/>
                <w:lang w:val="en-US" w:eastAsia="zh-CN" w:bidi="ar"/>
              </w:rPr>
              <w:t>盛装</w:t>
            </w:r>
            <w:r>
              <w:rPr>
                <w:rFonts w:hint="eastAsia" w:eastAsia="宋体"/>
                <w:color w:val="auto"/>
                <w:kern w:val="21"/>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盛装液态废物的容器尽可能采用托盘存放，</w:t>
            </w:r>
            <w:r>
              <w:rPr>
                <w:rFonts w:hint="eastAsia" w:eastAsia="宋体"/>
                <w:color w:val="auto"/>
                <w:kern w:val="21"/>
                <w:sz w:val="21"/>
                <w:szCs w:val="21"/>
                <w:highlight w:val="none"/>
                <w:lang w:val="en-US" w:eastAsia="zh-CN"/>
              </w:rPr>
              <w:t>缩短贮存周期；</w:t>
            </w:r>
            <w:r>
              <w:rPr>
                <w:rFonts w:hint="eastAsia" w:ascii="Times New Roman" w:hAnsi="Times New Roman" w:eastAsia="宋体" w:cs="Times New Roman"/>
                <w:b w:val="0"/>
                <w:bCs w:val="0"/>
                <w:color w:val="auto"/>
                <w:sz w:val="21"/>
                <w:szCs w:val="21"/>
                <w:highlight w:val="none"/>
                <w:lang w:val="en-US" w:eastAsia="zh-CN"/>
              </w:rPr>
              <w:t>后期如实际贮存危废属于</w:t>
            </w:r>
            <w:r>
              <w:rPr>
                <w:rFonts w:hint="eastAsia" w:ascii="宋体" w:hAnsi="宋体" w:eastAsia="宋体" w:cs="宋体"/>
                <w:color w:val="auto"/>
                <w:kern w:val="0"/>
                <w:sz w:val="21"/>
                <w:szCs w:val="21"/>
                <w:highlight w:val="none"/>
                <w:lang w:val="en-US" w:eastAsia="zh-CN" w:bidi="ar"/>
              </w:rPr>
              <w:t>易产生粉尘、</w:t>
            </w:r>
            <w:r>
              <w:rPr>
                <w:rFonts w:hint="default" w:ascii="Times New Roman" w:hAnsi="Times New Roman" w:eastAsia="宋体" w:cs="Times New Roman"/>
                <w:color w:val="auto"/>
                <w:kern w:val="0"/>
                <w:sz w:val="21"/>
                <w:szCs w:val="21"/>
                <w:highlight w:val="none"/>
                <w:lang w:val="en-US" w:eastAsia="zh-CN" w:bidi="ar"/>
              </w:rPr>
              <w:t>VOCs</w:t>
            </w:r>
            <w:r>
              <w:rPr>
                <w:rFonts w:hint="eastAsia" w:ascii="宋体" w:hAnsi="宋体" w:eastAsia="宋体" w:cs="宋体"/>
                <w:color w:val="auto"/>
                <w:kern w:val="0"/>
                <w:sz w:val="21"/>
                <w:szCs w:val="21"/>
                <w:highlight w:val="none"/>
                <w:lang w:val="en-US" w:eastAsia="zh-CN" w:bidi="ar"/>
              </w:rPr>
              <w:t>、酸雾、有毒有害大气污染物和刺激性气味气体的废物，</w:t>
            </w:r>
            <w:r>
              <w:rPr>
                <w:rFonts w:hint="eastAsia" w:ascii="Times New Roman" w:hAnsi="Times New Roman" w:eastAsia="宋体" w:cs="Times New Roman"/>
                <w:b w:val="0"/>
                <w:bCs w:val="0"/>
                <w:color w:val="auto"/>
                <w:sz w:val="21"/>
                <w:szCs w:val="21"/>
                <w:highlight w:val="none"/>
                <w:lang w:val="en-US" w:eastAsia="zh-CN"/>
              </w:rPr>
              <w:t>应增设负压收集+净化装置+排气筒。</w:t>
            </w:r>
            <w:r>
              <w:rPr>
                <w:rFonts w:hint="eastAsia" w:eastAsia="宋体"/>
                <w:color w:val="auto"/>
                <w:kern w:val="21"/>
                <w:sz w:val="21"/>
                <w:szCs w:val="21"/>
                <w:highlight w:val="none"/>
                <w:lang w:val="en-US" w:eastAsia="zh-CN"/>
              </w:rPr>
              <w:t>（本次环评不包含）。</w:t>
            </w:r>
          </w:p>
        </w:tc>
      </w:tr>
      <w:tr w14:paraId="6ADAC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82" w:type="pct"/>
            <w:noWrap w:val="0"/>
            <w:vAlign w:val="center"/>
          </w:tcPr>
          <w:p w14:paraId="699FFB0E">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固体废物</w:t>
            </w:r>
          </w:p>
        </w:tc>
        <w:tc>
          <w:tcPr>
            <w:tcW w:w="1164" w:type="pct"/>
            <w:noWrap w:val="0"/>
            <w:vAlign w:val="center"/>
          </w:tcPr>
          <w:p w14:paraId="32BF88CB">
            <w:pPr>
              <w:adjustRightInd w:val="0"/>
              <w:snapToGrid w:val="0"/>
              <w:jc w:val="both"/>
              <w:rPr>
                <w:rFonts w:ascii="宋体" w:hAnsi="宋体" w:cs="宋体"/>
                <w:color w:val="auto"/>
                <w:szCs w:val="21"/>
                <w:highlight w:val="none"/>
              </w:rPr>
            </w:pPr>
            <w:r>
              <w:rPr>
                <w:rFonts w:hint="default" w:ascii="Times New Roman" w:hAnsi="Times New Roman" w:eastAsia="宋体" w:cs="Times New Roman"/>
                <w:color w:val="auto"/>
                <w:kern w:val="0"/>
                <w:szCs w:val="21"/>
                <w:highlight w:val="none"/>
                <w:lang w:val="en-US" w:eastAsia="zh-CN" w:bidi="ar"/>
              </w:rPr>
              <w:t>施工产生的土方回填地基，厂区平整</w:t>
            </w:r>
            <w:r>
              <w:rPr>
                <w:rFonts w:hint="default" w:ascii="Times New Roman" w:hAnsi="Times New Roman" w:eastAsia="宋体" w:cs="Times New Roman"/>
                <w:color w:val="auto"/>
                <w:kern w:val="0"/>
                <w:szCs w:val="21"/>
                <w:highlight w:val="none"/>
                <w:lang w:bidi="ar"/>
              </w:rPr>
              <w:t>；</w:t>
            </w:r>
            <w:r>
              <w:rPr>
                <w:rFonts w:hint="default" w:ascii="Times New Roman" w:hAnsi="Times New Roman" w:eastAsia="宋体" w:cs="Times New Roman"/>
                <w:color w:val="auto"/>
                <w:sz w:val="21"/>
                <w:szCs w:val="21"/>
                <w:highlight w:val="none"/>
              </w:rPr>
              <w:t>建筑</w:t>
            </w:r>
            <w:r>
              <w:rPr>
                <w:rFonts w:hint="eastAsia" w:ascii="Times New Roman" w:hAnsi="Times New Roman" w:eastAsia="宋体" w:cs="Times New Roman"/>
                <w:color w:val="auto"/>
                <w:sz w:val="21"/>
                <w:szCs w:val="21"/>
                <w:highlight w:val="none"/>
                <w:lang w:val="en-US" w:eastAsia="zh-CN"/>
              </w:rPr>
              <w:t>垃圾</w:t>
            </w:r>
            <w:r>
              <w:rPr>
                <w:rFonts w:hint="default" w:ascii="Times New Roman" w:hAnsi="Times New Roman" w:eastAsia="宋体" w:cs="Times New Roman"/>
                <w:color w:val="auto"/>
                <w:sz w:val="21"/>
                <w:szCs w:val="21"/>
                <w:highlight w:val="none"/>
              </w:rPr>
              <w:t>优先回收利用，无法回收或不具回收价值的</w:t>
            </w:r>
            <w:r>
              <w:rPr>
                <w:rFonts w:hint="eastAsia" w:ascii="Times New Roman" w:hAnsi="Times New Roman" w:eastAsia="宋体" w:cs="Times New Roman"/>
                <w:color w:val="auto"/>
                <w:sz w:val="21"/>
                <w:szCs w:val="21"/>
                <w:highlight w:val="none"/>
                <w:lang w:val="en-US" w:eastAsia="zh-CN"/>
              </w:rPr>
              <w:t>建筑垃圾</w:t>
            </w:r>
            <w:r>
              <w:rPr>
                <w:rFonts w:hint="default" w:ascii="Times New Roman" w:hAnsi="Times New Roman" w:eastAsia="宋体" w:cs="Times New Roman"/>
                <w:color w:val="auto"/>
                <w:sz w:val="21"/>
                <w:szCs w:val="21"/>
                <w:highlight w:val="none"/>
              </w:rPr>
              <w:t>送往</w:t>
            </w:r>
            <w:r>
              <w:rPr>
                <w:rFonts w:hint="eastAsia" w:ascii="Times New Roman" w:hAnsi="Times New Roman" w:eastAsia="宋体" w:cs="Times New Roman"/>
                <w:color w:val="auto"/>
                <w:sz w:val="21"/>
                <w:szCs w:val="21"/>
                <w:highlight w:val="none"/>
                <w:lang w:val="en-US" w:eastAsia="zh-CN"/>
              </w:rPr>
              <w:t>就近的</w:t>
            </w:r>
            <w:r>
              <w:rPr>
                <w:rFonts w:hint="default" w:ascii="Times New Roman" w:hAnsi="Times New Roman" w:eastAsia="宋体" w:cs="Times New Roman"/>
                <w:color w:val="auto"/>
                <w:sz w:val="21"/>
                <w:szCs w:val="21"/>
                <w:highlight w:val="none"/>
              </w:rPr>
              <w:t>建筑垃圾</w:t>
            </w:r>
            <w:r>
              <w:rPr>
                <w:rFonts w:hint="eastAsia" w:ascii="Times New Roman" w:hAnsi="Times New Roman" w:eastAsia="宋体" w:cs="Times New Roman"/>
                <w:color w:val="auto"/>
                <w:sz w:val="21"/>
                <w:szCs w:val="21"/>
                <w:highlight w:val="none"/>
                <w:lang w:val="en-US" w:eastAsia="zh-CN"/>
              </w:rPr>
              <w:t>填埋</w:t>
            </w:r>
            <w:r>
              <w:rPr>
                <w:rFonts w:hint="default" w:ascii="Times New Roman" w:hAnsi="Times New Roman" w:eastAsia="宋体" w:cs="Times New Roman"/>
                <w:color w:val="auto"/>
                <w:sz w:val="21"/>
                <w:szCs w:val="21"/>
                <w:highlight w:val="none"/>
              </w:rPr>
              <w:t>场进行处置</w:t>
            </w:r>
            <w:r>
              <w:rPr>
                <w:rFonts w:hint="default" w:ascii="Times New Roman" w:hAnsi="Times New Roman" w:eastAsia="宋体" w:cs="Times New Roman"/>
                <w:color w:val="auto"/>
                <w:kern w:val="0"/>
                <w:szCs w:val="21"/>
                <w:highlight w:val="none"/>
                <w:lang w:bidi="ar"/>
              </w:rPr>
              <w:t>；施工期生活垃圾收集后</w:t>
            </w:r>
            <w:r>
              <w:rPr>
                <w:rFonts w:hint="eastAsia" w:ascii="Times New Roman" w:hAnsi="Times New Roman" w:eastAsia="宋体" w:cs="Times New Roman"/>
                <w:color w:val="auto"/>
                <w:sz w:val="21"/>
                <w:szCs w:val="21"/>
                <w:highlight w:val="none"/>
                <w:lang w:val="en-US" w:eastAsia="zh-CN"/>
              </w:rPr>
              <w:t>送至就近的生活垃圾填埋场处置</w:t>
            </w:r>
            <w:r>
              <w:rPr>
                <w:rFonts w:hint="default" w:ascii="Times New Roman" w:hAnsi="Times New Roman" w:eastAsia="宋体" w:cs="Times New Roman"/>
                <w:color w:val="auto"/>
                <w:kern w:val="0"/>
                <w:szCs w:val="21"/>
                <w:highlight w:val="none"/>
                <w:lang w:bidi="ar"/>
              </w:rPr>
              <w:t>。</w:t>
            </w:r>
          </w:p>
        </w:tc>
        <w:tc>
          <w:tcPr>
            <w:tcW w:w="728" w:type="pct"/>
            <w:noWrap w:val="0"/>
            <w:vAlign w:val="center"/>
          </w:tcPr>
          <w:p w14:paraId="0E6D6C25">
            <w:pPr>
              <w:adjustRightInd w:val="0"/>
              <w:snapToGrid w:val="0"/>
              <w:jc w:val="center"/>
              <w:rPr>
                <w:rFonts w:ascii="宋体" w:hAnsi="宋体" w:cs="宋体"/>
                <w:color w:val="auto"/>
                <w:szCs w:val="21"/>
                <w:highlight w:val="none"/>
              </w:rPr>
            </w:pPr>
            <w:r>
              <w:rPr>
                <w:rFonts w:hint="eastAsia" w:ascii="宋体" w:hAnsi="宋体" w:cs="宋体"/>
                <w:color w:val="auto"/>
                <w:kern w:val="0"/>
                <w:szCs w:val="21"/>
                <w:highlight w:val="none"/>
                <w:lang w:bidi="ar"/>
              </w:rPr>
              <w:t>妥善处理处置，确保对周边环境不产生不良影响。</w:t>
            </w:r>
          </w:p>
        </w:tc>
        <w:tc>
          <w:tcPr>
            <w:tcW w:w="1925" w:type="pct"/>
            <w:gridSpan w:val="2"/>
            <w:noWrap w:val="0"/>
            <w:vAlign w:val="center"/>
          </w:tcPr>
          <w:p w14:paraId="5023EE36">
            <w:pPr>
              <w:adjustRightInd w:val="0"/>
              <w:snapToGrid w:val="0"/>
              <w:jc w:val="both"/>
              <w:rPr>
                <w:rFonts w:ascii="宋体" w:hAnsi="宋体" w:cs="宋体"/>
                <w:color w:val="auto"/>
                <w:szCs w:val="21"/>
                <w:highlight w:val="none"/>
              </w:rPr>
            </w:pPr>
            <w:r>
              <w:rPr>
                <w:rFonts w:hint="eastAsia" w:eastAsia="宋体"/>
                <w:color w:val="auto"/>
                <w:kern w:val="21"/>
                <w:sz w:val="21"/>
                <w:szCs w:val="21"/>
                <w:highlight w:val="none"/>
                <w:lang w:val="en-US" w:eastAsia="zh-CN"/>
              </w:rPr>
              <w:t>生活垃圾收集后就近生活垃圾填埋场处置；建设危废库1座，用于贮存基地后续中试项目产生的危险废物，定期委托有资质的单位处置。</w:t>
            </w:r>
          </w:p>
        </w:tc>
      </w:tr>
      <w:tr w14:paraId="3BF134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82" w:type="pct"/>
            <w:noWrap w:val="0"/>
            <w:vAlign w:val="center"/>
          </w:tcPr>
          <w:p w14:paraId="4348E938">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电磁环境</w:t>
            </w:r>
          </w:p>
        </w:tc>
        <w:tc>
          <w:tcPr>
            <w:tcW w:w="1164" w:type="pct"/>
            <w:noWrap w:val="0"/>
            <w:vAlign w:val="center"/>
          </w:tcPr>
          <w:p w14:paraId="1029A9AB">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728" w:type="pct"/>
            <w:noWrap w:val="0"/>
            <w:vAlign w:val="center"/>
          </w:tcPr>
          <w:p w14:paraId="5FD23B8E">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922" w:type="pct"/>
            <w:noWrap w:val="0"/>
            <w:vAlign w:val="center"/>
          </w:tcPr>
          <w:p w14:paraId="5AC7B313">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003" w:type="pct"/>
            <w:noWrap w:val="0"/>
            <w:vAlign w:val="center"/>
          </w:tcPr>
          <w:p w14:paraId="16608237">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r w14:paraId="1E3767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1182" w:type="pct"/>
            <w:noWrap w:val="0"/>
            <w:vAlign w:val="center"/>
          </w:tcPr>
          <w:p w14:paraId="20C01D98">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环境风险</w:t>
            </w:r>
          </w:p>
        </w:tc>
        <w:tc>
          <w:tcPr>
            <w:tcW w:w="1164" w:type="pct"/>
            <w:noWrap w:val="0"/>
            <w:vAlign w:val="center"/>
          </w:tcPr>
          <w:p w14:paraId="17A9BC9E">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728" w:type="pct"/>
            <w:noWrap w:val="0"/>
            <w:vAlign w:val="center"/>
          </w:tcPr>
          <w:p w14:paraId="581EBDCD">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925" w:type="pct"/>
            <w:gridSpan w:val="2"/>
            <w:noWrap w:val="0"/>
            <w:vAlign w:val="center"/>
          </w:tcPr>
          <w:p w14:paraId="600AD3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cs="宋体"/>
                <w:color w:val="auto"/>
                <w:szCs w:val="21"/>
                <w:highlight w:val="none"/>
              </w:rPr>
            </w:pPr>
            <w:r>
              <w:rPr>
                <w:rFonts w:hint="default" w:ascii="Times New Roman" w:hAnsi="Times New Roman" w:eastAsia="宋体" w:cs="Times New Roman"/>
                <w:color w:val="auto"/>
                <w:kern w:val="21"/>
                <w:sz w:val="21"/>
                <w:szCs w:val="21"/>
                <w:highlight w:val="none"/>
                <w:lang w:val="en-US" w:eastAsia="zh-CN"/>
              </w:rPr>
              <w:t>1.中试基地采取严格的分区防控措施；建设事故应急池及初期雨水收集池；配套建设消防泵站和消防水池。</w:t>
            </w:r>
            <w:r>
              <w:rPr>
                <w:rFonts w:hint="default" w:ascii="Times New Roman" w:hAnsi="Times New Roman" w:eastAsia="宋体" w:cs="Times New Roman"/>
                <w:color w:val="auto"/>
                <w:kern w:val="0"/>
                <w:szCs w:val="21"/>
                <w:highlight w:val="none"/>
                <w:lang w:val="en-US" w:eastAsia="zh-CN"/>
              </w:rPr>
              <w:t>2.严格管道管材的选择要求，加强防腐防渗措施；强化管廊支架结构；3.管道设置前后切断阀，设置易燃、有毒气体检测仪器及报警装置；4.设置跨地接地装置，明火高温作业远离管线；5.配备充足应急物资，制定应急预案。</w:t>
            </w:r>
          </w:p>
        </w:tc>
      </w:tr>
      <w:tr w14:paraId="59A24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82" w:type="pct"/>
            <w:noWrap w:val="0"/>
            <w:vAlign w:val="center"/>
          </w:tcPr>
          <w:p w14:paraId="3ADB87FF">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环境监测</w:t>
            </w:r>
          </w:p>
        </w:tc>
        <w:tc>
          <w:tcPr>
            <w:tcW w:w="1164" w:type="pct"/>
            <w:noWrap w:val="0"/>
            <w:vAlign w:val="center"/>
          </w:tcPr>
          <w:p w14:paraId="20263DCF">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728" w:type="pct"/>
            <w:noWrap w:val="0"/>
            <w:vAlign w:val="center"/>
          </w:tcPr>
          <w:p w14:paraId="34113EA9">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925" w:type="pct"/>
            <w:gridSpan w:val="2"/>
            <w:noWrap w:val="0"/>
            <w:vAlign w:val="center"/>
          </w:tcPr>
          <w:p w14:paraId="2B82D36D">
            <w:pPr>
              <w:adjustRightInd w:val="0"/>
              <w:snapToGrid w:val="0"/>
              <w:jc w:val="both"/>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中试基地按照监测计划开展噪声、土壤和地下水的跟踪监测；制定应急监测计划，确保风险事故状态指导现场开展监测。废气监测方案纳入后续入驻项目，本次环评不做要求。</w:t>
            </w:r>
          </w:p>
        </w:tc>
      </w:tr>
      <w:tr w14:paraId="6FC4C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82" w:type="pct"/>
            <w:noWrap w:val="0"/>
            <w:vAlign w:val="center"/>
          </w:tcPr>
          <w:p w14:paraId="4593360F">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1164" w:type="pct"/>
            <w:noWrap w:val="0"/>
            <w:vAlign w:val="center"/>
          </w:tcPr>
          <w:p w14:paraId="4DD1AC1F">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728" w:type="pct"/>
            <w:noWrap w:val="0"/>
            <w:vAlign w:val="center"/>
          </w:tcPr>
          <w:p w14:paraId="02E8C329">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922" w:type="pct"/>
            <w:noWrap w:val="0"/>
            <w:vAlign w:val="center"/>
          </w:tcPr>
          <w:p w14:paraId="07C75E46">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003" w:type="pct"/>
            <w:noWrap w:val="0"/>
            <w:vAlign w:val="center"/>
          </w:tcPr>
          <w:p w14:paraId="7E7B5C25">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r>
    </w:tbl>
    <w:p w14:paraId="45438000">
      <w:pPr>
        <w:bidi w:val="0"/>
        <w:rPr>
          <w:color w:val="auto"/>
          <w:highlight w:val="none"/>
        </w:rPr>
        <w:sectPr>
          <w:pgSz w:w="16838" w:h="11906" w:orient="landscape"/>
          <w:pgMar w:top="1800" w:right="1440" w:bottom="1800" w:left="1440" w:header="851" w:footer="1077" w:gutter="0"/>
          <w:pgBorders>
            <w:top w:val="none" w:sz="0" w:space="0"/>
            <w:left w:val="none" w:sz="0" w:space="0"/>
            <w:bottom w:val="none" w:sz="0" w:space="0"/>
            <w:right w:val="none" w:sz="0" w:space="0"/>
          </w:pgBorders>
          <w:cols w:space="720" w:num="1"/>
          <w:docGrid w:linePitch="312" w:charSpace="0"/>
        </w:sectPr>
      </w:pPr>
    </w:p>
    <w:p w14:paraId="44725A40">
      <w:pPr>
        <w:pStyle w:val="20"/>
        <w:spacing w:before="192" w:beforeLines="80" w:beforeAutospacing="0"/>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七、结论</w:t>
      </w:r>
    </w:p>
    <w:tbl>
      <w:tblPr>
        <w:tblStyle w:val="24"/>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11C79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val="0"/>
            <w:vAlign w:val="top"/>
          </w:tcPr>
          <w:p w14:paraId="29E91DA5">
            <w:pPr>
              <w:adjustRightInd w:val="0"/>
              <w:snapToGrid w:val="0"/>
              <w:spacing w:line="360" w:lineRule="auto"/>
              <w:ind w:firstLine="420" w:firstLineChars="200"/>
              <w:rPr>
                <w:color w:val="auto"/>
                <w:sz w:val="21"/>
                <w:szCs w:val="21"/>
                <w:highlight w:val="none"/>
              </w:rPr>
            </w:pPr>
            <w:r>
              <w:rPr>
                <w:color w:val="auto"/>
                <w:sz w:val="21"/>
                <w:szCs w:val="21"/>
                <w:highlight w:val="none"/>
              </w:rPr>
              <w:t>综上所述，本项目符合</w:t>
            </w:r>
            <w:r>
              <w:rPr>
                <w:rFonts w:hint="eastAsia"/>
                <w:color w:val="auto"/>
                <w:sz w:val="21"/>
                <w:szCs w:val="21"/>
                <w:highlight w:val="none"/>
                <w:lang w:val="en-US" w:eastAsia="zh-CN"/>
              </w:rPr>
              <w:t>生态环境分区管控</w:t>
            </w:r>
            <w:r>
              <w:rPr>
                <w:rFonts w:hint="eastAsia"/>
                <w:color w:val="auto"/>
                <w:sz w:val="21"/>
                <w:szCs w:val="21"/>
                <w:highlight w:val="none"/>
              </w:rPr>
              <w:t>相关要求，符合国家产业政策。经采取落实本环评提出的各项环保措施后，各类污染物均能达标排放，且对当地环境容量影响较小，从环境保护角度本项目环境影响可行。</w:t>
            </w:r>
          </w:p>
          <w:p w14:paraId="5DE75534">
            <w:pPr>
              <w:adjustRightInd w:val="0"/>
              <w:snapToGrid w:val="0"/>
              <w:ind w:firstLine="315"/>
              <w:jc w:val="both"/>
              <w:rPr>
                <w:rFonts w:ascii="宋体" w:hAnsi="宋体" w:cs="宋体"/>
                <w:color w:val="auto"/>
                <w:szCs w:val="21"/>
                <w:highlight w:val="none"/>
              </w:rPr>
            </w:pPr>
          </w:p>
        </w:tc>
      </w:tr>
    </w:tbl>
    <w:p w14:paraId="2FE6CEB6">
      <w:pPr>
        <w:rPr>
          <w:rFonts w:ascii="宋体"/>
          <w:color w:val="auto"/>
          <w:highlight w:val="none"/>
        </w:rPr>
      </w:pPr>
    </w:p>
    <w:p w14:paraId="74C05C5C">
      <w:pPr>
        <w:widowControl/>
        <w:adjustRightInd w:val="0"/>
        <w:snapToGrid w:val="0"/>
        <w:spacing w:before="192" w:beforeLines="80"/>
        <w:jc w:val="left"/>
        <w:rPr>
          <w:rFonts w:ascii="黑体" w:hAnsi="黑体" w:eastAsia="黑体"/>
          <w:snapToGrid w:val="0"/>
          <w:color w:val="auto"/>
          <w:sz w:val="32"/>
          <w:szCs w:val="32"/>
          <w:highlight w:val="none"/>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14:paraId="727E7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ascii="宋体" w:hAnsi="宋体" w:eastAsia="宋体" w:cs="Times New Roman"/>
          <w:color w:val="auto"/>
          <w:kern w:val="0"/>
          <w:sz w:val="24"/>
          <w:szCs w:val="20"/>
          <w:highlight w:val="none"/>
          <w:lang w:val="en-US" w:eastAsia="zh-CN" w:bidi="ar-SA"/>
        </w:rPr>
      </w:pPr>
      <w:r>
        <w:rPr>
          <w:color w:val="auto"/>
          <w:sz w:val="24"/>
          <w:highlight w:val="none"/>
        </w:rPr>
        <mc:AlternateContent>
          <mc:Choice Requires="wpg">
            <w:drawing>
              <wp:anchor distT="0" distB="0" distL="114300" distR="114300" simplePos="0" relativeHeight="251659264" behindDoc="0" locked="0" layoutInCell="1" allowOverlap="1">
                <wp:simplePos x="0" y="0"/>
                <wp:positionH relativeFrom="column">
                  <wp:posOffset>4148455</wp:posOffset>
                </wp:positionH>
                <wp:positionV relativeFrom="paragraph">
                  <wp:posOffset>2656840</wp:posOffset>
                </wp:positionV>
                <wp:extent cx="857250" cy="457835"/>
                <wp:effectExtent l="13970" t="0" r="0" b="16510"/>
                <wp:wrapNone/>
                <wp:docPr id="5" name="组合 16"/>
                <wp:cNvGraphicFramePr/>
                <a:graphic xmlns:a="http://schemas.openxmlformats.org/drawingml/2006/main">
                  <a:graphicData uri="http://schemas.microsoft.com/office/word/2010/wordprocessingGroup">
                    <wpg:wgp>
                      <wpg:cNvGrpSpPr/>
                      <wpg:grpSpPr>
                        <a:xfrm>
                          <a:off x="0" y="0"/>
                          <a:ext cx="857250" cy="457835"/>
                          <a:chOff x="8597" y="468324"/>
                          <a:chExt cx="1350" cy="721"/>
                        </a:xfrm>
                      </wpg:grpSpPr>
                      <wps:wsp>
                        <wps:cNvPr id="1" name="自选图形 12"/>
                        <wps:cNvSpPr/>
                        <wps:spPr>
                          <a:xfrm>
                            <a:off x="8597" y="468925"/>
                            <a:ext cx="120" cy="120"/>
                          </a:xfrm>
                          <a:prstGeom prst="star5">
                            <a:avLst/>
                          </a:prstGeom>
                          <a:noFill/>
                          <a:ln w="9525" cap="flat" cmpd="sng">
                            <a:solidFill>
                              <a:srgbClr val="3203FB"/>
                            </a:solidFill>
                            <a:prstDash val="solid"/>
                            <a:miter/>
                            <a:headEnd type="none" w="med" len="med"/>
                            <a:tailEnd type="none" w="med" len="med"/>
                          </a:ln>
                        </wps:spPr>
                        <wps:bodyPr vert="horz" wrap="square" anchor="t" anchorCtr="0" upright="1"/>
                      </wps:wsp>
                      <wps:wsp>
                        <wps:cNvPr id="2" name="直线 11"/>
                        <wps:cNvCnPr/>
                        <wps:spPr>
                          <a:xfrm flipV="1">
                            <a:off x="8689" y="468632"/>
                            <a:ext cx="217" cy="330"/>
                          </a:xfrm>
                          <a:prstGeom prst="line">
                            <a:avLst/>
                          </a:prstGeom>
                          <a:ln w="9525" cap="flat" cmpd="sng">
                            <a:solidFill>
                              <a:srgbClr val="000000"/>
                            </a:solidFill>
                            <a:prstDash val="solid"/>
                            <a:headEnd type="none" w="med" len="med"/>
                            <a:tailEnd type="none" w="med" len="med"/>
                          </a:ln>
                        </wps:spPr>
                        <wps:bodyPr upright="1"/>
                      </wps:wsp>
                      <wps:wsp>
                        <wps:cNvPr id="3" name="直线 10"/>
                        <wps:cNvCnPr/>
                        <wps:spPr>
                          <a:xfrm>
                            <a:off x="8906" y="468618"/>
                            <a:ext cx="540" cy="1"/>
                          </a:xfrm>
                          <a:prstGeom prst="line">
                            <a:avLst/>
                          </a:prstGeom>
                          <a:ln w="9525" cap="flat" cmpd="sng">
                            <a:solidFill>
                              <a:srgbClr val="000000"/>
                            </a:solidFill>
                            <a:prstDash val="solid"/>
                            <a:headEnd type="none" w="med" len="med"/>
                            <a:tailEnd type="none" w="med" len="med"/>
                          </a:ln>
                        </wps:spPr>
                        <wps:bodyPr upright="1"/>
                      </wps:wsp>
                      <wps:wsp>
                        <wps:cNvPr id="4" name="矩形 9"/>
                        <wps:cNvSpPr/>
                        <wps:spPr>
                          <a:xfrm>
                            <a:off x="8747" y="468324"/>
                            <a:ext cx="1200" cy="382"/>
                          </a:xfrm>
                          <a:prstGeom prst="rect">
                            <a:avLst/>
                          </a:prstGeom>
                          <a:noFill/>
                          <a:ln>
                            <a:noFill/>
                          </a:ln>
                        </wps:spPr>
                        <wps:txbx>
                          <w:txbxContent>
                            <w:p w14:paraId="23FCF9DC">
                              <w:pPr>
                                <w:rPr>
                                  <w:rFonts w:hint="default" w:ascii="Times New Roman" w:hAnsi="Times New Roman" w:eastAsia="宋体" w:cs="Times New Roman"/>
                                  <w:b/>
                                  <w:bCs/>
                                  <w:sz w:val="15"/>
                                  <w:szCs w:val="15"/>
                                  <w:lang w:val="en-US" w:eastAsia="zh-CN"/>
                                </w:rPr>
                              </w:pPr>
                              <w:r>
                                <w:rPr>
                                  <w:rFonts w:hint="eastAsia" w:ascii="Times New Roman" w:hAnsi="Times New Roman" w:eastAsia="宋体" w:cs="Times New Roman"/>
                                  <w:b/>
                                  <w:bCs/>
                                  <w:sz w:val="15"/>
                                  <w:szCs w:val="15"/>
                                  <w:lang w:val="en-US" w:eastAsia="zh-CN"/>
                                </w:rPr>
                                <w:t>本项目位置</w:t>
                              </w:r>
                            </w:p>
                          </w:txbxContent>
                        </wps:txbx>
                        <wps:bodyPr vert="horz" wrap="square" anchor="t" anchorCtr="0" upright="1"/>
                      </wps:wsp>
                    </wpg:wgp>
                  </a:graphicData>
                </a:graphic>
              </wp:anchor>
            </w:drawing>
          </mc:Choice>
          <mc:Fallback>
            <w:pict>
              <v:group id="组合 16" o:spid="_x0000_s1026" o:spt="203" style="position:absolute;left:0pt;margin-left:326.65pt;margin-top:209.2pt;height:36.05pt;width:67.5pt;z-index:251659264;mso-width-relative:page;mso-height-relative:page;" coordorigin="8597,468324" coordsize="1350,721" o:gfxdata="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">
                <o:lock v:ext="edit" aspectratio="f"/>
                <v:shape id="自选图形 12" o:spid="_x0000_s1026" style="position:absolute;left:8597;top:468925;height:120;width:120;" filled="f" stroked="t" coordsize="120,120" o:gfxdata="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H76pugAAANoA&#10;AAAPAAAAAAAAAAEAIAAAACIAAABkcnMvZG93bnJldi54bWxQSwECFAAUAAAACACHTuJAMy8FnjsA&#10;AAA5AAAAEAAAAAAAAAABACAAAAAJAQAAZHJzL3NoYXBleG1sLnhtbFBLBQYAAAAABgAGAFsBAACz&#10;AwAAAAA=&#10;" path="m0,45l45,45,60,0,74,45,119,45,82,74,97,119,60,91,22,119,37,74xe">
                  <v:path o:connectlocs="60,0;0,45;22,119;97,119;119,45" o:connectangles="247,164,82,82,0"/>
                  <v:fill on="f" focussize="0,0"/>
                  <v:stroke color="#3203FB" joinstyle="miter"/>
                  <v:imagedata o:title=""/>
                  <o:lock v:ext="edit" aspectratio="f"/>
                </v:shape>
                <v:line id="直线 11" o:spid="_x0000_s1026" o:spt="20" style="position:absolute;left:8689;top:468632;flip:y;height:330;width:217;" filled="f" stroked="t" coordsize="21600,21600" o:gfxdata="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Hc0or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10" o:spid="_x0000_s1026" o:spt="20" style="position:absolute;left:8906;top:468618;height:1;width:540;" filled="f" stroked="t" coordsize="21600,21600" o:gfxdata="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etGi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矩形 9" o:spid="_x0000_s1026" o:spt="1" style="position:absolute;left:8747;top:468324;height:382;width:1200;" filled="f" stroked="f" coordsize="21600,21600" o:gfxdata="UEsDBAoAAAAAAIdO4kAAAAAAAAAAAAAAAAAEAAAAZHJzL1BLAwQUAAAACACHTuJA3E+K1b0AAADa&#10;AAAADwAAAGRycy9kb3ducmV2LnhtbEWPQWvCQBSE74X+h+UVvJRmo0g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4rV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3FCF9DC">
                        <w:pPr>
                          <w:rPr>
                            <w:rFonts w:hint="default" w:ascii="Times New Roman" w:hAnsi="Times New Roman" w:eastAsia="宋体" w:cs="Times New Roman"/>
                            <w:b/>
                            <w:bCs/>
                            <w:sz w:val="15"/>
                            <w:szCs w:val="15"/>
                            <w:lang w:val="en-US" w:eastAsia="zh-CN"/>
                          </w:rPr>
                        </w:pPr>
                        <w:r>
                          <w:rPr>
                            <w:rFonts w:hint="eastAsia" w:ascii="Times New Roman" w:hAnsi="Times New Roman" w:eastAsia="宋体" w:cs="Times New Roman"/>
                            <w:b/>
                            <w:bCs/>
                            <w:sz w:val="15"/>
                            <w:szCs w:val="15"/>
                            <w:lang w:val="en-US" w:eastAsia="zh-CN"/>
                          </w:rPr>
                          <w:t>本项目位置</w:t>
                        </w:r>
                      </w:p>
                    </w:txbxContent>
                  </v:textbox>
                </v:rect>
              </v:group>
            </w:pict>
          </mc:Fallback>
        </mc:AlternateContent>
      </w:r>
      <w:r>
        <w:rPr>
          <w:rFonts w:ascii="宋体" w:hAnsi="宋体" w:eastAsia="宋体" w:cs="Times New Roman"/>
          <w:color w:val="auto"/>
          <w:kern w:val="0"/>
          <w:sz w:val="24"/>
          <w:szCs w:val="20"/>
          <w:highlight w:val="none"/>
          <w:lang w:val="en-US" w:eastAsia="zh-CN" w:bidi="ar-SA"/>
        </w:rPr>
        <w:drawing>
          <wp:inline distT="0" distB="0" distL="114300" distR="114300">
            <wp:extent cx="7289165" cy="5156200"/>
            <wp:effectExtent l="0" t="0" r="6985" b="6350"/>
            <wp:docPr id="58"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2" descr="IMG_256"/>
                    <pic:cNvPicPr>
                      <a:picLocks noChangeAspect="1"/>
                    </pic:cNvPicPr>
                  </pic:nvPicPr>
                  <pic:blipFill>
                    <a:blip r:embed="rId11"/>
                    <a:stretch>
                      <a:fillRect/>
                    </a:stretch>
                  </pic:blipFill>
                  <pic:spPr>
                    <a:xfrm>
                      <a:off x="0" y="0"/>
                      <a:ext cx="7289165" cy="5156200"/>
                    </a:xfrm>
                    <a:prstGeom prst="rect">
                      <a:avLst/>
                    </a:prstGeom>
                    <a:noFill/>
                    <a:ln>
                      <a:noFill/>
                    </a:ln>
                  </pic:spPr>
                </pic:pic>
              </a:graphicData>
            </a:graphic>
          </wp:inline>
        </w:drawing>
      </w:r>
    </w:p>
    <w:p w14:paraId="07157E94">
      <w:pPr>
        <w:widowControl w:val="0"/>
        <w:spacing w:before="0" w:beforeAutospacing="0" w:after="0" w:afterAutospacing="0" w:line="360" w:lineRule="auto"/>
        <w:ind w:firstLine="422" w:firstLineChars="200"/>
        <w:jc w:val="center"/>
        <w:rPr>
          <w:rFonts w:hint="eastAsia" w:ascii="Times New Roman" w:hAnsi="Times New Roman"/>
          <w:b/>
          <w:bCs/>
          <w:color w:val="auto"/>
          <w:sz w:val="21"/>
          <w:szCs w:val="21"/>
          <w:highlight w:val="none"/>
        </w:rPr>
        <w:sectPr>
          <w:footerReference r:id="rId5" w:type="default"/>
          <w:pgSz w:w="16840" w:h="11907" w:orient="landscape"/>
          <w:pgMar w:top="1588" w:right="1701" w:bottom="1588" w:left="1701" w:header="1304" w:footer="1134" w:gutter="0"/>
          <w:pgBorders>
            <w:top w:val="none" w:sz="0" w:space="0"/>
            <w:left w:val="none" w:sz="0" w:space="0"/>
            <w:bottom w:val="none" w:sz="0" w:space="0"/>
            <w:right w:val="none" w:sz="0" w:space="0"/>
          </w:pgBorders>
          <w:pgNumType w:fmt="decimal" w:chapStyle="1"/>
          <w:cols w:space="720" w:num="1"/>
          <w:docGrid w:linePitch="312" w:charSpace="0"/>
        </w:sectPr>
      </w:pPr>
      <w:r>
        <w:rPr>
          <w:rFonts w:hint="eastAsia" w:ascii="Times New Roman" w:hAnsi="Times New Roman" w:eastAsia="宋体" w:cs="Times New Roman"/>
          <w:b/>
          <w:bCs/>
          <w:color w:val="auto"/>
          <w:kern w:val="0"/>
          <w:sz w:val="21"/>
          <w:szCs w:val="21"/>
          <w:highlight w:val="none"/>
          <w:shd w:val="clear" w:color="auto" w:fill="FFFFFF"/>
          <w:lang w:val="en-US" w:eastAsia="zh-CN" w:bidi="ar-SA"/>
        </w:rPr>
        <w:t>附图1       本项目在鄂尔多斯市</w:t>
      </w:r>
      <w:r>
        <w:rPr>
          <w:rFonts w:ascii="Times New Roman" w:hAnsi="Times New Roman" w:eastAsia="宋体" w:cs="Times New Roman"/>
          <w:b/>
          <w:bCs/>
          <w:color w:val="auto"/>
          <w:kern w:val="0"/>
          <w:sz w:val="21"/>
          <w:szCs w:val="21"/>
          <w:highlight w:val="none"/>
          <w:lang w:val="en-US" w:eastAsia="zh-CN" w:bidi="ar-SA"/>
        </w:rPr>
        <w:t>环境管控单元</w:t>
      </w:r>
      <w:r>
        <w:rPr>
          <w:rFonts w:hint="eastAsia" w:ascii="Times New Roman" w:hAnsi="Times New Roman" w:eastAsia="宋体" w:cs="Times New Roman"/>
          <w:b/>
          <w:bCs/>
          <w:color w:val="auto"/>
          <w:kern w:val="0"/>
          <w:sz w:val="21"/>
          <w:szCs w:val="21"/>
          <w:highlight w:val="none"/>
          <w:lang w:val="en-US" w:eastAsia="zh-CN" w:bidi="ar-SA"/>
        </w:rPr>
        <w:t>中的位置关系图</w:t>
      </w:r>
    </w:p>
    <w:p w14:paraId="09EA5221">
      <w:pPr>
        <w:jc w:val="center"/>
        <w:rPr>
          <w:rFonts w:ascii="Times New Roman" w:hAnsi="Times New Roman" w:eastAsia="宋体" w:cs="Times New Roman"/>
          <w:color w:val="auto"/>
          <w:highlight w:val="none"/>
        </w:rPr>
      </w:pPr>
      <w:r>
        <w:rPr>
          <w:color w:val="auto"/>
          <w:sz w:val="21"/>
          <w:highlight w:val="none"/>
        </w:rPr>
        <mc:AlternateContent>
          <mc:Choice Requires="wpg">
            <w:drawing>
              <wp:anchor distT="0" distB="0" distL="114300" distR="114300" simplePos="0" relativeHeight="251660288" behindDoc="0" locked="0" layoutInCell="1" allowOverlap="1">
                <wp:simplePos x="0" y="0"/>
                <wp:positionH relativeFrom="column">
                  <wp:posOffset>694690</wp:posOffset>
                </wp:positionH>
                <wp:positionV relativeFrom="paragraph">
                  <wp:posOffset>-73660</wp:posOffset>
                </wp:positionV>
                <wp:extent cx="7407910" cy="5237480"/>
                <wp:effectExtent l="0" t="0" r="2540" b="1270"/>
                <wp:wrapNone/>
                <wp:docPr id="9" name="组合 17"/>
                <wp:cNvGraphicFramePr/>
                <a:graphic xmlns:a="http://schemas.openxmlformats.org/drawingml/2006/main">
                  <a:graphicData uri="http://schemas.microsoft.com/office/word/2010/wordprocessingGroup">
                    <wpg:wgp>
                      <wpg:cNvGrpSpPr/>
                      <wpg:grpSpPr>
                        <a:xfrm>
                          <a:off x="0" y="0"/>
                          <a:ext cx="7407910" cy="5237480"/>
                          <a:chOff x="3159" y="476157"/>
                          <a:chExt cx="11666" cy="8248"/>
                        </a:xfrm>
                      </wpg:grpSpPr>
                      <pic:pic xmlns:pic="http://schemas.openxmlformats.org/drawingml/2006/picture">
                        <pic:nvPicPr>
                          <pic:cNvPr id="6" name="图片 67" descr="鄂尔多斯生态保护红线"/>
                          <pic:cNvPicPr>
                            <a:picLocks noChangeAspect="1"/>
                          </pic:cNvPicPr>
                        </pic:nvPicPr>
                        <pic:blipFill>
                          <a:blip r:embed="rId12"/>
                          <a:stretch>
                            <a:fillRect/>
                          </a:stretch>
                        </pic:blipFill>
                        <pic:spPr>
                          <a:xfrm>
                            <a:off x="3159" y="476157"/>
                            <a:ext cx="11667" cy="8249"/>
                          </a:xfrm>
                          <a:prstGeom prst="rect">
                            <a:avLst/>
                          </a:prstGeom>
                          <a:noFill/>
                          <a:ln>
                            <a:noFill/>
                          </a:ln>
                        </pic:spPr>
                      </pic:pic>
                      <wps:wsp>
                        <wps:cNvPr id="7" name="自选图形 65"/>
                        <wps:cNvSpPr/>
                        <wps:spPr>
                          <a:xfrm>
                            <a:off x="9814" y="480533"/>
                            <a:ext cx="120" cy="120"/>
                          </a:xfrm>
                          <a:prstGeom prst="star5">
                            <a:avLst/>
                          </a:prstGeom>
                          <a:solidFill>
                            <a:srgbClr val="FF0000"/>
                          </a:solidFill>
                          <a:ln w="9525" cap="flat" cmpd="sng">
                            <a:solidFill>
                              <a:srgbClr val="FF0000"/>
                            </a:solidFill>
                            <a:prstDash val="solid"/>
                            <a:miter/>
                            <a:headEnd type="none" w="med" len="med"/>
                            <a:tailEnd type="none" w="med" len="med"/>
                          </a:ln>
                        </wps:spPr>
                        <wps:bodyPr vert="horz" wrap="square" anchor="t" anchorCtr="0" upright="1"/>
                      </wps:wsp>
                      <wps:wsp>
                        <wps:cNvPr id="8" name="自选图形 66"/>
                        <wps:cNvSpPr/>
                        <wps:spPr>
                          <a:xfrm>
                            <a:off x="10584" y="479859"/>
                            <a:ext cx="1386" cy="420"/>
                          </a:xfrm>
                          <a:prstGeom prst="wedgeRectCallout">
                            <a:avLst>
                              <a:gd name="adj1" fmla="val -94583"/>
                              <a:gd name="adj2" fmla="val 121903"/>
                            </a:avLst>
                          </a:prstGeom>
                          <a:solidFill>
                            <a:srgbClr val="FFFFFF"/>
                          </a:solidFill>
                          <a:ln w="9525" cap="flat" cmpd="sng">
                            <a:solidFill>
                              <a:srgbClr val="000000"/>
                            </a:solidFill>
                            <a:prstDash val="solid"/>
                            <a:miter/>
                            <a:headEnd type="none" w="med" len="med"/>
                            <a:tailEnd type="none" w="med" len="med"/>
                          </a:ln>
                        </wps:spPr>
                        <wps:txbx>
                          <w:txbxContent>
                            <w:p w14:paraId="035C90E3">
                              <w:pPr>
                                <w:rPr>
                                  <w:rFonts w:ascii="Times New Roman" w:hAnsi="Times New Roman" w:eastAsia="宋体" w:cs="Times New Roman"/>
                                  <w:szCs w:val="21"/>
                                </w:rPr>
                              </w:pPr>
                              <w:r>
                                <w:rPr>
                                  <w:rFonts w:hint="eastAsia" w:ascii="Times New Roman" w:hAnsi="Times New Roman" w:eastAsia="宋体" w:cs="Times New Roman"/>
                                  <w:szCs w:val="21"/>
                                </w:rPr>
                                <w:t>本项目位置</w:t>
                              </w:r>
                            </w:p>
                          </w:txbxContent>
                        </wps:txbx>
                        <wps:bodyPr vert="horz" wrap="square" anchor="t" anchorCtr="0" upright="1"/>
                      </wps:wsp>
                    </wpg:wgp>
                  </a:graphicData>
                </a:graphic>
              </wp:anchor>
            </w:drawing>
          </mc:Choice>
          <mc:Fallback>
            <w:pict>
              <v:group id="组合 17" o:spid="_x0000_s1026" o:spt="203" style="position:absolute;left:0pt;margin-left:54.7pt;margin-top:-5.8pt;height:412.4pt;width:583.3pt;z-index:251660288;mso-width-relative:page;mso-height-relative:page;" coordorigin="3159,476157" coordsize="11666,8248" o:gfxdata="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">
                <o:lock v:ext="edit" aspectratio="f"/>
                <v:shape id="图片 67" o:spid="_x0000_s1026" o:spt="75" alt="鄂尔多斯生态保护红线" type="#_x0000_t75" style="position:absolute;left:3159;top:476157;height:8249;width:11667;" filled="f" o:preferrelative="t" stroked="f" coordsize="21600,21600" o:gfxdata="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nqqNr4A&#10;AADaAAAADwAAAAAAAAABACAAAAAiAAAAZHJzL2Rvd25yZXYueG1sUEsBAhQAFAAAAAgAh07iQDMv&#10;BZ47AAAAOQAAABAAAAAAAAAAAQAgAAAADQEAAGRycy9zaGFwZXhtbC54bWxQSwUGAAAAAAYABgBb&#10;AQAAtwMAAAAA&#10;">
                  <v:fill on="f" focussize="0,0"/>
                  <v:stroke on="f"/>
                  <v:imagedata r:id="rId12" o:title=""/>
                  <o:lock v:ext="edit" aspectratio="t"/>
                </v:shape>
                <v:shape id="自选图形 65" o:spid="_x0000_s1026" style="position:absolute;left:9814;top:480533;height:120;width:120;" fillcolor="#FF0000" filled="t" stroked="t" coordsize="120,120" o:gfxdata="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TqY2LsAAADa&#10;AAAADwAAAAAAAAABACAAAAAiAAAAZHJzL2Rvd25yZXYueG1sUEsBAhQAFAAAAAgAh07iQDMvBZ47&#10;AAAAOQAAABAAAAAAAAAAAQAgAAAACgEAAGRycy9zaGFwZXhtbC54bWxQSwUGAAAAAAYABgBbAQAA&#10;tAMAAAAA&#10;" path="m0,45l45,45,60,0,74,45,119,45,82,74,97,119,60,91,22,119,37,74xe">
                  <v:path o:connectlocs="60,0;0,45;22,119;97,119;119,45" o:connectangles="247,164,82,82,0"/>
                  <v:fill on="t" focussize="0,0"/>
                  <v:stroke color="#FF0000" joinstyle="miter"/>
                  <v:imagedata o:title=""/>
                  <o:lock v:ext="edit" aspectratio="f"/>
                </v:shape>
                <v:shape id="自选图形 66" o:spid="_x0000_s1026" o:spt="61" type="#_x0000_t61" style="position:absolute;left:10584;top:479859;height:420;width:1386;" fillcolor="#FFFFFF" filled="t" stroked="t" coordsize="21600,21600" o:gfxdata="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0XaYTugAAANoA&#10;AAAPAAAAAAAAAAEAIAAAACIAAABkcnMvZG93bnJldi54bWxQSwECFAAUAAAACACHTuJAMy8FnjsA&#10;AAA5AAAAEAAAAAAAAAABACAAAAAJAQAAZHJzL3NoYXBleG1sLnhtbFBLBQYAAAAABgAGAFsBAACz&#10;AwAAAAA=&#10;" adj="-9630,37131">
                  <v:fill on="t" focussize="0,0"/>
                  <v:stroke color="#000000" joinstyle="miter"/>
                  <v:imagedata o:title=""/>
                  <o:lock v:ext="edit" aspectratio="f"/>
                  <v:textbox>
                    <w:txbxContent>
                      <w:p w14:paraId="035C90E3">
                        <w:pPr>
                          <w:rPr>
                            <w:rFonts w:ascii="Times New Roman" w:hAnsi="Times New Roman" w:eastAsia="宋体" w:cs="Times New Roman"/>
                            <w:szCs w:val="21"/>
                          </w:rPr>
                        </w:pPr>
                        <w:r>
                          <w:rPr>
                            <w:rFonts w:hint="eastAsia" w:ascii="Times New Roman" w:hAnsi="Times New Roman" w:eastAsia="宋体" w:cs="Times New Roman"/>
                            <w:szCs w:val="21"/>
                          </w:rPr>
                          <w:t>本项目位置</w:t>
                        </w:r>
                      </w:p>
                    </w:txbxContent>
                  </v:textbox>
                </v:shape>
              </v:group>
            </w:pict>
          </mc:Fallback>
        </mc:AlternateContent>
      </w:r>
    </w:p>
    <w:p w14:paraId="355F4B8A">
      <w:pPr>
        <w:pStyle w:val="23"/>
        <w:rPr>
          <w:rFonts w:ascii="Times New Roman" w:hAnsi="Times New Roman" w:eastAsia="宋体" w:cs="Times New Roman"/>
          <w:color w:val="auto"/>
          <w:highlight w:val="none"/>
        </w:rPr>
      </w:pPr>
    </w:p>
    <w:p w14:paraId="1160276D">
      <w:pPr>
        <w:rPr>
          <w:rFonts w:ascii="Times New Roman" w:hAnsi="Times New Roman" w:eastAsia="宋体" w:cs="Times New Roman"/>
          <w:color w:val="auto"/>
          <w:highlight w:val="none"/>
        </w:rPr>
      </w:pPr>
    </w:p>
    <w:p w14:paraId="5D573245">
      <w:pPr>
        <w:pStyle w:val="23"/>
        <w:rPr>
          <w:rFonts w:ascii="Times New Roman" w:hAnsi="Times New Roman" w:eastAsia="宋体" w:cs="Times New Roman"/>
          <w:color w:val="auto"/>
          <w:highlight w:val="none"/>
        </w:rPr>
      </w:pPr>
    </w:p>
    <w:p w14:paraId="163DEF5D">
      <w:pPr>
        <w:rPr>
          <w:rFonts w:ascii="Times New Roman" w:hAnsi="Times New Roman" w:eastAsia="宋体" w:cs="Times New Roman"/>
          <w:color w:val="auto"/>
          <w:highlight w:val="none"/>
        </w:rPr>
      </w:pPr>
    </w:p>
    <w:p w14:paraId="6999AB8F">
      <w:pPr>
        <w:pStyle w:val="23"/>
        <w:rPr>
          <w:rFonts w:ascii="Times New Roman" w:hAnsi="Times New Roman" w:eastAsia="宋体" w:cs="Times New Roman"/>
          <w:color w:val="auto"/>
          <w:highlight w:val="none"/>
        </w:rPr>
      </w:pPr>
    </w:p>
    <w:p w14:paraId="19C9D1E4">
      <w:pPr>
        <w:rPr>
          <w:rFonts w:ascii="Times New Roman" w:hAnsi="Times New Roman" w:eastAsia="宋体" w:cs="Times New Roman"/>
          <w:color w:val="auto"/>
          <w:highlight w:val="none"/>
        </w:rPr>
      </w:pPr>
    </w:p>
    <w:p w14:paraId="570AD837">
      <w:pPr>
        <w:pStyle w:val="23"/>
        <w:rPr>
          <w:rFonts w:ascii="Times New Roman" w:hAnsi="Times New Roman" w:eastAsia="宋体" w:cs="Times New Roman"/>
          <w:color w:val="auto"/>
          <w:highlight w:val="none"/>
        </w:rPr>
      </w:pPr>
    </w:p>
    <w:p w14:paraId="71ED619B">
      <w:pPr>
        <w:rPr>
          <w:rFonts w:ascii="Times New Roman" w:hAnsi="Times New Roman" w:eastAsia="宋体" w:cs="Times New Roman"/>
          <w:color w:val="auto"/>
          <w:highlight w:val="none"/>
        </w:rPr>
      </w:pPr>
    </w:p>
    <w:p w14:paraId="3F2A4D1F">
      <w:pPr>
        <w:pStyle w:val="23"/>
        <w:rPr>
          <w:rFonts w:ascii="Times New Roman" w:hAnsi="Times New Roman" w:eastAsia="宋体" w:cs="Times New Roman"/>
          <w:color w:val="auto"/>
          <w:highlight w:val="none"/>
        </w:rPr>
      </w:pPr>
    </w:p>
    <w:p w14:paraId="7FE5611D">
      <w:pPr>
        <w:rPr>
          <w:rFonts w:ascii="Times New Roman" w:hAnsi="Times New Roman" w:eastAsia="宋体" w:cs="Times New Roman"/>
          <w:color w:val="auto"/>
          <w:highlight w:val="none"/>
        </w:rPr>
      </w:pPr>
    </w:p>
    <w:p w14:paraId="5B32B330">
      <w:pPr>
        <w:pStyle w:val="23"/>
        <w:rPr>
          <w:rFonts w:ascii="Times New Roman" w:hAnsi="Times New Roman" w:eastAsia="宋体" w:cs="Times New Roman"/>
          <w:color w:val="auto"/>
          <w:highlight w:val="none"/>
        </w:rPr>
      </w:pPr>
    </w:p>
    <w:p w14:paraId="37327724">
      <w:pPr>
        <w:rPr>
          <w:rFonts w:ascii="Times New Roman" w:hAnsi="Times New Roman" w:eastAsia="宋体" w:cs="Times New Roman"/>
          <w:color w:val="auto"/>
          <w:highlight w:val="none"/>
        </w:rPr>
      </w:pPr>
    </w:p>
    <w:p w14:paraId="1427465E">
      <w:pPr>
        <w:pStyle w:val="23"/>
        <w:rPr>
          <w:rFonts w:ascii="Times New Roman" w:hAnsi="Times New Roman" w:eastAsia="宋体" w:cs="Times New Roman"/>
          <w:color w:val="auto"/>
          <w:highlight w:val="none"/>
        </w:rPr>
      </w:pPr>
    </w:p>
    <w:p w14:paraId="7550263D">
      <w:pPr>
        <w:rPr>
          <w:rFonts w:ascii="Times New Roman" w:hAnsi="Times New Roman" w:eastAsia="宋体" w:cs="Times New Roman"/>
          <w:color w:val="auto"/>
          <w:highlight w:val="none"/>
        </w:rPr>
      </w:pPr>
    </w:p>
    <w:p w14:paraId="4CAAE540">
      <w:pPr>
        <w:pStyle w:val="23"/>
        <w:rPr>
          <w:rFonts w:ascii="Times New Roman" w:hAnsi="Times New Roman" w:eastAsia="宋体" w:cs="Times New Roman"/>
          <w:color w:val="auto"/>
          <w:highlight w:val="none"/>
        </w:rPr>
      </w:pPr>
    </w:p>
    <w:p w14:paraId="6959BCA5">
      <w:pPr>
        <w:rPr>
          <w:rFonts w:ascii="Times New Roman" w:hAnsi="Times New Roman" w:eastAsia="宋体" w:cs="Times New Roman"/>
          <w:color w:val="auto"/>
          <w:highlight w:val="none"/>
        </w:rPr>
      </w:pPr>
    </w:p>
    <w:p w14:paraId="684E0C47">
      <w:pPr>
        <w:pStyle w:val="23"/>
        <w:rPr>
          <w:rFonts w:ascii="Times New Roman" w:hAnsi="Times New Roman" w:eastAsia="宋体" w:cs="Times New Roman"/>
          <w:color w:val="auto"/>
          <w:highlight w:val="none"/>
        </w:rPr>
      </w:pPr>
    </w:p>
    <w:p w14:paraId="6B86801C">
      <w:pPr>
        <w:rPr>
          <w:rFonts w:ascii="Times New Roman" w:hAnsi="Times New Roman" w:eastAsia="宋体" w:cs="Times New Roman"/>
          <w:color w:val="auto"/>
          <w:highlight w:val="none"/>
        </w:rPr>
      </w:pPr>
    </w:p>
    <w:p w14:paraId="2CB9B90F">
      <w:pPr>
        <w:pStyle w:val="23"/>
        <w:rPr>
          <w:rFonts w:ascii="Times New Roman" w:hAnsi="Times New Roman" w:eastAsia="宋体" w:cs="Times New Roman"/>
          <w:color w:val="auto"/>
          <w:highlight w:val="none"/>
        </w:rPr>
      </w:pPr>
    </w:p>
    <w:p w14:paraId="0A7A7B65">
      <w:pPr>
        <w:rPr>
          <w:rFonts w:ascii="Times New Roman" w:hAnsi="Times New Roman" w:eastAsia="宋体" w:cs="Times New Roman"/>
          <w:color w:val="auto"/>
          <w:highlight w:val="none"/>
        </w:rPr>
      </w:pPr>
    </w:p>
    <w:p w14:paraId="02EC242F">
      <w:pPr>
        <w:pStyle w:val="23"/>
        <w:rPr>
          <w:rFonts w:ascii="Times New Roman" w:hAnsi="Times New Roman" w:eastAsia="宋体" w:cs="Times New Roman"/>
          <w:color w:val="auto"/>
          <w:highlight w:val="none"/>
        </w:rPr>
      </w:pPr>
    </w:p>
    <w:p w14:paraId="1B3B9713">
      <w:pPr>
        <w:rPr>
          <w:rFonts w:ascii="Times New Roman" w:hAnsi="Times New Roman" w:eastAsia="宋体" w:cs="Times New Roman"/>
          <w:color w:val="auto"/>
          <w:highlight w:val="none"/>
        </w:rPr>
      </w:pPr>
    </w:p>
    <w:p w14:paraId="1C21259A">
      <w:pPr>
        <w:pStyle w:val="23"/>
        <w:rPr>
          <w:rFonts w:ascii="Times New Roman" w:hAnsi="Times New Roman" w:eastAsia="宋体" w:cs="Times New Roman"/>
          <w:color w:val="auto"/>
          <w:highlight w:val="none"/>
        </w:rPr>
      </w:pPr>
    </w:p>
    <w:p w14:paraId="38ED39EF">
      <w:pPr>
        <w:rPr>
          <w:rFonts w:ascii="Times New Roman" w:hAnsi="Times New Roman" w:eastAsia="宋体" w:cs="Times New Roman"/>
          <w:color w:val="auto"/>
          <w:highlight w:val="none"/>
        </w:rPr>
      </w:pPr>
    </w:p>
    <w:p w14:paraId="65317F06">
      <w:pPr>
        <w:pStyle w:val="23"/>
        <w:rPr>
          <w:rFonts w:ascii="Times New Roman" w:hAnsi="Times New Roman" w:eastAsia="宋体" w:cs="Times New Roman"/>
          <w:color w:val="auto"/>
          <w:highlight w:val="none"/>
        </w:rPr>
      </w:pPr>
    </w:p>
    <w:p w14:paraId="1FF84414">
      <w:pPr>
        <w:rPr>
          <w:rFonts w:ascii="Times New Roman" w:hAnsi="Times New Roman" w:eastAsia="宋体" w:cs="Times New Roman"/>
          <w:color w:val="auto"/>
          <w:highlight w:val="none"/>
        </w:rPr>
      </w:pPr>
    </w:p>
    <w:p w14:paraId="3F9B7FA5">
      <w:pPr>
        <w:jc w:val="center"/>
        <w:rPr>
          <w:rFonts w:ascii="Times New Roman" w:hAnsi="Times New Roman" w:eastAsia="宋体" w:cs="Times New Roman"/>
          <w:b/>
          <w:bCs/>
          <w:color w:val="auto"/>
          <w:kern w:val="0"/>
          <w:sz w:val="21"/>
          <w:szCs w:val="21"/>
          <w:highlight w:val="none"/>
          <w:lang w:val="en-US" w:eastAsia="zh-CN" w:bidi="ar-SA"/>
        </w:rPr>
      </w:pPr>
    </w:p>
    <w:p w14:paraId="7C4FBDF3">
      <w:pPr>
        <w:jc w:val="center"/>
        <w:rPr>
          <w:b/>
          <w:bCs/>
          <w:color w:val="auto"/>
          <w:sz w:val="21"/>
          <w:szCs w:val="21"/>
          <w:highlight w:val="none"/>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ascii="Times New Roman" w:hAnsi="Times New Roman" w:eastAsia="宋体" w:cs="Times New Roman"/>
          <w:b/>
          <w:bCs/>
          <w:color w:val="auto"/>
          <w:kern w:val="0"/>
          <w:sz w:val="21"/>
          <w:szCs w:val="21"/>
          <w:highlight w:val="none"/>
          <w:lang w:val="en-US" w:eastAsia="zh-CN" w:bidi="ar-SA"/>
        </w:rPr>
        <w:t>附图2     本项目与生态保护红线的位置关系图</w:t>
      </w:r>
    </w:p>
    <w:p w14:paraId="31DE7D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5419725" cy="8092440"/>
            <wp:effectExtent l="19050" t="19050" r="28575" b="22860"/>
            <wp:docPr id="59"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5" descr="IMG_256"/>
                    <pic:cNvPicPr>
                      <a:picLocks noChangeAspect="1"/>
                    </pic:cNvPicPr>
                  </pic:nvPicPr>
                  <pic:blipFill>
                    <a:blip r:embed="rId13"/>
                    <a:stretch>
                      <a:fillRect/>
                    </a:stretch>
                  </pic:blipFill>
                  <pic:spPr>
                    <a:xfrm>
                      <a:off x="0" y="0"/>
                      <a:ext cx="5419725" cy="8092440"/>
                    </a:xfrm>
                    <a:prstGeom prst="rect">
                      <a:avLst/>
                    </a:prstGeom>
                    <a:noFill/>
                    <a:ln w="19050" cap="flat" cmpd="sng">
                      <a:solidFill>
                        <a:srgbClr val="000000"/>
                      </a:solidFill>
                      <a:prstDash val="solid"/>
                      <a:miter/>
                      <a:headEnd type="none" w="med" len="med"/>
                      <a:tailEnd type="none" w="med" len="med"/>
                    </a:ln>
                  </pic:spPr>
                </pic:pic>
              </a:graphicData>
            </a:graphic>
          </wp:inline>
        </w:drawing>
      </w:r>
    </w:p>
    <w:p w14:paraId="0F2B914F">
      <w:pPr>
        <w:widowControl/>
        <w:snapToGrid w:val="0"/>
        <w:spacing w:before="60" w:after="160" w:line="259" w:lineRule="auto"/>
        <w:ind w:right="113"/>
        <w:jc w:val="center"/>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附图3    本项目地理位置图</w:t>
      </w:r>
    </w:p>
    <w:p w14:paraId="634B191A">
      <w:pPr>
        <w:keepNext w:val="0"/>
        <w:keepLines w:val="0"/>
        <w:widowControl/>
        <w:suppressLineNumbers w:val="0"/>
        <w:spacing w:before="100" w:beforeAutospacing="1" w:after="100" w:afterAutospacing="1"/>
        <w:jc w:val="center"/>
        <w:rPr>
          <w:rFonts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5476875" cy="7647940"/>
            <wp:effectExtent l="0" t="0" r="9525" b="10160"/>
            <wp:docPr id="60"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6" descr="IMG_256"/>
                    <pic:cNvPicPr>
                      <a:picLocks noChangeAspect="1"/>
                    </pic:cNvPicPr>
                  </pic:nvPicPr>
                  <pic:blipFill>
                    <a:blip r:embed="rId14"/>
                    <a:stretch>
                      <a:fillRect/>
                    </a:stretch>
                  </pic:blipFill>
                  <pic:spPr>
                    <a:xfrm>
                      <a:off x="0" y="0"/>
                      <a:ext cx="5476875" cy="7647940"/>
                    </a:xfrm>
                    <a:prstGeom prst="rect">
                      <a:avLst/>
                    </a:prstGeom>
                    <a:noFill/>
                    <a:ln>
                      <a:noFill/>
                    </a:ln>
                  </pic:spPr>
                </pic:pic>
              </a:graphicData>
            </a:graphic>
          </wp:inline>
        </w:drawing>
      </w:r>
    </w:p>
    <w:p w14:paraId="1CF65337">
      <w:pPr>
        <w:keepNext w:val="0"/>
        <w:keepLines w:val="0"/>
        <w:widowControl/>
        <w:suppressLineNumbers w:val="0"/>
        <w:spacing w:before="100" w:beforeAutospacing="1" w:after="100" w:afterAutospacing="1"/>
        <w:jc w:val="center"/>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附图4    本项目在图克项目工业区内的位置关系图</w:t>
      </w:r>
    </w:p>
    <w:p w14:paraId="7C308E12">
      <w:pPr>
        <w:widowControl/>
        <w:snapToGrid w:val="0"/>
        <w:spacing w:before="60" w:after="160" w:line="259" w:lineRule="auto"/>
        <w:ind w:right="113"/>
        <w:jc w:val="center"/>
        <w:rPr>
          <w:rFonts w:hint="eastAsia" w:ascii="Times New Roman" w:hAnsi="Times New Roman" w:eastAsia="宋体" w:cs="Times New Roman"/>
          <w:b/>
          <w:bCs/>
          <w:color w:val="auto"/>
          <w:kern w:val="0"/>
          <w:sz w:val="24"/>
          <w:szCs w:val="24"/>
          <w:highlight w:val="none"/>
          <w:lang w:val="en-US" w:eastAsia="zh-CN" w:bidi="ar-SA"/>
        </w:rPr>
      </w:pPr>
    </w:p>
    <w:p w14:paraId="1E1E55E7">
      <w:pPr>
        <w:jc w:val="center"/>
        <w:rPr>
          <w:rFonts w:hint="eastAsia"/>
          <w:b/>
          <w:bCs/>
          <w:color w:val="auto"/>
          <w:sz w:val="24"/>
          <w:szCs w:val="24"/>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3AAF0EA">
      <w:pPr>
        <w:widowControl/>
        <w:snapToGrid w:val="0"/>
        <w:spacing w:before="0" w:after="0" w:line="360" w:lineRule="auto"/>
        <w:ind w:right="0"/>
        <w:jc w:val="center"/>
        <w:rPr>
          <w:rFonts w:hint="eastAsia" w:ascii="Times New Roman" w:hAnsi="Times New Roman" w:eastAsia="宋体" w:cs="Times New Roman"/>
          <w:b/>
          <w:bCs/>
          <w:color w:val="auto"/>
          <w:kern w:val="0"/>
          <w:sz w:val="24"/>
          <w:szCs w:val="24"/>
          <w:highlight w:val="none"/>
          <w:lang w:val="en-US" w:eastAsia="zh-CN" w:bidi="ar-SA"/>
        </w:rPr>
      </w:pPr>
      <w:bookmarkStart w:id="13" w:name="OLE_LINK55"/>
      <w:bookmarkStart w:id="14" w:name="OLE_LINK36"/>
    </w:p>
    <w:bookmarkEnd w:id="13"/>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9"/>
        <w:gridCol w:w="4501"/>
      </w:tblGrid>
      <w:tr w14:paraId="195B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7" w:type="pct"/>
            <w:noWrap w:val="0"/>
            <w:vAlign w:val="top"/>
          </w:tcPr>
          <w:p w14:paraId="34DB0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eastAsia"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2788920" cy="2091055"/>
                  <wp:effectExtent l="0" t="0" r="11430" b="4445"/>
                  <wp:docPr id="61"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7" descr="IMG_256"/>
                          <pic:cNvPicPr>
                            <a:picLocks noChangeAspect="1"/>
                          </pic:cNvPicPr>
                        </pic:nvPicPr>
                        <pic:blipFill>
                          <a:blip r:embed="rId15"/>
                          <a:stretch>
                            <a:fillRect/>
                          </a:stretch>
                        </pic:blipFill>
                        <pic:spPr>
                          <a:xfrm>
                            <a:off x="0" y="0"/>
                            <a:ext cx="2788920" cy="2091055"/>
                          </a:xfrm>
                          <a:prstGeom prst="rect">
                            <a:avLst/>
                          </a:prstGeom>
                          <a:noFill/>
                          <a:ln>
                            <a:noFill/>
                          </a:ln>
                        </pic:spPr>
                      </pic:pic>
                    </a:graphicData>
                  </a:graphic>
                </wp:inline>
              </w:drawing>
            </w:r>
          </w:p>
        </w:tc>
        <w:tc>
          <w:tcPr>
            <w:tcW w:w="2482" w:type="pct"/>
            <w:noWrap w:val="0"/>
            <w:vAlign w:val="center"/>
          </w:tcPr>
          <w:p w14:paraId="05468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2765425" cy="2074545"/>
                  <wp:effectExtent l="0" t="0" r="15875" b="1905"/>
                  <wp:docPr id="62"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8" descr="IMG_256"/>
                          <pic:cNvPicPr>
                            <a:picLocks noChangeAspect="1"/>
                          </pic:cNvPicPr>
                        </pic:nvPicPr>
                        <pic:blipFill>
                          <a:blip r:embed="rId16"/>
                          <a:stretch>
                            <a:fillRect/>
                          </a:stretch>
                        </pic:blipFill>
                        <pic:spPr>
                          <a:xfrm>
                            <a:off x="0" y="0"/>
                            <a:ext cx="2765425" cy="2074545"/>
                          </a:xfrm>
                          <a:prstGeom prst="rect">
                            <a:avLst/>
                          </a:prstGeom>
                          <a:noFill/>
                          <a:ln>
                            <a:noFill/>
                          </a:ln>
                        </pic:spPr>
                      </pic:pic>
                    </a:graphicData>
                  </a:graphic>
                </wp:inline>
              </w:drawing>
            </w:r>
          </w:p>
        </w:tc>
      </w:tr>
      <w:tr w14:paraId="05E3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7" w:type="pct"/>
            <w:noWrap w:val="0"/>
            <w:vAlign w:val="center"/>
          </w:tcPr>
          <w:p w14:paraId="4D34A211">
            <w:pPr>
              <w:pStyle w:val="54"/>
              <w:keepNext w:val="0"/>
              <w:keepLines w:val="0"/>
              <w:pageBreakBefore w:val="0"/>
              <w:widowControl w:val="0"/>
              <w:kinsoku/>
              <w:wordWrap/>
              <w:overflowPunct/>
              <w:topLinePunct w:val="0"/>
              <w:autoSpaceDE w:val="0"/>
              <w:autoSpaceDN w:val="0"/>
              <w:bidi w:val="0"/>
              <w:adjustRightInd w:val="0"/>
              <w:snapToGrid/>
              <w:spacing w:before="63" w:beforeLines="20" w:after="63" w:afterLines="20"/>
              <w:ind w:left="42" w:leftChars="20" w:right="42" w:rightChars="20"/>
              <w:jc w:val="center"/>
              <w:textAlignment w:val="baseline"/>
              <w:rPr>
                <w:rFonts w:hint="default" w:eastAsia="宋体" w:cs="Times New Roman"/>
                <w:color w:val="auto"/>
                <w:highlight w:val="none"/>
                <w:lang w:val="en-US" w:eastAsia="zh-CN"/>
              </w:rPr>
            </w:pPr>
            <w:r>
              <w:rPr>
                <w:rFonts w:hint="eastAsia" w:eastAsia="宋体" w:cs="Times New Roman"/>
                <w:color w:val="auto"/>
                <w:highlight w:val="none"/>
                <w:lang w:val="en-US" w:eastAsia="zh-CN"/>
              </w:rPr>
              <w:t>东</w:t>
            </w:r>
          </w:p>
        </w:tc>
        <w:tc>
          <w:tcPr>
            <w:tcW w:w="2482" w:type="pct"/>
            <w:noWrap w:val="0"/>
            <w:vAlign w:val="center"/>
          </w:tcPr>
          <w:p w14:paraId="49993ED5">
            <w:pPr>
              <w:pStyle w:val="54"/>
              <w:keepNext w:val="0"/>
              <w:keepLines w:val="0"/>
              <w:pageBreakBefore w:val="0"/>
              <w:widowControl w:val="0"/>
              <w:kinsoku/>
              <w:wordWrap/>
              <w:overflowPunct/>
              <w:topLinePunct w:val="0"/>
              <w:autoSpaceDE w:val="0"/>
              <w:autoSpaceDN w:val="0"/>
              <w:bidi w:val="0"/>
              <w:adjustRightInd w:val="0"/>
              <w:snapToGrid/>
              <w:spacing w:before="63" w:beforeLines="20" w:after="63" w:afterLines="20"/>
              <w:ind w:left="42" w:leftChars="20" w:right="42" w:rightChars="20"/>
              <w:jc w:val="center"/>
              <w:textAlignment w:val="baseline"/>
              <w:rPr>
                <w:rFonts w:hint="default" w:eastAsia="宋体" w:cs="Times New Roman"/>
                <w:color w:val="auto"/>
                <w:highlight w:val="none"/>
                <w:lang w:val="en-US" w:eastAsia="zh-CN"/>
              </w:rPr>
            </w:pPr>
            <w:r>
              <w:rPr>
                <w:rFonts w:hint="eastAsia" w:eastAsia="宋体" w:cs="Times New Roman"/>
                <w:color w:val="auto"/>
                <w:highlight w:val="none"/>
                <w:lang w:val="en-US" w:eastAsia="zh-CN"/>
              </w:rPr>
              <w:t>南</w:t>
            </w:r>
          </w:p>
        </w:tc>
      </w:tr>
      <w:tr w14:paraId="7268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7" w:type="pct"/>
            <w:noWrap w:val="0"/>
            <w:vAlign w:val="center"/>
          </w:tcPr>
          <w:p w14:paraId="4071DF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2830195" cy="2122170"/>
                  <wp:effectExtent l="0" t="0" r="8255" b="11430"/>
                  <wp:docPr id="63"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9" descr="IMG_256"/>
                          <pic:cNvPicPr>
                            <a:picLocks noChangeAspect="1"/>
                          </pic:cNvPicPr>
                        </pic:nvPicPr>
                        <pic:blipFill>
                          <a:blip r:embed="rId17"/>
                          <a:stretch>
                            <a:fillRect/>
                          </a:stretch>
                        </pic:blipFill>
                        <pic:spPr>
                          <a:xfrm>
                            <a:off x="0" y="0"/>
                            <a:ext cx="2830195" cy="2122170"/>
                          </a:xfrm>
                          <a:prstGeom prst="rect">
                            <a:avLst/>
                          </a:prstGeom>
                          <a:noFill/>
                          <a:ln>
                            <a:noFill/>
                          </a:ln>
                        </pic:spPr>
                      </pic:pic>
                    </a:graphicData>
                  </a:graphic>
                </wp:inline>
              </w:drawing>
            </w:r>
          </w:p>
        </w:tc>
        <w:tc>
          <w:tcPr>
            <w:tcW w:w="2482" w:type="pct"/>
            <w:noWrap w:val="0"/>
            <w:vAlign w:val="top"/>
          </w:tcPr>
          <w:p w14:paraId="2323D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2781935" cy="2087245"/>
                  <wp:effectExtent l="0" t="0" r="18415" b="8255"/>
                  <wp:docPr id="64"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0" descr="IMG_256"/>
                          <pic:cNvPicPr>
                            <a:picLocks noChangeAspect="1"/>
                          </pic:cNvPicPr>
                        </pic:nvPicPr>
                        <pic:blipFill>
                          <a:blip r:embed="rId18"/>
                          <a:stretch>
                            <a:fillRect/>
                          </a:stretch>
                        </pic:blipFill>
                        <pic:spPr>
                          <a:xfrm>
                            <a:off x="0" y="0"/>
                            <a:ext cx="2781935" cy="2087245"/>
                          </a:xfrm>
                          <a:prstGeom prst="rect">
                            <a:avLst/>
                          </a:prstGeom>
                          <a:noFill/>
                          <a:ln>
                            <a:noFill/>
                          </a:ln>
                        </pic:spPr>
                      </pic:pic>
                    </a:graphicData>
                  </a:graphic>
                </wp:inline>
              </w:drawing>
            </w:r>
          </w:p>
        </w:tc>
      </w:tr>
      <w:tr w14:paraId="7D83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7" w:type="pct"/>
            <w:noWrap w:val="0"/>
            <w:vAlign w:val="center"/>
          </w:tcPr>
          <w:p w14:paraId="6C331B0D">
            <w:pPr>
              <w:pStyle w:val="54"/>
              <w:keepNext w:val="0"/>
              <w:keepLines w:val="0"/>
              <w:pageBreakBefore w:val="0"/>
              <w:widowControl w:val="0"/>
              <w:kinsoku/>
              <w:wordWrap/>
              <w:overflowPunct/>
              <w:topLinePunct w:val="0"/>
              <w:autoSpaceDE w:val="0"/>
              <w:autoSpaceDN w:val="0"/>
              <w:bidi w:val="0"/>
              <w:adjustRightInd w:val="0"/>
              <w:snapToGrid/>
              <w:spacing w:before="63" w:beforeLines="20" w:after="63" w:afterLines="20"/>
              <w:ind w:left="42" w:leftChars="20" w:right="42" w:rightChars="20"/>
              <w:jc w:val="center"/>
              <w:textAlignment w:val="baseline"/>
              <w:rPr>
                <w:rFonts w:hint="default" w:eastAsia="宋体" w:cs="Times New Roman"/>
                <w:color w:val="auto"/>
                <w:highlight w:val="none"/>
                <w:lang w:val="en-US" w:eastAsia="zh-CN"/>
              </w:rPr>
            </w:pPr>
            <w:r>
              <w:rPr>
                <w:rFonts w:hint="eastAsia" w:eastAsia="宋体" w:cs="Times New Roman"/>
                <w:color w:val="auto"/>
                <w:highlight w:val="none"/>
                <w:lang w:val="en-US" w:eastAsia="zh-CN"/>
              </w:rPr>
              <w:t>西</w:t>
            </w:r>
          </w:p>
        </w:tc>
        <w:tc>
          <w:tcPr>
            <w:tcW w:w="2482" w:type="pct"/>
            <w:noWrap w:val="0"/>
            <w:vAlign w:val="center"/>
          </w:tcPr>
          <w:p w14:paraId="3ABA94A1">
            <w:pPr>
              <w:pStyle w:val="54"/>
              <w:keepNext w:val="0"/>
              <w:keepLines w:val="0"/>
              <w:pageBreakBefore w:val="0"/>
              <w:widowControl w:val="0"/>
              <w:kinsoku/>
              <w:wordWrap/>
              <w:overflowPunct/>
              <w:topLinePunct w:val="0"/>
              <w:autoSpaceDE w:val="0"/>
              <w:autoSpaceDN w:val="0"/>
              <w:bidi w:val="0"/>
              <w:adjustRightInd w:val="0"/>
              <w:snapToGrid/>
              <w:spacing w:before="63" w:beforeLines="20" w:after="63" w:afterLines="20"/>
              <w:ind w:left="42" w:leftChars="20" w:right="42" w:rightChars="20"/>
              <w:jc w:val="center"/>
              <w:textAlignment w:val="baseline"/>
              <w:rPr>
                <w:rFonts w:hint="default" w:eastAsia="宋体" w:cs="Times New Roman"/>
                <w:color w:val="auto"/>
                <w:highlight w:val="none"/>
                <w:lang w:val="en-US" w:eastAsia="zh-CN"/>
              </w:rPr>
            </w:pPr>
            <w:r>
              <w:rPr>
                <w:rFonts w:hint="eastAsia" w:eastAsia="宋体" w:cs="Times New Roman"/>
                <w:color w:val="auto"/>
                <w:highlight w:val="none"/>
                <w:lang w:val="en-US" w:eastAsia="zh-CN"/>
              </w:rPr>
              <w:t>北</w:t>
            </w:r>
          </w:p>
        </w:tc>
      </w:tr>
      <w:tr w14:paraId="6643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2"/>
            <w:tcBorders>
              <w:left w:val="nil"/>
              <w:bottom w:val="nil"/>
              <w:right w:val="nil"/>
            </w:tcBorders>
            <w:noWrap w:val="0"/>
            <w:vAlign w:val="center"/>
          </w:tcPr>
          <w:p w14:paraId="32E2DB2A">
            <w:pPr>
              <w:keepNext w:val="0"/>
              <w:keepLines w:val="0"/>
              <w:pageBreakBefore w:val="0"/>
              <w:widowControl w:val="0"/>
              <w:kinsoku/>
              <w:wordWrap/>
              <w:overflowPunct/>
              <w:topLinePunct w:val="0"/>
              <w:autoSpaceDE w:val="0"/>
              <w:autoSpaceDN w:val="0"/>
              <w:bidi w:val="0"/>
              <w:adjustRightInd w:val="0"/>
              <w:snapToGrid/>
              <w:spacing w:before="63" w:beforeLines="20" w:after="63" w:afterLines="20"/>
              <w:ind w:left="42" w:leftChars="20" w:right="42" w:rightChars="20"/>
              <w:jc w:val="center"/>
              <w:textAlignment w:val="baseline"/>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1"/>
                <w:szCs w:val="21"/>
                <w:highlight w:val="none"/>
                <w:lang w:val="en-US" w:eastAsia="zh-CN"/>
              </w:rPr>
              <w:t xml:space="preserve">附图5    </w:t>
            </w:r>
            <w:r>
              <w:rPr>
                <w:rFonts w:hint="eastAsia" w:ascii="Times New Roman" w:hAnsi="Times New Roman" w:eastAsia="宋体" w:cs="Times New Roman"/>
                <w:b/>
                <w:bCs/>
                <w:color w:val="auto"/>
                <w:sz w:val="21"/>
                <w:szCs w:val="21"/>
                <w:highlight w:val="none"/>
                <w:lang w:val="en-US" w:eastAsia="zh-CN"/>
              </w:rPr>
              <w:t>基地</w:t>
            </w:r>
            <w:r>
              <w:rPr>
                <w:rFonts w:hint="default" w:ascii="Times New Roman" w:hAnsi="Times New Roman" w:eastAsia="宋体" w:cs="Times New Roman"/>
                <w:b/>
                <w:bCs/>
                <w:color w:val="auto"/>
                <w:sz w:val="21"/>
                <w:szCs w:val="21"/>
                <w:highlight w:val="none"/>
                <w:lang w:val="en-US" w:eastAsia="zh-CN"/>
              </w:rPr>
              <w:t>四至环境现状</w:t>
            </w:r>
          </w:p>
        </w:tc>
      </w:tr>
      <w:bookmarkEnd w:id="14"/>
    </w:tbl>
    <w:p w14:paraId="41305660">
      <w:pPr>
        <w:jc w:val="center"/>
        <w:rPr>
          <w:rFonts w:hint="eastAsia"/>
          <w:b/>
          <w:bCs/>
          <w:color w:val="auto"/>
          <w:sz w:val="24"/>
          <w:szCs w:val="24"/>
          <w:highlight w:val="none"/>
          <w:lang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8A8CE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6724015" cy="5076190"/>
            <wp:effectExtent l="19050" t="19050" r="19685" b="29210"/>
            <wp:docPr id="65"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7" descr="IMG_256"/>
                    <pic:cNvPicPr>
                      <a:picLocks noChangeAspect="1"/>
                    </pic:cNvPicPr>
                  </pic:nvPicPr>
                  <pic:blipFill>
                    <a:blip r:embed="rId19"/>
                    <a:stretch>
                      <a:fillRect/>
                    </a:stretch>
                  </pic:blipFill>
                  <pic:spPr>
                    <a:xfrm>
                      <a:off x="0" y="0"/>
                      <a:ext cx="6724015" cy="5076190"/>
                    </a:xfrm>
                    <a:prstGeom prst="rect">
                      <a:avLst/>
                    </a:prstGeom>
                    <a:noFill/>
                    <a:ln w="19050" cap="flat" cmpd="sng">
                      <a:solidFill>
                        <a:srgbClr val="000000"/>
                      </a:solidFill>
                      <a:prstDash val="solid"/>
                      <a:miter/>
                      <a:headEnd type="none" w="med" len="med"/>
                      <a:tailEnd type="none" w="med" len="med"/>
                    </a:ln>
                  </pic:spPr>
                </pic:pic>
              </a:graphicData>
            </a:graphic>
          </wp:inline>
        </w:drawing>
      </w:r>
    </w:p>
    <w:p w14:paraId="6A7069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SA"/>
        </w:rPr>
        <w:t>附图6    本项目周边关系图</w:t>
      </w:r>
    </w:p>
    <w:p w14:paraId="55E45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5848350" cy="5097780"/>
            <wp:effectExtent l="19050" t="19050" r="19050" b="26670"/>
            <wp:docPr id="66"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2" descr="IMG_256"/>
                    <pic:cNvPicPr>
                      <a:picLocks noChangeAspect="1"/>
                    </pic:cNvPicPr>
                  </pic:nvPicPr>
                  <pic:blipFill>
                    <a:blip r:embed="rId20"/>
                    <a:stretch>
                      <a:fillRect/>
                    </a:stretch>
                  </pic:blipFill>
                  <pic:spPr>
                    <a:xfrm>
                      <a:off x="0" y="0"/>
                      <a:ext cx="5848350" cy="5097780"/>
                    </a:xfrm>
                    <a:prstGeom prst="rect">
                      <a:avLst/>
                    </a:prstGeom>
                    <a:noFill/>
                    <a:ln w="19050" cap="flat" cmpd="sng">
                      <a:solidFill>
                        <a:srgbClr val="000000"/>
                      </a:solidFill>
                      <a:prstDash val="solid"/>
                      <a:miter/>
                      <a:headEnd type="none" w="med" len="med"/>
                      <a:tailEnd type="none" w="med" len="med"/>
                    </a:ln>
                  </pic:spPr>
                </pic:pic>
              </a:graphicData>
            </a:graphic>
          </wp:inline>
        </w:drawing>
      </w:r>
    </w:p>
    <w:p w14:paraId="385595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cs="Times New Roman"/>
          <w:b/>
          <w:bCs/>
          <w:color w:val="auto"/>
          <w:sz w:val="21"/>
          <w:szCs w:val="21"/>
          <w:highlight w:val="none"/>
          <w:lang w:val="en-US"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eastAsia="宋体" w:cs="Times New Roman"/>
          <w:b/>
          <w:bCs/>
          <w:color w:val="auto"/>
          <w:kern w:val="0"/>
          <w:sz w:val="21"/>
          <w:szCs w:val="21"/>
          <w:highlight w:val="none"/>
          <w:lang w:val="en-US" w:eastAsia="zh-CN" w:bidi="ar-SA"/>
        </w:rPr>
        <w:t>附图7    本项目环境保护目标分布图</w:t>
      </w:r>
    </w:p>
    <w:p w14:paraId="7D49A4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left"/>
        <w:textAlignment w:val="auto"/>
        <w:rPr>
          <w:rFonts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8399145" cy="5168265"/>
            <wp:effectExtent l="19050" t="19050" r="20955" b="32385"/>
            <wp:docPr id="67" name="图片 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3" descr="IMG_256"/>
                    <pic:cNvPicPr>
                      <a:picLocks noChangeAspect="1"/>
                    </pic:cNvPicPr>
                  </pic:nvPicPr>
                  <pic:blipFill>
                    <a:blip r:embed="rId21"/>
                    <a:stretch>
                      <a:fillRect/>
                    </a:stretch>
                  </pic:blipFill>
                  <pic:spPr>
                    <a:xfrm>
                      <a:off x="0" y="0"/>
                      <a:ext cx="8399145" cy="5168265"/>
                    </a:xfrm>
                    <a:prstGeom prst="rect">
                      <a:avLst/>
                    </a:prstGeom>
                    <a:noFill/>
                    <a:ln w="19050" cap="flat" cmpd="sng">
                      <a:solidFill>
                        <a:srgbClr val="000000"/>
                      </a:solidFill>
                      <a:prstDash val="solid"/>
                      <a:miter/>
                      <a:headEnd type="none" w="med" len="med"/>
                      <a:tailEnd type="none" w="med" len="med"/>
                    </a:ln>
                  </pic:spPr>
                </pic:pic>
              </a:graphicData>
            </a:graphic>
          </wp:inline>
        </w:drawing>
      </w:r>
    </w:p>
    <w:p w14:paraId="467E7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p>
    <w:p w14:paraId="712A85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t>附图8    本项目平面布置图</w:t>
      </w:r>
    </w:p>
    <w:p w14:paraId="600357FF">
      <w:pPr>
        <w:pStyle w:val="2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color w:val="auto"/>
          <w:highlight w:val="none"/>
        </w:rPr>
      </w:pPr>
      <w:r>
        <w:rPr>
          <w:color w:val="auto"/>
          <w:highlight w:val="none"/>
        </w:rPr>
        <w:drawing>
          <wp:inline distT="0" distB="0" distL="114300" distR="114300">
            <wp:extent cx="6895465" cy="5362575"/>
            <wp:effectExtent l="0" t="0" r="635" b="9525"/>
            <wp:docPr id="68"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8" descr="IMG_256"/>
                    <pic:cNvPicPr>
                      <a:picLocks noChangeAspect="1"/>
                    </pic:cNvPicPr>
                  </pic:nvPicPr>
                  <pic:blipFill>
                    <a:blip r:embed="rId22"/>
                    <a:stretch>
                      <a:fillRect/>
                    </a:stretch>
                  </pic:blipFill>
                  <pic:spPr>
                    <a:xfrm>
                      <a:off x="0" y="0"/>
                      <a:ext cx="6895465" cy="5362575"/>
                    </a:xfrm>
                    <a:prstGeom prst="rect">
                      <a:avLst/>
                    </a:prstGeom>
                    <a:noFill/>
                    <a:ln>
                      <a:noFill/>
                    </a:ln>
                  </pic:spPr>
                </pic:pic>
              </a:graphicData>
            </a:graphic>
          </wp:inline>
        </w:drawing>
      </w:r>
    </w:p>
    <w:p w14:paraId="7B97D9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sz w:val="21"/>
          <w:szCs w:val="21"/>
          <w:highlight w:val="none"/>
          <w:shd w:val="clear" w:color="auto" w:fill="FFFFFF"/>
          <w:lang w:val="en-US" w:eastAsia="zh-CN"/>
        </w:rPr>
        <w:t xml:space="preserve">附图9  </w:t>
      </w:r>
      <w:r>
        <w:rPr>
          <w:rFonts w:hint="default" w:ascii="Times New Roman" w:hAnsi="Times New Roman" w:eastAsia="宋体" w:cs="Times New Roman"/>
          <w:b/>
          <w:bCs/>
          <w:color w:val="auto"/>
          <w:sz w:val="21"/>
          <w:szCs w:val="21"/>
          <w:highlight w:val="none"/>
          <w:shd w:val="clear" w:color="auto" w:fill="FFFFFF"/>
          <w:lang w:val="en-US" w:eastAsia="zh-CN"/>
        </w:rPr>
        <w:t xml:space="preserve">  </w:t>
      </w:r>
      <w:r>
        <w:rPr>
          <w:rFonts w:hint="eastAsia" w:ascii="Times New Roman" w:hAnsi="Times New Roman" w:eastAsia="宋体" w:cs="Times New Roman"/>
          <w:b/>
          <w:bCs/>
          <w:color w:val="auto"/>
          <w:sz w:val="21"/>
          <w:szCs w:val="21"/>
          <w:highlight w:val="none"/>
          <w:shd w:val="clear" w:color="auto" w:fill="FFFFFF"/>
          <w:lang w:val="en-US" w:eastAsia="zh-CN"/>
        </w:rPr>
        <w:t>本项目在</w:t>
      </w:r>
      <w:r>
        <w:rPr>
          <w:rFonts w:hint="default" w:ascii="Times New Roman" w:hAnsi="Times New Roman" w:eastAsia="宋体" w:cs="Times New Roman"/>
          <w:b/>
          <w:bCs/>
          <w:color w:val="auto"/>
          <w:sz w:val="21"/>
          <w:szCs w:val="21"/>
          <w:highlight w:val="none"/>
          <w:shd w:val="clear" w:color="auto" w:fill="FFFFFF"/>
          <w:lang w:val="en-US" w:eastAsia="zh-CN"/>
        </w:rPr>
        <w:t>主体功能区划图</w:t>
      </w:r>
      <w:r>
        <w:rPr>
          <w:rFonts w:hint="eastAsia" w:ascii="Times New Roman" w:hAnsi="Times New Roman" w:eastAsia="宋体" w:cs="Times New Roman"/>
          <w:b/>
          <w:bCs/>
          <w:color w:val="auto"/>
          <w:sz w:val="21"/>
          <w:szCs w:val="21"/>
          <w:highlight w:val="none"/>
          <w:shd w:val="clear" w:color="auto" w:fill="FFFFFF"/>
          <w:lang w:val="en-US" w:eastAsia="zh-CN"/>
        </w:rPr>
        <w:t>中的位置</w:t>
      </w:r>
    </w:p>
    <w:p w14:paraId="009724AB">
      <w:pPr>
        <w:pStyle w:val="20"/>
        <w:keepNext w:val="0"/>
        <w:keepLines w:val="0"/>
        <w:widowControl/>
        <w:suppressLineNumbers w:val="0"/>
        <w:jc w:val="center"/>
        <w:rPr>
          <w:color w:val="auto"/>
          <w:highlight w:val="none"/>
        </w:rPr>
      </w:pPr>
      <w:r>
        <w:rPr>
          <w:color w:val="auto"/>
          <w:highlight w:val="none"/>
        </w:rPr>
        <w:drawing>
          <wp:inline distT="0" distB="0" distL="114300" distR="114300">
            <wp:extent cx="6908165" cy="5149850"/>
            <wp:effectExtent l="0" t="0" r="6985" b="12700"/>
            <wp:docPr id="69" name="图片 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9" descr="IMG_256"/>
                    <pic:cNvPicPr>
                      <a:picLocks noChangeAspect="1"/>
                    </pic:cNvPicPr>
                  </pic:nvPicPr>
                  <pic:blipFill>
                    <a:blip r:embed="rId23"/>
                    <a:stretch>
                      <a:fillRect/>
                    </a:stretch>
                  </pic:blipFill>
                  <pic:spPr>
                    <a:xfrm>
                      <a:off x="0" y="0"/>
                      <a:ext cx="6908165" cy="5149850"/>
                    </a:xfrm>
                    <a:prstGeom prst="rect">
                      <a:avLst/>
                    </a:prstGeom>
                    <a:noFill/>
                    <a:ln>
                      <a:noFill/>
                    </a:ln>
                  </pic:spPr>
                </pic:pic>
              </a:graphicData>
            </a:graphic>
          </wp:inline>
        </w:drawing>
      </w:r>
    </w:p>
    <w:p w14:paraId="1F31471C">
      <w:pPr>
        <w:jc w:val="center"/>
        <w:rPr>
          <w:color w:val="auto"/>
          <w:highlight w:val="none"/>
        </w:rPr>
      </w:pPr>
      <w:r>
        <w:rPr>
          <w:rFonts w:hint="eastAsia" w:ascii="Times New Roman" w:hAnsi="Times New Roman" w:eastAsia="宋体" w:cs="Times New Roman"/>
          <w:b/>
          <w:bCs/>
          <w:color w:val="auto"/>
          <w:sz w:val="21"/>
          <w:szCs w:val="24"/>
          <w:highlight w:val="none"/>
          <w:shd w:val="clear" w:color="auto" w:fill="FFFFFF"/>
          <w:lang w:val="en-US" w:eastAsia="zh-CN"/>
        </w:rPr>
        <w:t>附图10   本项目在生态功能区划图中的位置</w:t>
      </w:r>
    </w:p>
    <w:p w14:paraId="30BFC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eastAsia"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SA"/>
        </w:rPr>
        <w:drawing>
          <wp:inline distT="0" distB="0" distL="114300" distR="114300">
            <wp:extent cx="8509000" cy="5252720"/>
            <wp:effectExtent l="0" t="0" r="6350" b="5080"/>
            <wp:docPr id="70" name="图片 45" descr="监测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5" descr="监测方案"/>
                    <pic:cNvPicPr>
                      <a:picLocks noChangeAspect="1"/>
                    </pic:cNvPicPr>
                  </pic:nvPicPr>
                  <pic:blipFill>
                    <a:blip r:embed="rId24"/>
                    <a:stretch>
                      <a:fillRect/>
                    </a:stretch>
                  </pic:blipFill>
                  <pic:spPr>
                    <a:xfrm>
                      <a:off x="0" y="0"/>
                      <a:ext cx="8509000" cy="5252720"/>
                    </a:xfrm>
                    <a:prstGeom prst="rect">
                      <a:avLst/>
                    </a:prstGeom>
                    <a:noFill/>
                    <a:ln>
                      <a:noFill/>
                    </a:ln>
                  </pic:spPr>
                </pic:pic>
              </a:graphicData>
            </a:graphic>
          </wp:inline>
        </w:drawing>
      </w:r>
    </w:p>
    <w:p w14:paraId="11C34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eastAsia" w:ascii="Times New Roman" w:hAnsi="Times New Roman" w:eastAsia="宋体" w:cs="Times New Roman"/>
          <w:b/>
          <w:bCs/>
          <w:color w:val="auto"/>
          <w:kern w:val="0"/>
          <w:sz w:val="21"/>
          <w:szCs w:val="21"/>
          <w:highlight w:val="none"/>
          <w:lang w:val="en-US" w:eastAsia="zh-CN" w:bidi="ar-SA"/>
        </w:rPr>
      </w:pPr>
    </w:p>
    <w:p w14:paraId="368ECB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r>
        <w:rPr>
          <w:rFonts w:hint="eastAsia" w:ascii="Times New Roman" w:hAnsi="Times New Roman" w:eastAsia="宋体" w:cs="Times New Roman"/>
          <w:b/>
          <w:bCs/>
          <w:color w:val="auto"/>
          <w:sz w:val="21"/>
          <w:szCs w:val="21"/>
          <w:highlight w:val="none"/>
          <w:shd w:val="clear" w:color="auto" w:fill="FFFFFF"/>
          <w:lang w:val="en-US" w:eastAsia="zh-CN"/>
        </w:rPr>
        <w:t xml:space="preserve">附图11  </w:t>
      </w:r>
      <w:r>
        <w:rPr>
          <w:rFonts w:hint="default" w:ascii="Times New Roman" w:hAnsi="Times New Roman" w:eastAsia="宋体" w:cs="Times New Roman"/>
          <w:b/>
          <w:bCs/>
          <w:color w:val="auto"/>
          <w:sz w:val="21"/>
          <w:szCs w:val="21"/>
          <w:highlight w:val="none"/>
          <w:shd w:val="clear" w:color="auto" w:fill="FFFFFF"/>
          <w:lang w:val="en-US" w:eastAsia="zh-CN"/>
        </w:rPr>
        <w:t xml:space="preserve">  </w:t>
      </w:r>
      <w:r>
        <w:rPr>
          <w:rFonts w:hint="eastAsia" w:ascii="Times New Roman" w:hAnsi="Times New Roman" w:eastAsia="宋体" w:cs="Times New Roman"/>
          <w:b/>
          <w:bCs/>
          <w:color w:val="auto"/>
          <w:sz w:val="21"/>
          <w:szCs w:val="21"/>
          <w:highlight w:val="none"/>
          <w:shd w:val="clear" w:color="auto" w:fill="FFFFFF"/>
          <w:lang w:val="en-US" w:eastAsia="zh-CN"/>
        </w:rPr>
        <w:t>本项目地下水、土壤跟踪监测布点图</w:t>
      </w:r>
    </w:p>
    <w:p w14:paraId="02D45C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both"/>
        <w:textAlignment w:val="auto"/>
        <w:rPr>
          <w:rFonts w:hint="eastAsia" w:ascii="Times New Roman" w:hAnsi="Times New Roman" w:eastAsia="宋体" w:cs="Times New Roman"/>
          <w:b/>
          <w:bCs/>
          <w:color w:val="auto"/>
          <w:kern w:val="0"/>
          <w:sz w:val="21"/>
          <w:szCs w:val="21"/>
          <w:highlight w:val="none"/>
          <w:lang w:val="en-US" w:eastAsia="zh-CN" w:bidi="ar-SA"/>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14:paraId="2D8FE340">
      <w:pPr>
        <w:pStyle w:val="20"/>
        <w:rPr>
          <w:rFonts w:ascii="宋体" w:hAnsi="宋体" w:eastAsia="宋体" w:cs="Times New Roman"/>
          <w:color w:val="auto"/>
          <w:kern w:val="0"/>
          <w:sz w:val="24"/>
          <w:szCs w:val="20"/>
          <w:highlight w:val="none"/>
          <w:lang w:val="en-US" w:eastAsia="zh-CN" w:bidi="ar-SA"/>
        </w:rPr>
      </w:pPr>
      <w:r>
        <w:rPr>
          <w:color w:val="auto"/>
          <w:highlight w:val="none"/>
        </w:rPr>
        <w:drawing>
          <wp:inline distT="0" distB="0" distL="114300" distR="114300">
            <wp:extent cx="5622925" cy="7957820"/>
            <wp:effectExtent l="0" t="0" r="15875" b="5080"/>
            <wp:docPr id="71" name="图片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2" descr="IMG_256"/>
                    <pic:cNvPicPr>
                      <a:picLocks noChangeAspect="1"/>
                    </pic:cNvPicPr>
                  </pic:nvPicPr>
                  <pic:blipFill>
                    <a:blip r:embed="rId25"/>
                    <a:stretch>
                      <a:fillRect/>
                    </a:stretch>
                  </pic:blipFill>
                  <pic:spPr>
                    <a:xfrm>
                      <a:off x="0" y="0"/>
                      <a:ext cx="5622925" cy="7957820"/>
                    </a:xfrm>
                    <a:prstGeom prst="rect">
                      <a:avLst/>
                    </a:prstGeom>
                    <a:noFill/>
                    <a:ln>
                      <a:noFill/>
                    </a:ln>
                  </pic:spPr>
                </pic:pic>
              </a:graphicData>
            </a:graphic>
          </wp:inline>
        </w:drawing>
      </w:r>
    </w:p>
    <w:p w14:paraId="010F1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Times New Roman" w:hAnsi="Times New Roman" w:cs="Times New Roman"/>
          <w:b/>
          <w:bCs/>
          <w:color w:val="auto"/>
          <w:sz w:val="21"/>
          <w:szCs w:val="21"/>
          <w:highlight w:val="none"/>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4718C0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left"/>
        <w:textAlignment w:val="auto"/>
        <w:rPr>
          <w:rFonts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8002270" cy="5671820"/>
            <wp:effectExtent l="0" t="0" r="5080" b="17780"/>
            <wp:docPr id="72"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5" descr="IMG_256"/>
                    <pic:cNvPicPr>
                      <a:picLocks noChangeAspect="1"/>
                    </pic:cNvPicPr>
                  </pic:nvPicPr>
                  <pic:blipFill>
                    <a:blip r:embed="rId26"/>
                    <a:stretch>
                      <a:fillRect/>
                    </a:stretch>
                  </pic:blipFill>
                  <pic:spPr>
                    <a:xfrm rot="5400000">
                      <a:off x="0" y="0"/>
                      <a:ext cx="8002270" cy="5671820"/>
                    </a:xfrm>
                    <a:prstGeom prst="rect">
                      <a:avLst/>
                    </a:prstGeom>
                    <a:noFill/>
                    <a:ln>
                      <a:noFill/>
                    </a:ln>
                  </pic:spPr>
                </pic:pic>
              </a:graphicData>
            </a:graphic>
          </wp:inline>
        </w:drawing>
      </w:r>
    </w:p>
    <w:p w14:paraId="208750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p>
    <w:p w14:paraId="1D10C5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p>
    <w:p w14:paraId="3E4379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p>
    <w:p w14:paraId="18EC4D4D">
      <w:pPr>
        <w:keepNext w:val="0"/>
        <w:keepLines w:val="0"/>
        <w:widowControl/>
        <w:suppressLineNumbers w:val="0"/>
        <w:spacing w:before="100" w:beforeAutospacing="1" w:after="100" w:afterAutospacing="1"/>
        <w:jc w:val="left"/>
        <w:rPr>
          <w:rFonts w:ascii="宋体" w:hAnsi="宋体" w:eastAsia="宋体" w:cs="Times New Roman"/>
          <w:color w:val="auto"/>
          <w:kern w:val="0"/>
          <w:sz w:val="24"/>
          <w:szCs w:val="20"/>
          <w:highlight w:val="none"/>
          <w:lang w:val="en-US" w:eastAsia="zh-CN" w:bidi="ar-SA"/>
        </w:rPr>
      </w:pPr>
      <w:r>
        <w:rPr>
          <w:rFonts w:ascii="宋体" w:hAnsi="宋体" w:eastAsia="宋体" w:cs="Times New Roman"/>
          <w:color w:val="auto"/>
          <w:kern w:val="0"/>
          <w:sz w:val="24"/>
          <w:szCs w:val="20"/>
          <w:highlight w:val="none"/>
          <w:lang w:val="en-US" w:eastAsia="zh-CN" w:bidi="ar-SA"/>
        </w:rPr>
        <w:drawing>
          <wp:inline distT="0" distB="0" distL="114300" distR="114300">
            <wp:extent cx="7963535" cy="5655310"/>
            <wp:effectExtent l="0" t="0" r="2540" b="18415"/>
            <wp:docPr id="73"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6" descr="IMG_256"/>
                    <pic:cNvPicPr>
                      <a:picLocks noChangeAspect="1"/>
                    </pic:cNvPicPr>
                  </pic:nvPicPr>
                  <pic:blipFill>
                    <a:blip r:embed="rId27"/>
                    <a:stretch>
                      <a:fillRect/>
                    </a:stretch>
                  </pic:blipFill>
                  <pic:spPr>
                    <a:xfrm rot="5400000">
                      <a:off x="0" y="0"/>
                      <a:ext cx="7963535" cy="5655310"/>
                    </a:xfrm>
                    <a:prstGeom prst="rect">
                      <a:avLst/>
                    </a:prstGeom>
                    <a:noFill/>
                    <a:ln>
                      <a:noFill/>
                    </a:ln>
                  </pic:spPr>
                </pic:pic>
              </a:graphicData>
            </a:graphic>
          </wp:inline>
        </w:drawing>
      </w:r>
    </w:p>
    <w:p w14:paraId="7BAAE5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p>
    <w:p w14:paraId="534EE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p>
    <w:p w14:paraId="45C47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eastAsia="宋体" w:cs="Times New Roman"/>
          <w:b/>
          <w:bCs/>
          <w:color w:val="auto"/>
          <w:kern w:val="0"/>
          <w:sz w:val="21"/>
          <w:szCs w:val="21"/>
          <w:highlight w:val="none"/>
          <w:lang w:val="en-US" w:eastAsia="zh-CN" w:bidi="ar-SA"/>
        </w:rPr>
      </w:pPr>
    </w:p>
    <w:p w14:paraId="637B71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default" w:ascii="Times New Roman" w:hAnsi="Times New Roman" w:cs="Times New Roman"/>
          <w:b/>
          <w:bCs/>
          <w:color w:val="auto"/>
          <w:sz w:val="21"/>
          <w:szCs w:val="21"/>
          <w:highlight w:val="none"/>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315F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3C28B4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3E303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0E564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31BE6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6474D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3F890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jc w:val="center"/>
        <w:textAlignment w:val="auto"/>
        <w:rPr>
          <w:rFonts w:hint="default" w:ascii="宋体" w:hAnsi="宋体" w:eastAsia="宋体" w:cs="Times New Roman"/>
          <w:b/>
          <w:bCs/>
          <w:color w:val="auto"/>
          <w:kern w:val="0"/>
          <w:sz w:val="44"/>
          <w:szCs w:val="44"/>
          <w:highlight w:val="none"/>
          <w:u w:val="none"/>
          <w:lang w:val="en-US" w:eastAsia="zh-CN" w:bidi="ar-SA"/>
        </w:rPr>
      </w:pPr>
      <w:r>
        <w:rPr>
          <w:rFonts w:hint="eastAsia" w:ascii="宋体" w:hAnsi="宋体" w:eastAsia="仿宋_GB2312" w:cs="Times New Roman"/>
          <w:b/>
          <w:bCs/>
          <w:color w:val="auto"/>
          <w:kern w:val="21"/>
          <w:sz w:val="44"/>
          <w:szCs w:val="44"/>
          <w:highlight w:val="none"/>
          <w:u w:val="none"/>
          <w:lang w:val="en-US" w:eastAsia="zh-CN" w:bidi="ar-SA"/>
        </w:rPr>
        <w:t>鄂尔多斯现代煤化工创新技术中试基地基础设施建设项目环境风险评价专题报告</w:t>
      </w:r>
    </w:p>
    <w:p w14:paraId="20FD7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14EAE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10CD8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68ABF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2C4DB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217E0C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2CF45D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01AC90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004DF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3D311B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4AF76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47259C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42510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44423D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3E78B3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2B3F4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6A27DC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6EE0BC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1866D1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6F1F20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128DC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jc w:val="center"/>
        <w:textAlignment w:val="auto"/>
        <w:rPr>
          <w:rFonts w:hint="eastAsia" w:ascii="宋体" w:hAnsi="宋体" w:eastAsia="宋体" w:cs="Times New Roman"/>
          <w:b/>
          <w:bCs/>
          <w:color w:val="auto"/>
          <w:kern w:val="0"/>
          <w:sz w:val="21"/>
          <w:szCs w:val="21"/>
          <w:highlight w:val="none"/>
          <w:lang w:val="en-US" w:eastAsia="zh-CN" w:bidi="ar-SA"/>
        </w:rPr>
      </w:pPr>
    </w:p>
    <w:p w14:paraId="38B4A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jc w:val="center"/>
        <w:textAlignment w:val="auto"/>
        <w:rPr>
          <w:rFonts w:hint="default" w:ascii="Times New Roman" w:hAnsi="Times New Roman" w:eastAsia="宋体" w:cs="Times New Roman"/>
          <w:b w:val="0"/>
          <w:bCs w:val="0"/>
          <w:color w:val="auto"/>
          <w:w w:val="100"/>
          <w:kern w:val="0"/>
          <w:sz w:val="28"/>
          <w:szCs w:val="28"/>
          <w:highlight w:val="none"/>
          <w:u w:val="none"/>
          <w:lang w:val="en-US" w:eastAsia="zh-CN" w:bidi="ar-SA"/>
        </w:rPr>
      </w:pPr>
      <w:r>
        <w:rPr>
          <w:rFonts w:hint="eastAsia" w:ascii="Times New Roman" w:hAnsi="Times New Roman" w:eastAsia="宋体" w:cs="Times New Roman"/>
          <w:b w:val="0"/>
          <w:bCs w:val="0"/>
          <w:color w:val="auto"/>
          <w:w w:val="100"/>
          <w:kern w:val="0"/>
          <w:sz w:val="28"/>
          <w:szCs w:val="28"/>
          <w:highlight w:val="none"/>
          <w:u w:val="none"/>
          <w:lang w:val="en-US" w:eastAsia="zh-CN" w:bidi="ar-SA"/>
        </w:rPr>
        <w:t xml:space="preserve">   </w:t>
      </w:r>
      <w:r>
        <w:rPr>
          <w:rFonts w:hint="default" w:ascii="Times New Roman" w:hAnsi="Times New Roman" w:eastAsia="宋体" w:cs="Times New Roman"/>
          <w:b w:val="0"/>
          <w:bCs w:val="0"/>
          <w:color w:val="auto"/>
          <w:w w:val="100"/>
          <w:kern w:val="0"/>
          <w:sz w:val="28"/>
          <w:szCs w:val="28"/>
          <w:highlight w:val="none"/>
          <w:u w:val="none"/>
          <w:lang w:val="en-US" w:eastAsia="zh-CN" w:bidi="ar-SA"/>
        </w:rPr>
        <w:t>建设单位：</w:t>
      </w:r>
      <w:r>
        <w:rPr>
          <w:rFonts w:hint="eastAsia" w:ascii="Times New Roman" w:hAnsi="Times New Roman" w:eastAsia="宋体" w:cs="Times New Roman"/>
          <w:b w:val="0"/>
          <w:bCs w:val="0"/>
          <w:color w:val="auto"/>
          <w:w w:val="100"/>
          <w:kern w:val="0"/>
          <w:sz w:val="28"/>
          <w:szCs w:val="28"/>
          <w:highlight w:val="none"/>
          <w:u w:val="none"/>
          <w:lang w:val="en-US" w:eastAsia="zh-CN" w:bidi="ar-SA"/>
        </w:rPr>
        <w:t>鄂尔多斯市苏里格建设发展集团有限公司</w:t>
      </w:r>
    </w:p>
    <w:p w14:paraId="42CDF9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ind w:firstLine="1400" w:firstLineChars="500"/>
        <w:jc w:val="both"/>
        <w:textAlignment w:val="auto"/>
        <w:rPr>
          <w:rFonts w:hint="default" w:ascii="Times New Roman" w:hAnsi="Times New Roman" w:eastAsia="宋体" w:cs="Times New Roman"/>
          <w:b w:val="0"/>
          <w:bCs w:val="0"/>
          <w:color w:val="auto"/>
          <w:w w:val="100"/>
          <w:kern w:val="0"/>
          <w:sz w:val="28"/>
          <w:szCs w:val="28"/>
          <w:highlight w:val="none"/>
          <w:u w:val="none"/>
          <w:lang w:val="en-US" w:eastAsia="zh-CN" w:bidi="ar-SA"/>
        </w:rPr>
      </w:pPr>
      <w:r>
        <w:rPr>
          <w:rFonts w:hint="default" w:ascii="Times New Roman" w:hAnsi="Times New Roman" w:eastAsia="宋体" w:cs="Times New Roman"/>
          <w:b w:val="0"/>
          <w:bCs w:val="0"/>
          <w:color w:val="auto"/>
          <w:w w:val="100"/>
          <w:kern w:val="0"/>
          <w:sz w:val="28"/>
          <w:szCs w:val="28"/>
          <w:highlight w:val="none"/>
          <w:u w:val="none"/>
          <w:lang w:val="en-US" w:eastAsia="zh-CN" w:bidi="ar-SA"/>
        </w:rPr>
        <w:t>评价单位：内蒙古希隆环保科技有限公司</w:t>
      </w:r>
    </w:p>
    <w:p w14:paraId="524E4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00" w:lineRule="exact"/>
        <w:ind w:firstLine="1400" w:firstLineChars="500"/>
        <w:jc w:val="both"/>
        <w:textAlignment w:val="auto"/>
        <w:rPr>
          <w:rFonts w:hint="default" w:ascii="Times New Roman" w:hAnsi="Times New Roman" w:eastAsia="宋体" w:cs="Times New Roman"/>
          <w:b w:val="0"/>
          <w:bCs w:val="0"/>
          <w:color w:val="auto"/>
          <w:w w:val="100"/>
          <w:sz w:val="28"/>
          <w:szCs w:val="28"/>
          <w:highlight w:val="none"/>
          <w:u w:val="none"/>
          <w:lang w:val="en-US" w:eastAsia="zh-CN"/>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pgNumType w:fmt="decimal" w:start="1"/>
          <w:cols w:space="720" w:num="1"/>
          <w:docGrid w:linePitch="312" w:charSpace="0"/>
        </w:sectPr>
      </w:pPr>
      <w:r>
        <w:rPr>
          <w:rFonts w:hint="default" w:ascii="Times New Roman" w:hAnsi="Times New Roman" w:eastAsia="宋体" w:cs="Times New Roman"/>
          <w:b w:val="0"/>
          <w:bCs w:val="0"/>
          <w:color w:val="auto"/>
          <w:w w:val="100"/>
          <w:kern w:val="0"/>
          <w:sz w:val="28"/>
          <w:szCs w:val="28"/>
          <w:highlight w:val="none"/>
          <w:u w:val="none"/>
          <w:lang w:val="en-US" w:eastAsia="zh-CN" w:bidi="ar-SA"/>
        </w:rPr>
        <w:t>时    间：2025年1</w:t>
      </w:r>
      <w:r>
        <w:rPr>
          <w:rFonts w:hint="eastAsia" w:ascii="Times New Roman" w:hAnsi="Times New Roman" w:eastAsia="宋体" w:cs="Times New Roman"/>
          <w:b w:val="0"/>
          <w:bCs w:val="0"/>
          <w:color w:val="auto"/>
          <w:w w:val="100"/>
          <w:kern w:val="0"/>
          <w:sz w:val="28"/>
          <w:szCs w:val="28"/>
          <w:highlight w:val="none"/>
          <w:u w:val="none"/>
          <w:lang w:val="en-US" w:eastAsia="zh-CN" w:bidi="ar-SA"/>
        </w:rPr>
        <w:t>1</w:t>
      </w:r>
      <w:r>
        <w:rPr>
          <w:rFonts w:hint="default" w:ascii="Times New Roman" w:hAnsi="Times New Roman" w:eastAsia="宋体" w:cs="Times New Roman"/>
          <w:b w:val="0"/>
          <w:bCs w:val="0"/>
          <w:color w:val="auto"/>
          <w:w w:val="100"/>
          <w:kern w:val="0"/>
          <w:sz w:val="28"/>
          <w:szCs w:val="28"/>
          <w:highlight w:val="none"/>
          <w:u w:val="none"/>
          <w:lang w:val="en-US" w:eastAsia="zh-CN" w:bidi="ar-SA"/>
        </w:rPr>
        <w:t>月</w:t>
      </w:r>
    </w:p>
    <w:p w14:paraId="00686529">
      <w:pPr>
        <w:spacing w:before="0" w:beforeLines="0" w:after="0" w:afterLines="0" w:line="240" w:lineRule="auto"/>
        <w:ind w:left="0" w:leftChars="0" w:right="0" w:rightChars="0" w:firstLine="0" w:firstLineChars="0"/>
        <w:jc w:val="center"/>
        <w:rPr>
          <w:rFonts w:ascii="Times New Roman" w:hAnsi="Times New Roman" w:eastAsia="宋体" w:cs="Times New Roman"/>
          <w:b/>
          <w:bCs/>
          <w:color w:val="auto"/>
          <w:sz w:val="32"/>
          <w:szCs w:val="32"/>
          <w:highlight w:val="none"/>
        </w:rPr>
      </w:pPr>
      <w:r>
        <w:rPr>
          <w:rFonts w:ascii="宋体" w:hAnsi="宋体" w:eastAsia="宋体" w:cs="Times New Roman"/>
          <w:b/>
          <w:bCs/>
          <w:color w:val="auto"/>
          <w:sz w:val="32"/>
          <w:szCs w:val="32"/>
          <w:highlight w:val="none"/>
        </w:rPr>
        <w:t>目</w:t>
      </w:r>
      <w:r>
        <w:rPr>
          <w:rFonts w:hint="eastAsia" w:ascii="宋体" w:hAnsi="宋体" w:eastAsia="宋体" w:cs="Times New Roman"/>
          <w:b/>
          <w:bCs/>
          <w:color w:val="auto"/>
          <w:sz w:val="32"/>
          <w:szCs w:val="32"/>
          <w:highlight w:val="none"/>
          <w:lang w:val="en-US" w:eastAsia="zh-CN"/>
        </w:rPr>
        <w:t xml:space="preserve">    </w:t>
      </w:r>
      <w:r>
        <w:rPr>
          <w:rFonts w:ascii="宋体" w:hAnsi="宋体" w:eastAsia="宋体" w:cs="Times New Roman"/>
          <w:b/>
          <w:bCs/>
          <w:color w:val="auto"/>
          <w:sz w:val="32"/>
          <w:szCs w:val="32"/>
          <w:highlight w:val="none"/>
        </w:rPr>
        <w:t>录</w:t>
      </w:r>
    </w:p>
    <w:p w14:paraId="3973076D">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bCs w:val="0"/>
          <w:color w:val="auto"/>
          <w:w w:val="100"/>
          <w:sz w:val="24"/>
          <w:szCs w:val="24"/>
          <w:highlight w:val="none"/>
          <w:u w:val="none"/>
          <w:lang w:val="en-US" w:eastAsia="zh-CN"/>
        </w:rPr>
        <w:fldChar w:fldCharType="begin"/>
      </w:r>
      <w:r>
        <w:rPr>
          <w:rFonts w:hint="default" w:ascii="Times New Roman" w:hAnsi="Times New Roman" w:eastAsia="宋体" w:cs="Times New Roman"/>
          <w:b w:val="0"/>
          <w:bCs w:val="0"/>
          <w:color w:val="auto"/>
          <w:w w:val="100"/>
          <w:sz w:val="24"/>
          <w:szCs w:val="24"/>
          <w:highlight w:val="none"/>
          <w:u w:val="none"/>
          <w:lang w:val="en-US" w:eastAsia="zh-CN"/>
        </w:rPr>
        <w:instrText xml:space="preserve">TOC \o "1-3" \h \u </w:instrText>
      </w:r>
      <w:r>
        <w:rPr>
          <w:rFonts w:hint="default" w:ascii="Times New Roman" w:hAnsi="Times New Roman" w:eastAsia="宋体" w:cs="Times New Roman"/>
          <w:b w:val="0"/>
          <w:bCs w:val="0"/>
          <w:color w:val="auto"/>
          <w:w w:val="100"/>
          <w:sz w:val="24"/>
          <w:szCs w:val="24"/>
          <w:highlight w:val="none"/>
          <w:u w:val="none"/>
          <w:lang w:val="en-US" w:eastAsia="zh-CN"/>
        </w:rPr>
        <w:fldChar w:fldCharType="separate"/>
      </w:r>
    </w:p>
    <w:p w14:paraId="6B3CBFAD">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_Toc22357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1.总则</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_Toc22357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1F86D39A">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_Toc6943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color w:val="auto"/>
          <w:sz w:val="24"/>
          <w:szCs w:val="24"/>
          <w:highlight w:val="none"/>
          <w:lang w:val="en-US" w:eastAsia="zh-CN"/>
        </w:rPr>
        <w:t>1.1项目由来</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_Toc6943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703097D7">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_Toc11011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1.2编制依据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_Toc11011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3FCF7FF9">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_Toc4350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2.评价依据</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_Toc4350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78F9A7B6">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_Toc26570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2.1风险调查</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_Toc26570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479322A4">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_Toc11298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2.2风险潜势初判及评价等级</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_Toc11298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3A0895CC">
      <w:pPr>
        <w:pStyle w:val="9"/>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_Toc7190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color w:val="auto"/>
          <w:sz w:val="24"/>
          <w:szCs w:val="24"/>
          <w:highlight w:val="none"/>
          <w:lang w:val="en-US" w:eastAsia="zh-CN"/>
        </w:rPr>
        <w:t>2.2.1危险物质数量与临界量比值 Q 值的确定</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_Toc7190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6D905F92">
      <w:pPr>
        <w:pStyle w:val="9"/>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_Toc4022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2.2.2评价等级及评价范围</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_Toc4022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3F9878C5">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_Toc15119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3.环境敏感目标调查</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_Toc15119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48324DFE">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_Toc29763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4.风险识别</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_Toc29763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0DFC61E1">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_Toc27928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4.1风险物质识别</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_Toc27928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29EB8753">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_Toc21175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4.2生产系统危险性识别</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_Toc21175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6</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3CBF7922">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_Toc14641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4.3扩散途径识别</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_Toc14641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7</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0F05E2A3">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_Toc26803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4.4风险识别结果</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_Toc26803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2A5A4579">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_Toc30351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5.环境风险分析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_Toc30351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2DCDCB42">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_Toc26693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5.1大气环境风险分析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_Toc26693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8</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5D258319">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_Toc12272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5.2地表水及地下水环境风险分析</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_Toc12272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9</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0097B30E">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_Toc30332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6.环境风险防范措施及应急要求</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_Toc30332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3904C08C">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_Toc11878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6.1环境风险防范措施</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_Toc11878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4E66C674">
      <w:pPr>
        <w:pStyle w:val="18"/>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_Toc30573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6.2应急要求</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_Toc30573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10</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5F59A559">
      <w:pPr>
        <w:pStyle w:val="16"/>
        <w:keepNext w:val="0"/>
        <w:keepLines w:val="0"/>
        <w:pageBreakBefore w:val="0"/>
        <w:tabs>
          <w:tab w:val="right" w:leader="dot" w:pos="8844"/>
        </w:tabs>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val="0"/>
          <w:color w:val="auto"/>
          <w:w w:val="100"/>
          <w:sz w:val="24"/>
          <w:szCs w:val="24"/>
          <w:highlight w:val="none"/>
          <w:u w:val="none"/>
          <w:lang w:val="en-US" w:eastAsia="zh-CN"/>
        </w:rPr>
        <w:fldChar w:fldCharType="begin"/>
      </w:r>
      <w:r>
        <w:rPr>
          <w:rFonts w:hint="default" w:ascii="Times New Roman" w:hAnsi="Times New Roman" w:eastAsia="宋体" w:cs="Times New Roman"/>
          <w:bCs w:val="0"/>
          <w:color w:val="auto"/>
          <w:w w:val="100"/>
          <w:sz w:val="24"/>
          <w:szCs w:val="24"/>
          <w:highlight w:val="none"/>
          <w:lang w:val="en-US" w:eastAsia="zh-CN"/>
        </w:rPr>
        <w:instrText xml:space="preserve"> HYPERLINK \l _Toc20407 </w:instrText>
      </w:r>
      <w:r>
        <w:rPr>
          <w:rFonts w:hint="default" w:ascii="Times New Roman" w:hAnsi="Times New Roman" w:eastAsia="宋体" w:cs="Times New Roman"/>
          <w:bCs w:val="0"/>
          <w:color w:val="auto"/>
          <w:w w:val="100"/>
          <w:sz w:val="24"/>
          <w:szCs w:val="24"/>
          <w:highlight w:val="none"/>
          <w:lang w:val="en-US" w:eastAsia="zh-CN"/>
        </w:rPr>
        <w:fldChar w:fldCharType="separate"/>
      </w:r>
      <w:r>
        <w:rPr>
          <w:rFonts w:hint="default" w:ascii="Times New Roman" w:hAnsi="Times New Roman" w:eastAsia="宋体" w:cs="Times New Roman"/>
          <w:bCs/>
          <w:color w:val="auto"/>
          <w:sz w:val="24"/>
          <w:szCs w:val="24"/>
          <w:highlight w:val="none"/>
          <w:lang w:val="en-US" w:eastAsia="zh-CN"/>
        </w:rPr>
        <w:t>7.结论</w:t>
      </w:r>
      <w:r>
        <w:rPr>
          <w:rFonts w:hint="default" w:ascii="Times New Roman" w:hAnsi="Times New Roman" w:eastAsia="宋体" w:cs="Times New Roman"/>
          <w:color w:val="auto"/>
          <w:sz w:val="24"/>
          <w:szCs w:val="24"/>
          <w:highlight w:val="none"/>
        </w:rPr>
        <w:tab/>
      </w:r>
      <w:r>
        <w:rPr>
          <w:rFonts w:hint="default" w:ascii="Times New Roman" w:hAnsi="Times New Roman" w:eastAsia="宋体" w:cs="Times New Roman"/>
          <w:color w:val="auto"/>
          <w:sz w:val="24"/>
          <w:szCs w:val="24"/>
          <w:highlight w:val="none"/>
        </w:rPr>
        <w:fldChar w:fldCharType="begin"/>
      </w:r>
      <w:r>
        <w:rPr>
          <w:rFonts w:hint="default" w:ascii="Times New Roman" w:hAnsi="Times New Roman" w:eastAsia="宋体" w:cs="Times New Roman"/>
          <w:color w:val="auto"/>
          <w:sz w:val="24"/>
          <w:szCs w:val="24"/>
          <w:highlight w:val="none"/>
        </w:rPr>
        <w:instrText xml:space="preserve"> PAGEREF _Toc20407 \h </w:instrText>
      </w:r>
      <w:r>
        <w:rPr>
          <w:rFonts w:hint="default" w:ascii="Times New Roman" w:hAnsi="Times New Roman" w:eastAsia="宋体" w:cs="Times New Roman"/>
          <w:color w:val="auto"/>
          <w:sz w:val="24"/>
          <w:szCs w:val="24"/>
          <w:highlight w:val="none"/>
        </w:rPr>
        <w:fldChar w:fldCharType="separate"/>
      </w:r>
      <w:r>
        <w:rPr>
          <w:rFonts w:hint="default" w:ascii="Times New Roman" w:hAnsi="Times New Roman" w:eastAsia="宋体" w:cs="Times New Roman"/>
          <w:color w:val="auto"/>
          <w:sz w:val="24"/>
          <w:szCs w:val="24"/>
          <w:highlight w:val="none"/>
        </w:rPr>
        <w:t>12</w:t>
      </w:r>
      <w:r>
        <w:rPr>
          <w:rFonts w:hint="default" w:ascii="Times New Roman" w:hAnsi="Times New Roman" w:eastAsia="宋体" w:cs="Times New Roman"/>
          <w:color w:val="auto"/>
          <w:sz w:val="24"/>
          <w:szCs w:val="24"/>
          <w:highlight w:val="none"/>
        </w:rPr>
        <w:fldChar w:fldCharType="end"/>
      </w:r>
      <w:r>
        <w:rPr>
          <w:rFonts w:hint="default" w:ascii="Times New Roman" w:hAnsi="Times New Roman" w:eastAsia="宋体" w:cs="Times New Roman"/>
          <w:bCs w:val="0"/>
          <w:color w:val="auto"/>
          <w:w w:val="100"/>
          <w:sz w:val="24"/>
          <w:szCs w:val="24"/>
          <w:highlight w:val="none"/>
          <w:u w:val="none"/>
          <w:lang w:val="en-US" w:eastAsia="zh-CN"/>
        </w:rPr>
        <w:fldChar w:fldCharType="end"/>
      </w:r>
    </w:p>
    <w:p w14:paraId="004355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firstLine="1440" w:firstLineChars="600"/>
        <w:jc w:val="both"/>
        <w:textAlignment w:val="auto"/>
        <w:rPr>
          <w:rFonts w:hint="default" w:ascii="Times New Roman" w:hAnsi="Times New Roman" w:eastAsia="宋体" w:cs="Times New Roman"/>
          <w:bCs w:val="0"/>
          <w:color w:val="auto"/>
          <w:w w:val="100"/>
          <w:kern w:val="0"/>
          <w:sz w:val="24"/>
          <w:szCs w:val="24"/>
          <w:highlight w:val="none"/>
          <w:u w:val="none"/>
          <w:lang w:val="en-US" w:eastAsia="zh-CN" w:bidi="ar-SA"/>
        </w:rPr>
      </w:pPr>
      <w:r>
        <w:rPr>
          <w:rFonts w:hint="default" w:ascii="Times New Roman" w:hAnsi="Times New Roman" w:eastAsia="宋体" w:cs="Times New Roman"/>
          <w:bCs w:val="0"/>
          <w:color w:val="auto"/>
          <w:w w:val="100"/>
          <w:kern w:val="0"/>
          <w:sz w:val="24"/>
          <w:szCs w:val="24"/>
          <w:highlight w:val="none"/>
          <w:u w:val="none"/>
          <w:lang w:val="en-US" w:eastAsia="zh-CN" w:bidi="ar-SA"/>
        </w:rPr>
        <w:fldChar w:fldCharType="end"/>
      </w:r>
    </w:p>
    <w:p w14:paraId="7C81E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firstLine="1440" w:firstLineChars="600"/>
        <w:jc w:val="both"/>
        <w:textAlignment w:val="auto"/>
        <w:rPr>
          <w:rFonts w:hint="default" w:ascii="Times New Roman" w:hAnsi="Times New Roman" w:eastAsia="宋体" w:cs="Times New Roman"/>
          <w:bCs w:val="0"/>
          <w:color w:val="auto"/>
          <w:w w:val="100"/>
          <w:sz w:val="24"/>
          <w:szCs w:val="24"/>
          <w:highlight w:val="none"/>
          <w:u w:val="none"/>
          <w:lang w:val="en-US" w:eastAsia="zh-CN"/>
        </w:rPr>
        <w:sectPr>
          <w:footerReference r:id="rId7"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5D30442">
      <w:pPr>
        <w:pStyle w:val="2"/>
        <w:bidi w:val="0"/>
        <w:rPr>
          <w:rFonts w:hint="eastAsia" w:ascii="宋体" w:hAnsi="宋体" w:eastAsia="宋体" w:cs="宋体"/>
          <w:b/>
          <w:bCs/>
          <w:color w:val="auto"/>
          <w:sz w:val="32"/>
          <w:szCs w:val="32"/>
          <w:highlight w:val="none"/>
          <w:lang w:val="en-US" w:eastAsia="zh-CN"/>
        </w:rPr>
      </w:pPr>
      <w:bookmarkStart w:id="15" w:name="_Toc22357"/>
      <w:r>
        <w:rPr>
          <w:rFonts w:hint="eastAsia" w:ascii="宋体" w:hAnsi="宋体" w:eastAsia="宋体" w:cs="宋体"/>
          <w:b/>
          <w:bCs/>
          <w:color w:val="auto"/>
          <w:sz w:val="32"/>
          <w:szCs w:val="32"/>
          <w:highlight w:val="none"/>
          <w:lang w:val="en-US" w:eastAsia="zh-CN"/>
        </w:rPr>
        <w:t>1.总则</w:t>
      </w:r>
      <w:bookmarkEnd w:id="15"/>
    </w:p>
    <w:p w14:paraId="689F7D0B">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30"/>
          <w:szCs w:val="30"/>
          <w:highlight w:val="none"/>
          <w:lang w:val="en-US" w:eastAsia="zh-CN"/>
        </w:rPr>
      </w:pPr>
      <w:bookmarkStart w:id="16" w:name="_Toc6943"/>
      <w:r>
        <w:rPr>
          <w:rFonts w:hint="eastAsia" w:ascii="宋体" w:hAnsi="宋体" w:eastAsia="宋体" w:cs="宋体"/>
          <w:color w:val="auto"/>
          <w:sz w:val="30"/>
          <w:szCs w:val="30"/>
          <w:highlight w:val="none"/>
          <w:lang w:val="en-US" w:eastAsia="zh-CN"/>
        </w:rPr>
        <w:t>1.1项目由来</w:t>
      </w:r>
      <w:bookmarkEnd w:id="16"/>
    </w:p>
    <w:p w14:paraId="255F50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w w:val="100"/>
          <w:kern w:val="21"/>
          <w:sz w:val="24"/>
          <w:szCs w:val="24"/>
          <w:highlight w:val="none"/>
          <w:u w:val="none"/>
          <w:lang w:val="en-US" w:eastAsia="zh-CN"/>
        </w:rPr>
        <w:t>鄂尔多斯市苏里格建设发展有限公司建设</w:t>
      </w:r>
      <w:r>
        <w:rPr>
          <w:rFonts w:hint="eastAsia" w:ascii="Times New Roman" w:hAnsi="Times New Roman" w:eastAsia="宋体" w:cs="Times New Roman"/>
          <w:color w:val="auto"/>
          <w:w w:val="100"/>
          <w:kern w:val="21"/>
          <w:sz w:val="24"/>
          <w:szCs w:val="24"/>
          <w:highlight w:val="none"/>
          <w:u w:val="none"/>
          <w:lang w:val="en-US" w:eastAsia="zh-CN"/>
        </w:rPr>
        <w:t>的</w:t>
      </w:r>
      <w:r>
        <w:rPr>
          <w:rFonts w:hint="default" w:ascii="Times New Roman" w:hAnsi="Times New Roman" w:eastAsia="宋体" w:cs="Times New Roman"/>
          <w:color w:val="auto"/>
          <w:w w:val="100"/>
          <w:kern w:val="21"/>
          <w:sz w:val="24"/>
          <w:szCs w:val="24"/>
          <w:highlight w:val="none"/>
          <w:u w:val="none"/>
          <w:lang w:val="en-US" w:eastAsia="zh-CN"/>
        </w:rPr>
        <w:t>鄂尔多斯现代煤化工创新技术中试项目</w:t>
      </w:r>
      <w:r>
        <w:rPr>
          <w:rFonts w:hint="eastAsia" w:ascii="Times New Roman" w:hAnsi="Times New Roman" w:eastAsia="宋体" w:cs="Times New Roman"/>
          <w:color w:val="auto"/>
          <w:w w:val="100"/>
          <w:kern w:val="21"/>
          <w:sz w:val="24"/>
          <w:szCs w:val="24"/>
          <w:highlight w:val="none"/>
          <w:u w:val="none"/>
          <w:lang w:val="en-US" w:eastAsia="zh-CN"/>
        </w:rPr>
        <w:t>位于</w:t>
      </w:r>
      <w:r>
        <w:rPr>
          <w:rFonts w:hint="default" w:ascii="Times New Roman" w:hAnsi="Times New Roman" w:eastAsia="宋体" w:cs="Times New Roman"/>
          <w:color w:val="auto"/>
          <w:kern w:val="0"/>
          <w:sz w:val="24"/>
          <w:szCs w:val="24"/>
          <w:highlight w:val="none"/>
          <w:lang w:val="en-US" w:eastAsia="zh-CN" w:bidi="ar"/>
        </w:rPr>
        <w:t>苏里格经济开发区图克工业项目区</w:t>
      </w:r>
      <w:r>
        <w:rPr>
          <w:rFonts w:hint="default" w:ascii="Times New Roman" w:hAnsi="Times New Roman" w:eastAsia="宋体" w:cs="Times New Roman"/>
          <w:color w:val="auto"/>
          <w:w w:val="100"/>
          <w:kern w:val="21"/>
          <w:sz w:val="24"/>
          <w:szCs w:val="24"/>
          <w:highlight w:val="none"/>
          <w:u w:val="none"/>
          <w:lang w:val="en-US" w:eastAsia="zh-CN"/>
        </w:rPr>
        <w:t>，</w:t>
      </w:r>
      <w:r>
        <w:rPr>
          <w:rFonts w:hint="eastAsia" w:ascii="Times New Roman" w:hAnsi="Times New Roman" w:eastAsia="宋体" w:cs="Times New Roman"/>
          <w:color w:val="auto"/>
          <w:w w:val="100"/>
          <w:kern w:val="21"/>
          <w:sz w:val="24"/>
          <w:szCs w:val="24"/>
          <w:highlight w:val="none"/>
          <w:u w:val="none"/>
          <w:lang w:val="en-US" w:eastAsia="zh-CN"/>
        </w:rPr>
        <w:t>该中试基地主要从事煤化工科研中试，转化科技成果，通过技术创新推动苏里格经济开发区产业升级。本次</w:t>
      </w:r>
      <w:r>
        <w:rPr>
          <w:rFonts w:hint="default" w:ascii="Times New Roman" w:hAnsi="Times New Roman" w:eastAsia="宋体" w:cs="Times New Roman"/>
          <w:color w:val="auto"/>
          <w:w w:val="100"/>
          <w:kern w:val="21"/>
          <w:sz w:val="24"/>
          <w:szCs w:val="24"/>
          <w:highlight w:val="none"/>
          <w:u w:val="none"/>
          <w:lang w:val="en-US" w:eastAsia="zh-CN"/>
        </w:rPr>
        <w:t>鄂尔多斯现代煤化工创新技术中试</w:t>
      </w:r>
      <w:r>
        <w:rPr>
          <w:rFonts w:hint="eastAsia" w:ascii="Times New Roman" w:hAnsi="Times New Roman" w:eastAsia="宋体" w:cs="Times New Roman"/>
          <w:color w:val="auto"/>
          <w:w w:val="100"/>
          <w:kern w:val="21"/>
          <w:sz w:val="24"/>
          <w:szCs w:val="24"/>
          <w:highlight w:val="none"/>
          <w:u w:val="none"/>
          <w:lang w:val="en-US" w:eastAsia="zh-CN"/>
        </w:rPr>
        <w:t>基地基础设施项目为该基地基础工程建设，为后续入驻中试项目提供完善的生产试验基础设施。由于项目由中试基地内管廊和外部危化品管廊工程两部分组成，根据</w:t>
      </w:r>
      <w:r>
        <w:rPr>
          <w:rFonts w:hint="eastAsia" w:ascii="Times New Roman" w:hAnsi="Times New Roman" w:eastAsia="宋体" w:cs="Times New Roman"/>
          <w:color w:val="auto"/>
          <w:sz w:val="24"/>
          <w:szCs w:val="24"/>
          <w:highlight w:val="none"/>
          <w:lang w:val="en-US" w:eastAsia="zh-CN"/>
        </w:rPr>
        <w:t>《建设项目环境影响报告表编制技术指南（生态影响类）（试行）》表1专项评价设置原则表，本项目涉及基地外危险化学品（氢气管道、富一氧化碳气管道）输送管线建设，因此须开展环境风险专项评价。</w:t>
      </w:r>
    </w:p>
    <w:p w14:paraId="7841FB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本次环境风险专项评价重点为包括基地厂址外部管廊工程涉及的氢气管道和富一氧化碳管道以及基地内氢气管道、富一氧化碳管道、天然气输送管道以及危废库危险废物。</w:t>
      </w:r>
    </w:p>
    <w:p w14:paraId="721668B7">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0"/>
          <w:szCs w:val="30"/>
          <w:highlight w:val="none"/>
          <w:lang w:val="en-US" w:eastAsia="zh-CN"/>
        </w:rPr>
      </w:pPr>
      <w:bookmarkStart w:id="17" w:name="_Toc11011"/>
      <w:r>
        <w:rPr>
          <w:rFonts w:hint="eastAsia" w:ascii="宋体" w:hAnsi="宋体" w:eastAsia="宋体" w:cs="宋体"/>
          <w:b/>
          <w:bCs/>
          <w:color w:val="auto"/>
          <w:sz w:val="30"/>
          <w:szCs w:val="30"/>
          <w:highlight w:val="none"/>
          <w:lang w:val="en-US" w:eastAsia="zh-CN"/>
        </w:rPr>
        <w:t>1.2编制依据</w:t>
      </w:r>
      <w:bookmarkEnd w:id="17"/>
    </w:p>
    <w:p w14:paraId="3C6593D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1.《环境影响评价技术导则 总纲》(HJ2.1-2016)； </w:t>
      </w:r>
    </w:p>
    <w:p w14:paraId="6C7952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2.《建设项目环境风险评价技术导则》（HJ 169-2018）； </w:t>
      </w:r>
    </w:p>
    <w:p w14:paraId="58F8C5C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3.《建设项目环境保护管理条例》（2017年10月1日）； </w:t>
      </w:r>
    </w:p>
    <w:p w14:paraId="15ABCED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4.《建设项目环境影响评价分类管理目录》（2021年版）； </w:t>
      </w:r>
    </w:p>
    <w:p w14:paraId="4B572D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5.《输气管道工程设计规范》（GB 50251-2015）；</w:t>
      </w:r>
    </w:p>
    <w:p w14:paraId="63D5AFF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6.《危险化学品重大危险源辨识》（GB18218-2018）； </w:t>
      </w:r>
    </w:p>
    <w:p w14:paraId="6A84E14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7.《危险化学品》生产装置和储存设施风险基准（GB36894-2018）； </w:t>
      </w:r>
    </w:p>
    <w:p w14:paraId="6B36375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8.《危险货物管道输送安全管理规定》（交通运输部令2021年第29号）； </w:t>
      </w:r>
    </w:p>
    <w:p w14:paraId="5CB922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 xml:space="preserve">9.《企业突发环境事件风险分级方法》（HJ941-2018）； </w:t>
      </w:r>
    </w:p>
    <w:p w14:paraId="2F161CA1">
      <w:pPr>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
        </w:rPr>
        <w:t>10.</w:t>
      </w:r>
      <w:r>
        <w:rPr>
          <w:rFonts w:hint="default" w:ascii="Times New Roman" w:hAnsi="Times New Roman" w:eastAsia="宋体" w:cs="Times New Roman"/>
          <w:color w:val="auto"/>
          <w:kern w:val="2"/>
          <w:sz w:val="24"/>
          <w:szCs w:val="24"/>
          <w:highlight w:val="none"/>
          <w:lang w:val="en-US" w:eastAsia="zh-CN" w:bidi="ar-SA"/>
        </w:rPr>
        <w:t>《建设项目环境影响报告表编制技术指南（生态影响类）（试行）》；</w:t>
      </w:r>
    </w:p>
    <w:p w14:paraId="54E9148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11.《建设项目环境影响报告表编制技术指南（污染影响类）（试行）》。</w:t>
      </w:r>
    </w:p>
    <w:p w14:paraId="178A1367">
      <w:pPr>
        <w:pStyle w:val="2"/>
        <w:bidi w:val="0"/>
        <w:rPr>
          <w:rFonts w:hint="default" w:ascii="宋体" w:hAnsi="宋体" w:eastAsia="宋体" w:cs="宋体"/>
          <w:b/>
          <w:bCs/>
          <w:color w:val="auto"/>
          <w:sz w:val="32"/>
          <w:szCs w:val="32"/>
          <w:highlight w:val="none"/>
          <w:lang w:val="en-US" w:eastAsia="zh-CN"/>
        </w:rPr>
      </w:pPr>
      <w:bookmarkStart w:id="18" w:name="_Toc4350"/>
      <w:r>
        <w:rPr>
          <w:rFonts w:hint="eastAsia" w:ascii="宋体" w:hAnsi="宋体" w:eastAsia="宋体" w:cs="宋体"/>
          <w:b/>
          <w:bCs/>
          <w:color w:val="auto"/>
          <w:sz w:val="32"/>
          <w:szCs w:val="32"/>
          <w:highlight w:val="none"/>
          <w:lang w:val="en-US" w:eastAsia="zh-CN"/>
        </w:rPr>
        <w:t>2.评价依据</w:t>
      </w:r>
      <w:bookmarkEnd w:id="18"/>
    </w:p>
    <w:p w14:paraId="54D5F417">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30"/>
          <w:szCs w:val="30"/>
          <w:highlight w:val="none"/>
          <w:lang w:val="en-US" w:eastAsia="zh-CN"/>
        </w:rPr>
      </w:pPr>
      <w:bookmarkStart w:id="19" w:name="_Toc26570"/>
      <w:r>
        <w:rPr>
          <w:rFonts w:hint="eastAsia" w:ascii="宋体" w:hAnsi="宋体" w:eastAsia="宋体" w:cs="宋体"/>
          <w:b/>
          <w:bCs/>
          <w:color w:val="auto"/>
          <w:sz w:val="30"/>
          <w:szCs w:val="30"/>
          <w:highlight w:val="none"/>
          <w:lang w:val="en-US" w:eastAsia="zh-CN"/>
        </w:rPr>
        <w:t>2.1风险调查</w:t>
      </w:r>
      <w:bookmarkEnd w:id="19"/>
    </w:p>
    <w:p w14:paraId="0E3CBF8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w w:val="100"/>
          <w:kern w:val="21"/>
          <w:sz w:val="24"/>
          <w:szCs w:val="24"/>
          <w:highlight w:val="none"/>
          <w:u w:val="none"/>
          <w:lang w:val="en-US" w:eastAsia="zh-CN" w:bidi="ar"/>
        </w:rPr>
      </w:pPr>
      <w:r>
        <w:rPr>
          <w:rFonts w:hint="eastAsia" w:ascii="Times New Roman" w:hAnsi="Times New Roman" w:eastAsia="宋体" w:cs="Times New Roman"/>
          <w:color w:val="auto"/>
          <w:w w:val="100"/>
          <w:kern w:val="21"/>
          <w:sz w:val="24"/>
          <w:szCs w:val="24"/>
          <w:highlight w:val="none"/>
          <w:u w:val="none"/>
          <w:lang w:val="en-US" w:eastAsia="zh-CN" w:bidi="ar"/>
        </w:rPr>
        <w:t>（1）项目建设内容</w:t>
      </w:r>
    </w:p>
    <w:p w14:paraId="532FFA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w w:val="100"/>
          <w:kern w:val="21"/>
          <w:sz w:val="24"/>
          <w:szCs w:val="24"/>
          <w:highlight w:val="none"/>
          <w:u w:val="none"/>
          <w:lang w:val="en-US" w:eastAsia="zh-CN" w:bidi="ar"/>
        </w:rPr>
        <w:t>鄂尔多斯现代煤化工创新技术中试</w:t>
      </w:r>
      <w:r>
        <w:rPr>
          <w:rFonts w:hint="eastAsia" w:ascii="Times New Roman" w:hAnsi="Times New Roman" w:eastAsia="宋体" w:cs="Times New Roman"/>
          <w:color w:val="auto"/>
          <w:w w:val="100"/>
          <w:kern w:val="21"/>
          <w:sz w:val="24"/>
          <w:szCs w:val="24"/>
          <w:highlight w:val="none"/>
          <w:u w:val="none"/>
          <w:lang w:val="en-US" w:eastAsia="zh-CN" w:bidi="ar"/>
        </w:rPr>
        <w:t>基地基础设施建设项目建设内容</w:t>
      </w:r>
      <w:r>
        <w:rPr>
          <w:rFonts w:hint="default" w:ascii="Times New Roman" w:hAnsi="Times New Roman" w:eastAsia="宋体" w:cs="Times New Roman"/>
          <w:b w:val="0"/>
          <w:bCs w:val="0"/>
          <w:color w:val="auto"/>
          <w:kern w:val="0"/>
          <w:sz w:val="24"/>
          <w:szCs w:val="24"/>
          <w:highlight w:val="none"/>
          <w:lang w:val="en-US" w:eastAsia="zh-CN" w:bidi="ar"/>
        </w:rPr>
        <w:t>包括中试基地内基础设施工程和</w:t>
      </w:r>
      <w:r>
        <w:rPr>
          <w:rFonts w:hint="eastAsia" w:ascii="Times New Roman" w:hAnsi="Times New Roman" w:eastAsia="宋体" w:cs="Times New Roman"/>
          <w:b w:val="0"/>
          <w:bCs w:val="0"/>
          <w:color w:val="auto"/>
          <w:kern w:val="0"/>
          <w:sz w:val="24"/>
          <w:szCs w:val="24"/>
          <w:highlight w:val="none"/>
          <w:lang w:val="en-US" w:eastAsia="zh-CN" w:bidi="ar"/>
        </w:rPr>
        <w:t>基地</w:t>
      </w:r>
      <w:r>
        <w:rPr>
          <w:rFonts w:hint="default" w:ascii="Times New Roman" w:hAnsi="Times New Roman" w:eastAsia="宋体" w:cs="Times New Roman"/>
          <w:b w:val="0"/>
          <w:bCs w:val="0"/>
          <w:color w:val="auto"/>
          <w:kern w:val="0"/>
          <w:sz w:val="24"/>
          <w:szCs w:val="24"/>
          <w:highlight w:val="none"/>
          <w:lang w:val="en-US" w:eastAsia="zh-CN" w:bidi="ar"/>
        </w:rPr>
        <w:t>外管廊工程两部分，</w:t>
      </w:r>
      <w:r>
        <w:rPr>
          <w:rFonts w:hint="eastAsia" w:ascii="Times New Roman" w:hAnsi="Times New Roman" w:eastAsia="宋体" w:cs="Times New Roman"/>
          <w:b w:val="0"/>
          <w:bCs w:val="0"/>
          <w:color w:val="auto"/>
          <w:kern w:val="0"/>
          <w:sz w:val="24"/>
          <w:szCs w:val="24"/>
          <w:highlight w:val="none"/>
          <w:lang w:val="en-US" w:eastAsia="zh-CN" w:bidi="ar"/>
        </w:rPr>
        <w:t>基地</w:t>
      </w:r>
      <w:r>
        <w:rPr>
          <w:rFonts w:hint="default" w:ascii="Times New Roman" w:hAnsi="Times New Roman" w:eastAsia="宋体" w:cs="Times New Roman"/>
          <w:b w:val="0"/>
          <w:bCs w:val="0"/>
          <w:color w:val="auto"/>
          <w:kern w:val="0"/>
          <w:sz w:val="24"/>
          <w:szCs w:val="24"/>
          <w:highlight w:val="none"/>
          <w:lang w:val="en-US" w:eastAsia="zh-CN" w:bidi="ar"/>
        </w:rPr>
        <w:t>内基础设施工程包括标准化厂房、</w:t>
      </w:r>
      <w:r>
        <w:rPr>
          <w:rFonts w:hint="eastAsia" w:ascii="Times New Roman" w:hAnsi="Times New Roman" w:eastAsia="宋体" w:cs="Times New Roman"/>
          <w:bCs/>
          <w:color w:val="auto"/>
          <w:kern w:val="0"/>
          <w:sz w:val="24"/>
          <w:szCs w:val="24"/>
          <w:highlight w:val="none"/>
          <w:lang w:val="en-US" w:eastAsia="zh-CN" w:bidi="ar"/>
        </w:rPr>
        <w:t>库房、危废库、</w:t>
      </w:r>
      <w:r>
        <w:rPr>
          <w:rFonts w:hint="default" w:ascii="Times New Roman" w:hAnsi="Times New Roman" w:eastAsia="宋体" w:cs="Times New Roman"/>
          <w:b w:val="0"/>
          <w:bCs w:val="0"/>
          <w:color w:val="auto"/>
          <w:kern w:val="0"/>
          <w:sz w:val="24"/>
          <w:szCs w:val="24"/>
          <w:highlight w:val="none"/>
          <w:lang w:val="en-US" w:eastAsia="zh-CN" w:bidi="ar"/>
        </w:rPr>
        <w:t>综合楼、研发楼</w:t>
      </w:r>
      <w:r>
        <w:rPr>
          <w:rFonts w:hint="default" w:ascii="Times New Roman" w:hAnsi="Times New Roman" w:eastAsia="宋体" w:cs="Times New Roman"/>
          <w:bCs/>
          <w:color w:val="auto"/>
          <w:kern w:val="0"/>
          <w:sz w:val="24"/>
          <w:szCs w:val="24"/>
          <w:highlight w:val="none"/>
          <w:lang w:val="en-US" w:eastAsia="zh-CN" w:bidi="ar"/>
        </w:rPr>
        <w:t>以及露天实验</w:t>
      </w:r>
      <w:r>
        <w:rPr>
          <w:rFonts w:hint="eastAsia" w:ascii="Times New Roman" w:hAnsi="Times New Roman" w:eastAsia="宋体" w:cs="Times New Roman"/>
          <w:bCs/>
          <w:color w:val="auto"/>
          <w:kern w:val="0"/>
          <w:sz w:val="24"/>
          <w:szCs w:val="24"/>
          <w:highlight w:val="none"/>
          <w:lang w:val="en-US" w:eastAsia="zh-CN" w:bidi="ar"/>
        </w:rPr>
        <w:t>平台，并配套建设</w:t>
      </w:r>
      <w:r>
        <w:rPr>
          <w:rFonts w:hint="default" w:ascii="Times New Roman" w:hAnsi="Times New Roman" w:eastAsia="宋体" w:cs="Times New Roman"/>
          <w:bCs/>
          <w:color w:val="auto"/>
          <w:kern w:val="0"/>
          <w:sz w:val="24"/>
          <w:szCs w:val="24"/>
          <w:highlight w:val="none"/>
          <w:lang w:val="en-US" w:eastAsia="zh-CN" w:bidi="ar"/>
        </w:rPr>
        <w:t>供电、供热、供气、安全、环保等公辅工程；</w:t>
      </w:r>
      <w:r>
        <w:rPr>
          <w:rFonts w:hint="eastAsia" w:ascii="Times New Roman" w:hAnsi="Times New Roman" w:eastAsia="宋体" w:cs="Times New Roman"/>
          <w:bCs/>
          <w:color w:val="auto"/>
          <w:kern w:val="0"/>
          <w:sz w:val="24"/>
          <w:szCs w:val="24"/>
          <w:highlight w:val="none"/>
          <w:lang w:val="en-US" w:eastAsia="zh-CN" w:bidi="ar"/>
        </w:rPr>
        <w:t>基地</w:t>
      </w:r>
      <w:r>
        <w:rPr>
          <w:rFonts w:hint="default" w:ascii="Times New Roman" w:hAnsi="Times New Roman" w:eastAsia="宋体" w:cs="Times New Roman"/>
          <w:bCs/>
          <w:color w:val="auto"/>
          <w:kern w:val="0"/>
          <w:sz w:val="24"/>
          <w:szCs w:val="24"/>
          <w:highlight w:val="none"/>
          <w:lang w:val="en-US" w:eastAsia="zh-CN" w:bidi="ar"/>
        </w:rPr>
        <w:t>外管廊工程为架空独立管廊，总长</w:t>
      </w:r>
      <w:r>
        <w:rPr>
          <w:rFonts w:hint="eastAsia" w:ascii="Times New Roman" w:hAnsi="Times New Roman" w:eastAsia="宋体" w:cs="Times New Roman"/>
          <w:bCs/>
          <w:color w:val="auto"/>
          <w:kern w:val="0"/>
          <w:sz w:val="24"/>
          <w:szCs w:val="24"/>
          <w:highlight w:val="none"/>
          <w:lang w:val="en-US" w:eastAsia="zh-CN" w:bidi="ar"/>
        </w:rPr>
        <w:t>215.5</w:t>
      </w:r>
      <w:r>
        <w:rPr>
          <w:rFonts w:hint="default" w:ascii="Times New Roman" w:hAnsi="Times New Roman" w:eastAsia="宋体" w:cs="Times New Roman"/>
          <w:bCs/>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lang w:val="en-US" w:eastAsia="zh-CN" w:bidi="ar"/>
        </w:rPr>
        <w:t>铺设各种试验气体管道，包括富一氧化碳气体管道</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二氧化碳气体管道、氢气管道、中压氮气管道</w:t>
      </w:r>
      <w:r>
        <w:rPr>
          <w:rFonts w:hint="eastAsia" w:ascii="Times New Roman" w:hAnsi="Times New Roman" w:eastAsia="宋体" w:cs="Times New Roman"/>
          <w:color w:val="auto"/>
          <w:kern w:val="0"/>
          <w:sz w:val="24"/>
          <w:szCs w:val="24"/>
          <w:highlight w:val="none"/>
          <w:lang w:val="en-US" w:eastAsia="zh-CN" w:bidi="ar"/>
        </w:rPr>
        <w:t>、低压</w:t>
      </w:r>
      <w:r>
        <w:rPr>
          <w:rFonts w:hint="default" w:ascii="Times New Roman" w:hAnsi="Times New Roman" w:eastAsia="宋体" w:cs="Times New Roman"/>
          <w:color w:val="auto"/>
          <w:kern w:val="0"/>
          <w:sz w:val="24"/>
          <w:szCs w:val="24"/>
          <w:highlight w:val="none"/>
          <w:lang w:val="en-US" w:eastAsia="zh-CN" w:bidi="ar"/>
        </w:rPr>
        <w:t>氮气管道、</w:t>
      </w:r>
      <w:r>
        <w:rPr>
          <w:rFonts w:hint="eastAsia" w:ascii="Times New Roman" w:hAnsi="Times New Roman" w:eastAsia="宋体" w:cs="Times New Roman"/>
          <w:color w:val="auto"/>
          <w:kern w:val="0"/>
          <w:sz w:val="24"/>
          <w:szCs w:val="24"/>
          <w:highlight w:val="none"/>
          <w:lang w:val="en-US" w:eastAsia="zh-CN" w:bidi="ar"/>
        </w:rPr>
        <w:t>工厂</w:t>
      </w:r>
      <w:r>
        <w:rPr>
          <w:rFonts w:hint="default" w:ascii="Times New Roman" w:hAnsi="Times New Roman" w:eastAsia="宋体" w:cs="Times New Roman"/>
          <w:color w:val="auto"/>
          <w:kern w:val="0"/>
          <w:sz w:val="24"/>
          <w:szCs w:val="24"/>
          <w:highlight w:val="none"/>
          <w:lang w:val="en-US" w:eastAsia="zh-CN" w:bidi="ar"/>
        </w:rPr>
        <w:t>空气管道、仪表空气管道、中压蒸汽管道、</w:t>
      </w:r>
      <w:r>
        <w:rPr>
          <w:rFonts w:hint="eastAsia" w:ascii="Times New Roman" w:hAnsi="Times New Roman" w:eastAsia="宋体" w:cs="Times New Roman"/>
          <w:color w:val="auto"/>
          <w:kern w:val="0"/>
          <w:sz w:val="24"/>
          <w:szCs w:val="24"/>
          <w:highlight w:val="none"/>
          <w:lang w:val="en-US" w:eastAsia="zh-CN" w:bidi="ar"/>
        </w:rPr>
        <w:t>蒸汽凝液管道、</w:t>
      </w:r>
      <w:r>
        <w:rPr>
          <w:rFonts w:hint="default" w:ascii="Times New Roman" w:hAnsi="Times New Roman" w:eastAsia="宋体" w:cs="Times New Roman"/>
          <w:color w:val="auto"/>
          <w:kern w:val="0"/>
          <w:sz w:val="24"/>
          <w:szCs w:val="24"/>
          <w:highlight w:val="none"/>
          <w:lang w:val="en-US" w:eastAsia="zh-CN" w:bidi="ar"/>
        </w:rPr>
        <w:t>循环水</w:t>
      </w:r>
      <w:r>
        <w:rPr>
          <w:rFonts w:hint="eastAsia" w:ascii="Times New Roman" w:hAnsi="Times New Roman" w:eastAsia="宋体" w:cs="Times New Roman"/>
          <w:color w:val="auto"/>
          <w:kern w:val="0"/>
          <w:sz w:val="24"/>
          <w:szCs w:val="24"/>
          <w:highlight w:val="none"/>
          <w:lang w:val="en-US" w:eastAsia="zh-CN" w:bidi="ar"/>
        </w:rPr>
        <w:t>排污</w:t>
      </w:r>
      <w:r>
        <w:rPr>
          <w:rFonts w:hint="default" w:ascii="Times New Roman" w:hAnsi="Times New Roman" w:eastAsia="宋体" w:cs="Times New Roman"/>
          <w:color w:val="auto"/>
          <w:kern w:val="0"/>
          <w:sz w:val="24"/>
          <w:szCs w:val="24"/>
          <w:highlight w:val="none"/>
          <w:lang w:val="en-US" w:eastAsia="zh-CN" w:bidi="ar"/>
        </w:rPr>
        <w:t>管道和生产污水管道等。</w:t>
      </w:r>
      <w:r>
        <w:rPr>
          <w:rFonts w:hint="eastAsia" w:ascii="Times New Roman" w:hAnsi="Times New Roman" w:eastAsia="宋体" w:cs="Times New Roman"/>
          <w:color w:val="auto"/>
          <w:kern w:val="0"/>
          <w:sz w:val="24"/>
          <w:szCs w:val="24"/>
          <w:highlight w:val="none"/>
          <w:lang w:val="en-US" w:eastAsia="zh-CN" w:bidi="ar"/>
        </w:rPr>
        <w:t>详细建设情况见环评报告表中建设项目工程分析表2-1，此处不再赘述。</w:t>
      </w:r>
    </w:p>
    <w:p w14:paraId="544D1B0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w w:val="100"/>
          <w:kern w:val="21"/>
          <w:sz w:val="24"/>
          <w:szCs w:val="24"/>
          <w:highlight w:val="none"/>
          <w:u w:val="none"/>
          <w:lang w:val="en-US" w:eastAsia="zh-CN" w:bidi="ar"/>
        </w:rPr>
      </w:pPr>
      <w:r>
        <w:rPr>
          <w:rFonts w:hint="eastAsia" w:ascii="Times New Roman" w:hAnsi="Times New Roman" w:eastAsia="宋体" w:cs="Times New Roman"/>
          <w:color w:val="auto"/>
          <w:w w:val="100"/>
          <w:kern w:val="21"/>
          <w:sz w:val="24"/>
          <w:szCs w:val="24"/>
          <w:highlight w:val="none"/>
          <w:u w:val="none"/>
          <w:lang w:val="en-US" w:eastAsia="zh-CN" w:bidi="ar"/>
        </w:rPr>
        <w:t>（2）风险源调查</w:t>
      </w:r>
    </w:p>
    <w:p w14:paraId="410748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本次环境风险评价风险源包括外管廊氢气管道、富一氧化碳管道和</w:t>
      </w:r>
      <w:r>
        <w:rPr>
          <w:rFonts w:hint="eastAsia" w:ascii="Times New Roman" w:hAnsi="Times New Roman" w:eastAsia="宋体" w:cs="Times New Roman"/>
          <w:b w:val="0"/>
          <w:bCs w:val="0"/>
          <w:color w:val="auto"/>
          <w:kern w:val="0"/>
          <w:sz w:val="24"/>
          <w:szCs w:val="24"/>
          <w:highlight w:val="none"/>
          <w:lang w:val="en-US" w:eastAsia="zh-CN" w:bidi="ar-SA"/>
        </w:rPr>
        <w:t>基地</w:t>
      </w:r>
      <w:r>
        <w:rPr>
          <w:rFonts w:hint="default" w:ascii="Times New Roman" w:hAnsi="Times New Roman" w:eastAsia="宋体" w:cs="Times New Roman"/>
          <w:b w:val="0"/>
          <w:bCs w:val="0"/>
          <w:color w:val="auto"/>
          <w:kern w:val="0"/>
          <w:sz w:val="24"/>
          <w:szCs w:val="24"/>
          <w:highlight w:val="none"/>
          <w:lang w:val="en-US" w:eastAsia="zh-CN" w:bidi="ar-SA"/>
        </w:rPr>
        <w:t>内氢气管道、富一氧化碳管道</w:t>
      </w:r>
      <w:r>
        <w:rPr>
          <w:rFonts w:hint="eastAsia" w:ascii="Times New Roman" w:hAnsi="Times New Roman" w:eastAsia="宋体" w:cs="Times New Roman"/>
          <w:b w:val="0"/>
          <w:bCs w:val="0"/>
          <w:color w:val="auto"/>
          <w:kern w:val="0"/>
          <w:sz w:val="24"/>
          <w:szCs w:val="24"/>
          <w:highlight w:val="none"/>
          <w:lang w:val="en-US" w:eastAsia="zh-CN" w:bidi="ar-SA"/>
        </w:rPr>
        <w:t>和</w:t>
      </w:r>
      <w:r>
        <w:rPr>
          <w:rFonts w:hint="default" w:ascii="Times New Roman" w:hAnsi="Times New Roman" w:eastAsia="宋体" w:cs="Times New Roman"/>
          <w:b w:val="0"/>
          <w:bCs w:val="0"/>
          <w:color w:val="auto"/>
          <w:kern w:val="0"/>
          <w:sz w:val="24"/>
          <w:szCs w:val="24"/>
          <w:highlight w:val="none"/>
          <w:lang w:val="en-US" w:eastAsia="zh-CN" w:bidi="ar-SA"/>
        </w:rPr>
        <w:t>天然气管道</w:t>
      </w:r>
      <w:r>
        <w:rPr>
          <w:rFonts w:hint="eastAsia" w:ascii="Times New Roman" w:hAnsi="Times New Roman" w:eastAsia="宋体" w:cs="Times New Roman"/>
          <w:b w:val="0"/>
          <w:bCs w:val="0"/>
          <w:color w:val="auto"/>
          <w:kern w:val="0"/>
          <w:sz w:val="24"/>
          <w:szCs w:val="24"/>
          <w:highlight w:val="none"/>
          <w:lang w:val="en-US" w:eastAsia="zh-CN" w:bidi="ar-SA"/>
        </w:rPr>
        <w:t>以及危废库，</w:t>
      </w:r>
      <w:r>
        <w:rPr>
          <w:rFonts w:hint="default" w:ascii="Times New Roman" w:hAnsi="Times New Roman" w:eastAsia="宋体" w:cs="Times New Roman"/>
          <w:b w:val="0"/>
          <w:bCs w:val="0"/>
          <w:color w:val="auto"/>
          <w:kern w:val="0"/>
          <w:sz w:val="24"/>
          <w:szCs w:val="24"/>
          <w:highlight w:val="none"/>
          <w:lang w:val="en-US" w:eastAsia="zh-CN" w:bidi="ar-SA"/>
        </w:rPr>
        <w:t>具体如下：</w:t>
      </w:r>
    </w:p>
    <w:p w14:paraId="5CFB6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0" w:firstLineChars="0"/>
        <w:jc w:val="center"/>
        <w:textAlignment w:val="auto"/>
        <w:rPr>
          <w:rFonts w:hint="default" w:ascii="Times New Roman" w:hAnsi="Times New Roman" w:eastAsia="宋体" w:cs="Times New Roman"/>
          <w:b/>
          <w:bCs/>
          <w:color w:val="auto"/>
          <w:kern w:val="0"/>
          <w:sz w:val="24"/>
          <w:szCs w:val="24"/>
          <w:highlight w:val="none"/>
          <w:lang w:val="en-US" w:eastAsia="zh-CN" w:bidi="ar-SA"/>
        </w:rPr>
      </w:pPr>
      <w:r>
        <w:rPr>
          <w:rFonts w:hint="default" w:ascii="Times New Roman" w:hAnsi="Times New Roman" w:eastAsia="宋体" w:cs="Times New Roman"/>
          <w:b/>
          <w:bCs/>
          <w:color w:val="auto"/>
          <w:kern w:val="0"/>
          <w:sz w:val="24"/>
          <w:szCs w:val="24"/>
          <w:highlight w:val="none"/>
          <w:lang w:val="en-US" w:eastAsia="zh-CN" w:bidi="ar-SA"/>
        </w:rPr>
        <w:t>表2-1    本项目风险源调查一览表</w:t>
      </w:r>
    </w:p>
    <w:tbl>
      <w:tblPr>
        <w:tblStyle w:val="2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835"/>
        <w:gridCol w:w="1544"/>
        <w:gridCol w:w="1554"/>
        <w:gridCol w:w="953"/>
        <w:gridCol w:w="936"/>
        <w:gridCol w:w="940"/>
        <w:gridCol w:w="1118"/>
      </w:tblGrid>
      <w:tr w14:paraId="13F88F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2" w:type="dxa"/>
            <w:tcBorders>
              <w:tl2br w:val="nil"/>
              <w:tr2bl w:val="nil"/>
            </w:tcBorders>
            <w:noWrap w:val="0"/>
            <w:vAlign w:val="center"/>
          </w:tcPr>
          <w:p w14:paraId="415576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序号</w:t>
            </w:r>
          </w:p>
        </w:tc>
        <w:tc>
          <w:tcPr>
            <w:tcW w:w="892" w:type="dxa"/>
            <w:tcBorders>
              <w:tl2br w:val="nil"/>
              <w:tr2bl w:val="nil"/>
            </w:tcBorders>
            <w:noWrap w:val="0"/>
            <w:vAlign w:val="center"/>
          </w:tcPr>
          <w:p w14:paraId="5923F0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危险单元名称</w:t>
            </w:r>
          </w:p>
        </w:tc>
        <w:tc>
          <w:tcPr>
            <w:tcW w:w="1699" w:type="dxa"/>
            <w:tcBorders>
              <w:tl2br w:val="nil"/>
              <w:tr2bl w:val="nil"/>
            </w:tcBorders>
            <w:noWrap w:val="0"/>
            <w:vAlign w:val="center"/>
          </w:tcPr>
          <w:p w14:paraId="3810A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风险源</w:t>
            </w:r>
          </w:p>
        </w:tc>
        <w:tc>
          <w:tcPr>
            <w:tcW w:w="1710" w:type="dxa"/>
            <w:tcBorders>
              <w:tl2br w:val="nil"/>
              <w:tr2bl w:val="nil"/>
            </w:tcBorders>
            <w:noWrap w:val="0"/>
            <w:vAlign w:val="center"/>
          </w:tcPr>
          <w:p w14:paraId="46B04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起止点</w:t>
            </w:r>
          </w:p>
        </w:tc>
        <w:tc>
          <w:tcPr>
            <w:tcW w:w="960" w:type="dxa"/>
            <w:tcBorders>
              <w:tl2br w:val="nil"/>
              <w:tr2bl w:val="nil"/>
            </w:tcBorders>
            <w:noWrap w:val="0"/>
            <w:vAlign w:val="center"/>
          </w:tcPr>
          <w:p w14:paraId="0167DB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管线长度m</w:t>
            </w:r>
          </w:p>
        </w:tc>
        <w:tc>
          <w:tcPr>
            <w:tcW w:w="990" w:type="dxa"/>
            <w:tcBorders>
              <w:tl2br w:val="nil"/>
              <w:tr2bl w:val="nil"/>
            </w:tcBorders>
            <w:noWrap w:val="0"/>
            <w:vAlign w:val="center"/>
          </w:tcPr>
          <w:p w14:paraId="1CC72E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管径mm</w:t>
            </w:r>
          </w:p>
        </w:tc>
        <w:tc>
          <w:tcPr>
            <w:tcW w:w="985" w:type="dxa"/>
            <w:tcBorders>
              <w:tl2br w:val="nil"/>
              <w:tr2bl w:val="nil"/>
            </w:tcBorders>
            <w:noWrap w:val="0"/>
            <w:vAlign w:val="center"/>
          </w:tcPr>
          <w:p w14:paraId="68497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压力MPa</w:t>
            </w:r>
          </w:p>
        </w:tc>
        <w:tc>
          <w:tcPr>
            <w:tcW w:w="1148" w:type="dxa"/>
            <w:tcBorders>
              <w:tl2br w:val="nil"/>
              <w:tr2bl w:val="nil"/>
            </w:tcBorders>
            <w:noWrap w:val="0"/>
            <w:vAlign w:val="center"/>
          </w:tcPr>
          <w:p w14:paraId="0399FE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在线量t</w:t>
            </w:r>
          </w:p>
        </w:tc>
      </w:tr>
      <w:tr w14:paraId="65D9E4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2" w:type="dxa"/>
            <w:tcBorders>
              <w:tl2br w:val="nil"/>
              <w:tr2bl w:val="nil"/>
            </w:tcBorders>
            <w:noWrap w:val="0"/>
            <w:vAlign w:val="center"/>
          </w:tcPr>
          <w:p w14:paraId="50039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1</w:t>
            </w:r>
          </w:p>
        </w:tc>
        <w:tc>
          <w:tcPr>
            <w:tcW w:w="892" w:type="dxa"/>
            <w:vMerge w:val="restart"/>
            <w:tcBorders>
              <w:tl2br w:val="nil"/>
              <w:tr2bl w:val="nil"/>
            </w:tcBorders>
            <w:noWrap w:val="0"/>
            <w:vAlign w:val="center"/>
          </w:tcPr>
          <w:p w14:paraId="68C895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外管廊</w:t>
            </w:r>
          </w:p>
        </w:tc>
        <w:tc>
          <w:tcPr>
            <w:tcW w:w="1699" w:type="dxa"/>
            <w:tcBorders>
              <w:tl2br w:val="nil"/>
              <w:tr2bl w:val="nil"/>
            </w:tcBorders>
            <w:noWrap w:val="0"/>
            <w:vAlign w:val="center"/>
          </w:tcPr>
          <w:p w14:paraId="178917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氢气管道</w:t>
            </w:r>
          </w:p>
        </w:tc>
        <w:tc>
          <w:tcPr>
            <w:tcW w:w="1710" w:type="dxa"/>
            <w:vMerge w:val="restart"/>
            <w:tcBorders>
              <w:tl2br w:val="nil"/>
              <w:tr2bl w:val="nil"/>
            </w:tcBorders>
            <w:noWrap w:val="0"/>
            <w:vAlign w:val="center"/>
          </w:tcPr>
          <w:p w14:paraId="687B78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cs="Times New Roman"/>
                <w:color w:val="auto"/>
                <w:szCs w:val="21"/>
                <w:highlight w:val="none"/>
                <w:u w:val="none"/>
                <w:lang w:val="en-US" w:eastAsia="zh-CN"/>
              </w:rPr>
              <w:t>中煤鄂尔多斯能源化工有限公司</w:t>
            </w:r>
            <w:r>
              <w:rPr>
                <w:rFonts w:hint="default" w:ascii="Times New Roman" w:hAnsi="Times New Roman" w:eastAsia="宋体" w:cs="Times New Roman"/>
                <w:b w:val="0"/>
                <w:bCs w:val="0"/>
                <w:color w:val="auto"/>
                <w:kern w:val="0"/>
                <w:sz w:val="21"/>
                <w:szCs w:val="21"/>
                <w:highlight w:val="none"/>
                <w:vertAlign w:val="baseline"/>
                <w:lang w:val="en-US" w:eastAsia="zh-CN" w:bidi="ar-SA"/>
              </w:rPr>
              <w:t>出厂阀门-本项目入厂阀门</w:t>
            </w:r>
          </w:p>
        </w:tc>
        <w:tc>
          <w:tcPr>
            <w:tcW w:w="960" w:type="dxa"/>
            <w:tcBorders>
              <w:tl2br w:val="nil"/>
              <w:tr2bl w:val="nil"/>
            </w:tcBorders>
            <w:noWrap w:val="0"/>
            <w:vAlign w:val="center"/>
          </w:tcPr>
          <w:p w14:paraId="5B3B3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color w:val="auto"/>
                <w:kern w:val="0"/>
                <w:sz w:val="21"/>
                <w:szCs w:val="21"/>
                <w:highlight w:val="none"/>
                <w:vertAlign w:val="baseline"/>
                <w:lang w:val="en-US" w:eastAsia="zh-CN" w:bidi="ar-SA"/>
              </w:rPr>
              <w:t>219.684</w:t>
            </w:r>
          </w:p>
        </w:tc>
        <w:tc>
          <w:tcPr>
            <w:tcW w:w="990" w:type="dxa"/>
            <w:tcBorders>
              <w:tl2br w:val="nil"/>
              <w:tr2bl w:val="nil"/>
            </w:tcBorders>
            <w:noWrap w:val="0"/>
            <w:vAlign w:val="center"/>
          </w:tcPr>
          <w:p w14:paraId="386B1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100</w:t>
            </w:r>
          </w:p>
        </w:tc>
        <w:tc>
          <w:tcPr>
            <w:tcW w:w="985" w:type="dxa"/>
            <w:tcBorders>
              <w:tl2br w:val="nil"/>
              <w:tr2bl w:val="nil"/>
            </w:tcBorders>
            <w:noWrap w:val="0"/>
            <w:vAlign w:val="center"/>
          </w:tcPr>
          <w:p w14:paraId="027AF2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3.2</w:t>
            </w:r>
          </w:p>
        </w:tc>
        <w:tc>
          <w:tcPr>
            <w:tcW w:w="1148" w:type="dxa"/>
            <w:tcBorders>
              <w:tl2br w:val="nil"/>
              <w:tr2bl w:val="nil"/>
            </w:tcBorders>
            <w:noWrap w:val="0"/>
            <w:vAlign w:val="center"/>
          </w:tcPr>
          <w:p w14:paraId="74336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0.00428</w:t>
            </w:r>
          </w:p>
        </w:tc>
      </w:tr>
      <w:tr w14:paraId="353563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2" w:type="dxa"/>
            <w:tcBorders>
              <w:tl2br w:val="nil"/>
              <w:tr2bl w:val="nil"/>
            </w:tcBorders>
            <w:noWrap w:val="0"/>
            <w:vAlign w:val="center"/>
          </w:tcPr>
          <w:p w14:paraId="543D6A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2</w:t>
            </w:r>
          </w:p>
        </w:tc>
        <w:tc>
          <w:tcPr>
            <w:tcW w:w="892" w:type="dxa"/>
            <w:vMerge w:val="continue"/>
            <w:tcBorders>
              <w:tl2br w:val="nil"/>
              <w:tr2bl w:val="nil"/>
            </w:tcBorders>
            <w:noWrap w:val="0"/>
            <w:vAlign w:val="center"/>
          </w:tcPr>
          <w:p w14:paraId="20A65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p>
        </w:tc>
        <w:tc>
          <w:tcPr>
            <w:tcW w:w="1699" w:type="dxa"/>
            <w:tcBorders>
              <w:tl2br w:val="nil"/>
              <w:tr2bl w:val="nil"/>
            </w:tcBorders>
            <w:noWrap w:val="0"/>
            <w:vAlign w:val="center"/>
          </w:tcPr>
          <w:p w14:paraId="7F4B1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富一氧化碳管道</w:t>
            </w:r>
          </w:p>
        </w:tc>
        <w:tc>
          <w:tcPr>
            <w:tcW w:w="1710" w:type="dxa"/>
            <w:vMerge w:val="continue"/>
            <w:tcBorders>
              <w:tl2br w:val="nil"/>
              <w:tr2bl w:val="nil"/>
            </w:tcBorders>
            <w:noWrap w:val="0"/>
            <w:vAlign w:val="center"/>
          </w:tcPr>
          <w:p w14:paraId="57C257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p>
        </w:tc>
        <w:tc>
          <w:tcPr>
            <w:tcW w:w="960" w:type="dxa"/>
            <w:tcBorders>
              <w:tl2br w:val="nil"/>
              <w:tr2bl w:val="nil"/>
            </w:tcBorders>
            <w:noWrap w:val="0"/>
            <w:vAlign w:val="center"/>
          </w:tcPr>
          <w:p w14:paraId="6DA19D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221.084</w:t>
            </w:r>
          </w:p>
        </w:tc>
        <w:tc>
          <w:tcPr>
            <w:tcW w:w="990" w:type="dxa"/>
            <w:tcBorders>
              <w:tl2br w:val="nil"/>
              <w:tr2bl w:val="nil"/>
            </w:tcBorders>
            <w:noWrap w:val="0"/>
            <w:vAlign w:val="center"/>
          </w:tcPr>
          <w:p w14:paraId="76928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100</w:t>
            </w:r>
          </w:p>
        </w:tc>
        <w:tc>
          <w:tcPr>
            <w:tcW w:w="985" w:type="dxa"/>
            <w:tcBorders>
              <w:tl2br w:val="nil"/>
              <w:tr2bl w:val="nil"/>
            </w:tcBorders>
            <w:noWrap w:val="0"/>
            <w:vAlign w:val="center"/>
          </w:tcPr>
          <w:p w14:paraId="07E00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2.75</w:t>
            </w:r>
          </w:p>
        </w:tc>
        <w:tc>
          <w:tcPr>
            <w:tcW w:w="1148" w:type="dxa"/>
            <w:tcBorders>
              <w:tl2br w:val="nil"/>
              <w:tr2bl w:val="nil"/>
            </w:tcBorders>
            <w:noWrap w:val="0"/>
            <w:vAlign w:val="center"/>
          </w:tcPr>
          <w:p w14:paraId="16D9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0.05175</w:t>
            </w:r>
          </w:p>
        </w:tc>
      </w:tr>
      <w:tr w14:paraId="5A6BF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2" w:type="dxa"/>
            <w:tcBorders>
              <w:tl2br w:val="nil"/>
              <w:tr2bl w:val="nil"/>
            </w:tcBorders>
            <w:noWrap w:val="0"/>
            <w:vAlign w:val="center"/>
          </w:tcPr>
          <w:p w14:paraId="17989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3</w:t>
            </w:r>
          </w:p>
        </w:tc>
        <w:tc>
          <w:tcPr>
            <w:tcW w:w="892" w:type="dxa"/>
            <w:vMerge w:val="restart"/>
            <w:tcBorders>
              <w:tl2br w:val="nil"/>
              <w:tr2bl w:val="nil"/>
            </w:tcBorders>
            <w:noWrap w:val="0"/>
            <w:vAlign w:val="center"/>
          </w:tcPr>
          <w:p w14:paraId="2A6D18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中试基地</w:t>
            </w:r>
            <w:r>
              <w:rPr>
                <w:rFonts w:hint="eastAsia" w:ascii="Times New Roman" w:hAnsi="Times New Roman" w:eastAsia="宋体" w:cs="Times New Roman"/>
                <w:b w:val="0"/>
                <w:bCs w:val="0"/>
                <w:color w:val="auto"/>
                <w:kern w:val="0"/>
                <w:sz w:val="21"/>
                <w:szCs w:val="21"/>
                <w:highlight w:val="none"/>
                <w:vertAlign w:val="baseline"/>
                <w:lang w:val="en-US" w:eastAsia="zh-CN" w:bidi="ar-SA"/>
              </w:rPr>
              <w:t>内</w:t>
            </w:r>
          </w:p>
        </w:tc>
        <w:tc>
          <w:tcPr>
            <w:tcW w:w="1699" w:type="dxa"/>
            <w:tcBorders>
              <w:tl2br w:val="nil"/>
              <w:tr2bl w:val="nil"/>
            </w:tcBorders>
            <w:noWrap w:val="0"/>
            <w:vAlign w:val="center"/>
          </w:tcPr>
          <w:p w14:paraId="3C352D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氢气管道</w:t>
            </w:r>
          </w:p>
        </w:tc>
        <w:tc>
          <w:tcPr>
            <w:tcW w:w="1710" w:type="dxa"/>
            <w:vMerge w:val="restart"/>
            <w:tcBorders>
              <w:tl2br w:val="nil"/>
              <w:tr2bl w:val="nil"/>
            </w:tcBorders>
            <w:noWrap w:val="0"/>
            <w:vAlign w:val="center"/>
          </w:tcPr>
          <w:p w14:paraId="4E93D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本项目入厂阀门至各用气车间</w:t>
            </w:r>
          </w:p>
        </w:tc>
        <w:tc>
          <w:tcPr>
            <w:tcW w:w="960" w:type="dxa"/>
            <w:tcBorders>
              <w:tl2br w:val="nil"/>
              <w:tr2bl w:val="nil"/>
            </w:tcBorders>
            <w:noWrap w:val="0"/>
            <w:vAlign w:val="center"/>
          </w:tcPr>
          <w:p w14:paraId="01BA7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589.316</w:t>
            </w:r>
          </w:p>
        </w:tc>
        <w:tc>
          <w:tcPr>
            <w:tcW w:w="990" w:type="dxa"/>
            <w:tcBorders>
              <w:tl2br w:val="nil"/>
              <w:tr2bl w:val="nil"/>
            </w:tcBorders>
            <w:noWrap w:val="0"/>
            <w:vAlign w:val="center"/>
          </w:tcPr>
          <w:p w14:paraId="631C39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100</w:t>
            </w:r>
          </w:p>
        </w:tc>
        <w:tc>
          <w:tcPr>
            <w:tcW w:w="985" w:type="dxa"/>
            <w:tcBorders>
              <w:tl2br w:val="nil"/>
              <w:tr2bl w:val="nil"/>
            </w:tcBorders>
            <w:noWrap w:val="0"/>
            <w:vAlign w:val="center"/>
          </w:tcPr>
          <w:p w14:paraId="21B9C6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3.2</w:t>
            </w:r>
          </w:p>
        </w:tc>
        <w:tc>
          <w:tcPr>
            <w:tcW w:w="1148" w:type="dxa"/>
            <w:tcBorders>
              <w:tl2br w:val="nil"/>
              <w:tr2bl w:val="nil"/>
            </w:tcBorders>
            <w:noWrap w:val="0"/>
            <w:vAlign w:val="center"/>
          </w:tcPr>
          <w:p w14:paraId="380AD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0.01194</w:t>
            </w:r>
          </w:p>
        </w:tc>
      </w:tr>
      <w:tr w14:paraId="231D74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2" w:type="dxa"/>
            <w:tcBorders>
              <w:tl2br w:val="nil"/>
              <w:tr2bl w:val="nil"/>
            </w:tcBorders>
            <w:noWrap w:val="0"/>
            <w:vAlign w:val="center"/>
          </w:tcPr>
          <w:p w14:paraId="4B2350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4</w:t>
            </w:r>
          </w:p>
        </w:tc>
        <w:tc>
          <w:tcPr>
            <w:tcW w:w="892" w:type="dxa"/>
            <w:vMerge w:val="continue"/>
            <w:tcBorders>
              <w:tl2br w:val="nil"/>
              <w:tr2bl w:val="nil"/>
            </w:tcBorders>
            <w:noWrap w:val="0"/>
            <w:vAlign w:val="center"/>
          </w:tcPr>
          <w:p w14:paraId="2DC2CD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p>
        </w:tc>
        <w:tc>
          <w:tcPr>
            <w:tcW w:w="1699" w:type="dxa"/>
            <w:tcBorders>
              <w:tl2br w:val="nil"/>
              <w:tr2bl w:val="nil"/>
            </w:tcBorders>
            <w:noWrap w:val="0"/>
            <w:vAlign w:val="center"/>
          </w:tcPr>
          <w:p w14:paraId="1028EF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富一氧化碳管道</w:t>
            </w:r>
          </w:p>
        </w:tc>
        <w:tc>
          <w:tcPr>
            <w:tcW w:w="1710" w:type="dxa"/>
            <w:vMerge w:val="continue"/>
            <w:tcBorders>
              <w:tl2br w:val="nil"/>
              <w:tr2bl w:val="nil"/>
            </w:tcBorders>
            <w:noWrap w:val="0"/>
            <w:vAlign w:val="center"/>
          </w:tcPr>
          <w:p w14:paraId="633AA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p>
        </w:tc>
        <w:tc>
          <w:tcPr>
            <w:tcW w:w="960" w:type="dxa"/>
            <w:tcBorders>
              <w:tl2br w:val="nil"/>
              <w:tr2bl w:val="nil"/>
            </w:tcBorders>
            <w:noWrap w:val="0"/>
            <w:vAlign w:val="center"/>
          </w:tcPr>
          <w:p w14:paraId="126C88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687.916</w:t>
            </w:r>
          </w:p>
        </w:tc>
        <w:tc>
          <w:tcPr>
            <w:tcW w:w="990" w:type="dxa"/>
            <w:tcBorders>
              <w:tl2br w:val="nil"/>
              <w:tr2bl w:val="nil"/>
            </w:tcBorders>
            <w:noWrap w:val="0"/>
            <w:vAlign w:val="center"/>
          </w:tcPr>
          <w:p w14:paraId="2E5C0C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100</w:t>
            </w:r>
          </w:p>
        </w:tc>
        <w:tc>
          <w:tcPr>
            <w:tcW w:w="985" w:type="dxa"/>
            <w:tcBorders>
              <w:tl2br w:val="nil"/>
              <w:tr2bl w:val="nil"/>
            </w:tcBorders>
            <w:noWrap w:val="0"/>
            <w:vAlign w:val="center"/>
          </w:tcPr>
          <w:p w14:paraId="17EC6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2.75</w:t>
            </w:r>
          </w:p>
        </w:tc>
        <w:tc>
          <w:tcPr>
            <w:tcW w:w="1148" w:type="dxa"/>
            <w:tcBorders>
              <w:tl2br w:val="nil"/>
              <w:tr2bl w:val="nil"/>
            </w:tcBorders>
            <w:noWrap w:val="0"/>
            <w:vAlign w:val="center"/>
          </w:tcPr>
          <w:p w14:paraId="691927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0.1679</w:t>
            </w:r>
          </w:p>
        </w:tc>
      </w:tr>
      <w:tr w14:paraId="3052D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2" w:type="dxa"/>
            <w:tcBorders>
              <w:tl2br w:val="nil"/>
              <w:tr2bl w:val="nil"/>
            </w:tcBorders>
            <w:noWrap w:val="0"/>
            <w:vAlign w:val="center"/>
          </w:tcPr>
          <w:p w14:paraId="10996D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5</w:t>
            </w:r>
          </w:p>
        </w:tc>
        <w:tc>
          <w:tcPr>
            <w:tcW w:w="892" w:type="dxa"/>
            <w:vMerge w:val="continue"/>
            <w:tcBorders>
              <w:tl2br w:val="nil"/>
              <w:tr2bl w:val="nil"/>
            </w:tcBorders>
            <w:noWrap w:val="0"/>
            <w:vAlign w:val="center"/>
          </w:tcPr>
          <w:p w14:paraId="15164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p>
        </w:tc>
        <w:tc>
          <w:tcPr>
            <w:tcW w:w="1699" w:type="dxa"/>
            <w:tcBorders>
              <w:tl2br w:val="nil"/>
              <w:tr2bl w:val="nil"/>
            </w:tcBorders>
            <w:noWrap w:val="0"/>
            <w:vAlign w:val="center"/>
          </w:tcPr>
          <w:p w14:paraId="5D3BEC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Times New Roman" w:hAnsi="Times New Roman" w:eastAsia="宋体" w:cs="Times New Roman"/>
                <w:b w:val="0"/>
                <w:bCs w:val="0"/>
                <w:color w:val="auto"/>
                <w:kern w:val="0"/>
                <w:sz w:val="21"/>
                <w:szCs w:val="21"/>
                <w:highlight w:val="none"/>
                <w:vertAlign w:val="baseline"/>
                <w:lang w:val="en-US" w:eastAsia="zh-CN" w:bidi="ar-SA"/>
              </w:rPr>
              <w:t>天然气管道</w:t>
            </w:r>
          </w:p>
        </w:tc>
        <w:tc>
          <w:tcPr>
            <w:tcW w:w="1710" w:type="dxa"/>
            <w:vMerge w:val="continue"/>
            <w:tcBorders>
              <w:tl2br w:val="nil"/>
              <w:tr2bl w:val="nil"/>
            </w:tcBorders>
            <w:noWrap w:val="0"/>
            <w:vAlign w:val="center"/>
          </w:tcPr>
          <w:p w14:paraId="05700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p>
        </w:tc>
        <w:tc>
          <w:tcPr>
            <w:tcW w:w="960" w:type="dxa"/>
            <w:tcBorders>
              <w:tl2br w:val="nil"/>
              <w:tr2bl w:val="nil"/>
            </w:tcBorders>
            <w:noWrap w:val="0"/>
            <w:vAlign w:val="center"/>
          </w:tcPr>
          <w:p w14:paraId="7A81D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800</w:t>
            </w:r>
          </w:p>
        </w:tc>
        <w:tc>
          <w:tcPr>
            <w:tcW w:w="990" w:type="dxa"/>
            <w:tcBorders>
              <w:tl2br w:val="nil"/>
              <w:tr2bl w:val="nil"/>
            </w:tcBorders>
            <w:noWrap w:val="0"/>
            <w:vAlign w:val="center"/>
          </w:tcPr>
          <w:p w14:paraId="2B0FDB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100</w:t>
            </w:r>
          </w:p>
        </w:tc>
        <w:tc>
          <w:tcPr>
            <w:tcW w:w="985" w:type="dxa"/>
            <w:tcBorders>
              <w:tl2br w:val="nil"/>
              <w:tr2bl w:val="nil"/>
            </w:tcBorders>
            <w:noWrap w:val="0"/>
            <w:vAlign w:val="center"/>
          </w:tcPr>
          <w:p w14:paraId="52617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0.4</w:t>
            </w:r>
          </w:p>
        </w:tc>
        <w:tc>
          <w:tcPr>
            <w:tcW w:w="1148" w:type="dxa"/>
            <w:tcBorders>
              <w:tl2br w:val="nil"/>
              <w:tr2bl w:val="nil"/>
            </w:tcBorders>
            <w:noWrap w:val="0"/>
            <w:vAlign w:val="center"/>
          </w:tcPr>
          <w:p w14:paraId="77C2E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0.01625</w:t>
            </w:r>
          </w:p>
        </w:tc>
      </w:tr>
      <w:tr w14:paraId="2CDA15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72" w:type="dxa"/>
            <w:tcBorders>
              <w:tl2br w:val="nil"/>
              <w:tr2bl w:val="nil"/>
            </w:tcBorders>
            <w:noWrap w:val="0"/>
            <w:vAlign w:val="center"/>
          </w:tcPr>
          <w:p w14:paraId="51D9D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6</w:t>
            </w:r>
          </w:p>
        </w:tc>
        <w:tc>
          <w:tcPr>
            <w:tcW w:w="892" w:type="dxa"/>
            <w:vMerge w:val="continue"/>
            <w:tcBorders>
              <w:tl2br w:val="nil"/>
              <w:tr2bl w:val="nil"/>
            </w:tcBorders>
            <w:noWrap w:val="0"/>
            <w:vAlign w:val="center"/>
          </w:tcPr>
          <w:p w14:paraId="6A238F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p>
        </w:tc>
        <w:tc>
          <w:tcPr>
            <w:tcW w:w="1699" w:type="dxa"/>
            <w:tcBorders>
              <w:tl2br w:val="nil"/>
              <w:tr2bl w:val="nil"/>
            </w:tcBorders>
            <w:noWrap w:val="0"/>
            <w:vAlign w:val="center"/>
          </w:tcPr>
          <w:p w14:paraId="3A2341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危废库</w:t>
            </w:r>
          </w:p>
        </w:tc>
        <w:tc>
          <w:tcPr>
            <w:tcW w:w="1710" w:type="dxa"/>
            <w:tcBorders>
              <w:tl2br w:val="nil"/>
              <w:tr2bl w:val="nil"/>
            </w:tcBorders>
            <w:noWrap w:val="0"/>
            <w:vAlign w:val="center"/>
          </w:tcPr>
          <w:p w14:paraId="36ABC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w:t>
            </w:r>
          </w:p>
        </w:tc>
        <w:tc>
          <w:tcPr>
            <w:tcW w:w="960" w:type="dxa"/>
            <w:tcBorders>
              <w:tl2br w:val="nil"/>
              <w:tr2bl w:val="nil"/>
            </w:tcBorders>
            <w:noWrap w:val="0"/>
            <w:vAlign w:val="center"/>
          </w:tcPr>
          <w:p w14:paraId="2498D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w:t>
            </w:r>
          </w:p>
        </w:tc>
        <w:tc>
          <w:tcPr>
            <w:tcW w:w="990" w:type="dxa"/>
            <w:tcBorders>
              <w:tl2br w:val="nil"/>
              <w:tr2bl w:val="nil"/>
            </w:tcBorders>
            <w:noWrap w:val="0"/>
            <w:vAlign w:val="center"/>
          </w:tcPr>
          <w:p w14:paraId="6EB5D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w:t>
            </w:r>
          </w:p>
        </w:tc>
        <w:tc>
          <w:tcPr>
            <w:tcW w:w="985" w:type="dxa"/>
            <w:tcBorders>
              <w:tl2br w:val="nil"/>
              <w:tr2bl w:val="nil"/>
            </w:tcBorders>
            <w:noWrap w:val="0"/>
            <w:vAlign w:val="center"/>
          </w:tcPr>
          <w:p w14:paraId="60461C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w:t>
            </w:r>
          </w:p>
        </w:tc>
        <w:tc>
          <w:tcPr>
            <w:tcW w:w="1148" w:type="dxa"/>
            <w:tcBorders>
              <w:tl2br w:val="nil"/>
              <w:tr2bl w:val="nil"/>
            </w:tcBorders>
            <w:noWrap w:val="0"/>
            <w:vAlign w:val="center"/>
          </w:tcPr>
          <w:p w14:paraId="18DAD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220（最大贮存量）</w:t>
            </w:r>
          </w:p>
        </w:tc>
      </w:tr>
      <w:tr w14:paraId="337542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56" w:type="dxa"/>
            <w:gridSpan w:val="8"/>
            <w:tcBorders>
              <w:tl2br w:val="nil"/>
              <w:tr2bl w:val="nil"/>
            </w:tcBorders>
            <w:noWrap w:val="0"/>
            <w:vAlign w:val="center"/>
          </w:tcPr>
          <w:p w14:paraId="57318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Times New Roman" w:hAnsi="Times New Roman" w:eastAsia="宋体" w:cs="Times New Roman"/>
                <w:b/>
                <w:bCs/>
                <w:color w:val="auto"/>
                <w:kern w:val="0"/>
                <w:sz w:val="18"/>
                <w:szCs w:val="18"/>
                <w:highlight w:val="none"/>
                <w:vertAlign w:val="baseline"/>
                <w:lang w:val="en-US" w:eastAsia="zh-CN" w:bidi="ar-SA"/>
              </w:rPr>
            </w:pPr>
            <w:r>
              <w:rPr>
                <w:rFonts w:hint="eastAsia" w:ascii="Times New Roman" w:hAnsi="Times New Roman" w:eastAsia="宋体" w:cs="Times New Roman"/>
                <w:b/>
                <w:bCs/>
                <w:color w:val="auto"/>
                <w:kern w:val="0"/>
                <w:sz w:val="18"/>
                <w:szCs w:val="18"/>
                <w:highlight w:val="none"/>
                <w:vertAlign w:val="baseline"/>
                <w:lang w:val="en-US" w:eastAsia="zh-CN" w:bidi="ar-SA"/>
              </w:rPr>
              <w:t>说明：1.中试基地内各管线不考虑阀门设置情况，按各管线最大存在量计；</w:t>
            </w:r>
          </w:p>
          <w:p w14:paraId="299B35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eastAsia="宋体" w:cs="Times New Roman"/>
                <w:b/>
                <w:bCs/>
                <w:color w:val="auto"/>
                <w:kern w:val="0"/>
                <w:sz w:val="21"/>
                <w:szCs w:val="21"/>
                <w:highlight w:val="none"/>
                <w:vertAlign w:val="baseline"/>
                <w:lang w:val="en-US" w:eastAsia="zh-CN" w:bidi="ar-SA"/>
              </w:rPr>
            </w:pPr>
            <w:r>
              <w:rPr>
                <w:rFonts w:hint="eastAsia" w:ascii="Times New Roman" w:hAnsi="Times New Roman" w:eastAsia="宋体" w:cs="Times New Roman"/>
                <w:b/>
                <w:bCs/>
                <w:color w:val="auto"/>
                <w:kern w:val="0"/>
                <w:sz w:val="18"/>
                <w:szCs w:val="18"/>
                <w:highlight w:val="none"/>
                <w:vertAlign w:val="baseline"/>
                <w:lang w:val="en-US" w:eastAsia="zh-CN" w:bidi="ar-SA"/>
              </w:rPr>
              <w:t xml:space="preserve">      2.由于危废库贮存的危险废物种类及贮存量最终由后续入驻的中试项目决定，因此本次环评无法给出具体的危险物质的名称和各自贮存量，经给出厂房的最大贮存能力。   </w:t>
            </w:r>
          </w:p>
        </w:tc>
      </w:tr>
    </w:tbl>
    <w:p w14:paraId="18AD49AA">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30"/>
          <w:szCs w:val="30"/>
          <w:highlight w:val="none"/>
          <w:lang w:val="en-US" w:eastAsia="zh-CN"/>
        </w:rPr>
      </w:pPr>
      <w:bookmarkStart w:id="20" w:name="_Toc11298"/>
      <w:r>
        <w:rPr>
          <w:rFonts w:hint="eastAsia" w:ascii="宋体" w:hAnsi="宋体" w:eastAsia="宋体" w:cs="宋体"/>
          <w:b/>
          <w:bCs/>
          <w:color w:val="auto"/>
          <w:sz w:val="30"/>
          <w:szCs w:val="30"/>
          <w:highlight w:val="none"/>
          <w:lang w:val="en-US" w:eastAsia="zh-CN"/>
        </w:rPr>
        <w:t>2.2风险潜势初判及评价等级</w:t>
      </w:r>
      <w:bookmarkEnd w:id="20"/>
    </w:p>
    <w:p w14:paraId="27338042">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color w:val="auto"/>
          <w:sz w:val="28"/>
          <w:szCs w:val="28"/>
          <w:highlight w:val="none"/>
        </w:rPr>
      </w:pPr>
      <w:bookmarkStart w:id="21" w:name="_Toc7190"/>
      <w:r>
        <w:rPr>
          <w:rFonts w:hint="eastAsia" w:ascii="宋体" w:hAnsi="宋体" w:eastAsia="宋体" w:cs="宋体"/>
          <w:color w:val="auto"/>
          <w:sz w:val="28"/>
          <w:szCs w:val="28"/>
          <w:highlight w:val="none"/>
          <w:lang w:val="en-US" w:eastAsia="zh-CN"/>
        </w:rPr>
        <w:t>2.2.1危险物质数量与临界量比值 Q 值的确定</w:t>
      </w:r>
      <w:bookmarkEnd w:id="21"/>
    </w:p>
    <w:p w14:paraId="6314D8E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环境风险潜势是指对建设项目潜在环境危害程度的概化分析表达，是基于建设项目涉及的物质和工艺系统危险性及其所在地环境敏感程度的综合表征。</w:t>
      </w:r>
    </w:p>
    <w:p w14:paraId="6A350A4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（1）本项目危险物质数量与临界量比值（Q）</w:t>
      </w:r>
    </w:p>
    <w:p w14:paraId="0C67BDF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当只涉及一种危险物质时，计算该物质最大存在总量与其临界量比值，即为Q；当存在多种危险物质时，按下式计算物质总量与其临界量比值（Q）：</w:t>
      </w:r>
    </w:p>
    <w:p w14:paraId="61415FFB">
      <w:pPr>
        <w:keepNext w:val="0"/>
        <w:keepLines w:val="0"/>
        <w:pageBreakBefore w:val="0"/>
        <w:kinsoku/>
        <w:wordWrap/>
        <w:overflowPunct/>
        <w:topLinePunct w:val="0"/>
        <w:bidi w:val="0"/>
        <w:adjustRightInd/>
        <w:snapToGrid/>
        <w:spacing w:line="360" w:lineRule="auto"/>
        <w:jc w:val="center"/>
        <w:textAlignment w:val="auto"/>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Q=q</w:t>
      </w:r>
      <w:r>
        <w:rPr>
          <w:rFonts w:ascii="Times New Roman" w:hAnsi="Times New Roman" w:eastAsia="宋体" w:cs="Times New Roman"/>
          <w:color w:val="auto"/>
          <w:sz w:val="24"/>
          <w:highlight w:val="none"/>
          <w:vertAlign w:val="subscript"/>
        </w:rPr>
        <w:t>1</w:t>
      </w:r>
      <w:r>
        <w:rPr>
          <w:rFonts w:ascii="Times New Roman" w:hAnsi="Times New Roman" w:eastAsia="宋体" w:cs="Times New Roman"/>
          <w:color w:val="auto"/>
          <w:sz w:val="24"/>
          <w:highlight w:val="none"/>
        </w:rPr>
        <w:t>/Q</w:t>
      </w:r>
      <w:r>
        <w:rPr>
          <w:rFonts w:ascii="Times New Roman" w:hAnsi="Times New Roman" w:eastAsia="宋体" w:cs="Times New Roman"/>
          <w:color w:val="auto"/>
          <w:sz w:val="24"/>
          <w:highlight w:val="none"/>
          <w:vertAlign w:val="subscript"/>
        </w:rPr>
        <w:t>1</w:t>
      </w:r>
      <w:r>
        <w:rPr>
          <w:rFonts w:ascii="Times New Roman" w:hAnsi="Times New Roman" w:eastAsia="宋体" w:cs="Times New Roman"/>
          <w:color w:val="auto"/>
          <w:sz w:val="24"/>
          <w:highlight w:val="none"/>
        </w:rPr>
        <w:t>+q</w:t>
      </w:r>
      <w:r>
        <w:rPr>
          <w:rFonts w:ascii="Times New Roman" w:hAnsi="Times New Roman" w:eastAsia="宋体" w:cs="Times New Roman"/>
          <w:color w:val="auto"/>
          <w:sz w:val="24"/>
          <w:highlight w:val="none"/>
          <w:vertAlign w:val="subscript"/>
        </w:rPr>
        <w:t>2</w:t>
      </w:r>
      <w:r>
        <w:rPr>
          <w:rFonts w:ascii="Times New Roman" w:hAnsi="Times New Roman" w:eastAsia="宋体" w:cs="Times New Roman"/>
          <w:color w:val="auto"/>
          <w:sz w:val="24"/>
          <w:highlight w:val="none"/>
        </w:rPr>
        <w:t>/Q</w:t>
      </w:r>
      <w:r>
        <w:rPr>
          <w:rFonts w:ascii="Times New Roman" w:hAnsi="Times New Roman" w:eastAsia="宋体" w:cs="Times New Roman"/>
          <w:color w:val="auto"/>
          <w:sz w:val="24"/>
          <w:highlight w:val="none"/>
          <w:vertAlign w:val="subscript"/>
        </w:rPr>
        <w:t>2</w:t>
      </w:r>
      <w:r>
        <w:rPr>
          <w:rFonts w:ascii="Times New Roman" w:hAnsi="Times New Roman" w:eastAsia="宋体" w:cs="Times New Roman"/>
          <w:color w:val="auto"/>
          <w:sz w:val="24"/>
          <w:highlight w:val="none"/>
        </w:rPr>
        <w:t>+...qn/Qn</w:t>
      </w:r>
    </w:p>
    <w:p w14:paraId="023840C1">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式中：q</w:t>
      </w:r>
      <w:r>
        <w:rPr>
          <w:rFonts w:ascii="Times New Roman" w:hAnsi="Times New Roman" w:eastAsia="宋体" w:cs="Times New Roman"/>
          <w:color w:val="auto"/>
          <w:kern w:val="0"/>
          <w:sz w:val="24"/>
          <w:highlight w:val="none"/>
          <w:vertAlign w:val="subscript"/>
        </w:rPr>
        <w:t>1</w:t>
      </w:r>
      <w:r>
        <w:rPr>
          <w:rFonts w:ascii="Times New Roman" w:hAnsi="Times New Roman" w:eastAsia="宋体" w:cs="Times New Roman"/>
          <w:color w:val="auto"/>
          <w:kern w:val="0"/>
          <w:sz w:val="24"/>
          <w:highlight w:val="none"/>
        </w:rPr>
        <w:t>，q</w:t>
      </w:r>
      <w:r>
        <w:rPr>
          <w:rFonts w:ascii="Times New Roman" w:hAnsi="Times New Roman" w:eastAsia="宋体" w:cs="Times New Roman"/>
          <w:color w:val="auto"/>
          <w:kern w:val="0"/>
          <w:sz w:val="24"/>
          <w:highlight w:val="none"/>
          <w:vertAlign w:val="subscript"/>
        </w:rPr>
        <w:t>2</w:t>
      </w:r>
      <w:r>
        <w:rPr>
          <w:rFonts w:ascii="Times New Roman" w:hAnsi="Times New Roman" w:eastAsia="宋体" w:cs="Times New Roman"/>
          <w:color w:val="auto"/>
          <w:kern w:val="0"/>
          <w:sz w:val="24"/>
          <w:highlight w:val="none"/>
        </w:rPr>
        <w:t>，q</w:t>
      </w:r>
      <w:r>
        <w:rPr>
          <w:rFonts w:ascii="Times New Roman" w:hAnsi="Times New Roman" w:eastAsia="宋体" w:cs="Times New Roman"/>
          <w:color w:val="auto"/>
          <w:kern w:val="0"/>
          <w:sz w:val="24"/>
          <w:highlight w:val="none"/>
          <w:vertAlign w:val="subscript"/>
        </w:rPr>
        <w:t>n</w:t>
      </w:r>
      <w:r>
        <w:rPr>
          <w:rFonts w:ascii="Times New Roman" w:hAnsi="Times New Roman" w:eastAsia="宋体" w:cs="Times New Roman"/>
          <w:color w:val="auto"/>
          <w:kern w:val="0"/>
          <w:sz w:val="24"/>
          <w:highlight w:val="none"/>
        </w:rPr>
        <w:t>——每种危险物质的最大存在量，t；</w:t>
      </w:r>
    </w:p>
    <w:p w14:paraId="2AD69E7A">
      <w:pPr>
        <w:keepNext w:val="0"/>
        <w:keepLines w:val="0"/>
        <w:pageBreakBefore w:val="0"/>
        <w:kinsoku/>
        <w:wordWrap/>
        <w:overflowPunct/>
        <w:topLinePunct w:val="0"/>
        <w:autoSpaceDE w:val="0"/>
        <w:autoSpaceDN w:val="0"/>
        <w:bidi w:val="0"/>
        <w:adjustRightInd/>
        <w:snapToGrid/>
        <w:spacing w:line="360" w:lineRule="auto"/>
        <w:ind w:firstLine="1200" w:firstLineChars="5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Q</w:t>
      </w:r>
      <w:r>
        <w:rPr>
          <w:rFonts w:ascii="Times New Roman" w:hAnsi="Times New Roman" w:eastAsia="宋体" w:cs="Times New Roman"/>
          <w:color w:val="auto"/>
          <w:kern w:val="0"/>
          <w:sz w:val="24"/>
          <w:highlight w:val="none"/>
          <w:vertAlign w:val="subscript"/>
        </w:rPr>
        <w:t>1</w:t>
      </w:r>
      <w:r>
        <w:rPr>
          <w:rFonts w:ascii="Times New Roman" w:hAnsi="Times New Roman" w:eastAsia="宋体" w:cs="Times New Roman"/>
          <w:color w:val="auto"/>
          <w:kern w:val="0"/>
          <w:sz w:val="24"/>
          <w:highlight w:val="none"/>
        </w:rPr>
        <w:t>，Q</w:t>
      </w:r>
      <w:r>
        <w:rPr>
          <w:rFonts w:ascii="Times New Roman" w:hAnsi="Times New Roman" w:eastAsia="宋体" w:cs="Times New Roman"/>
          <w:color w:val="auto"/>
          <w:kern w:val="0"/>
          <w:sz w:val="24"/>
          <w:highlight w:val="none"/>
          <w:vertAlign w:val="subscript"/>
        </w:rPr>
        <w:t>2</w:t>
      </w:r>
      <w:r>
        <w:rPr>
          <w:rFonts w:ascii="Times New Roman" w:hAnsi="Times New Roman" w:eastAsia="宋体" w:cs="Times New Roman"/>
          <w:color w:val="auto"/>
          <w:kern w:val="0"/>
          <w:sz w:val="24"/>
          <w:highlight w:val="none"/>
        </w:rPr>
        <w:t>，Q</w:t>
      </w:r>
      <w:r>
        <w:rPr>
          <w:rFonts w:ascii="Times New Roman" w:hAnsi="Times New Roman" w:eastAsia="宋体" w:cs="Times New Roman"/>
          <w:color w:val="auto"/>
          <w:kern w:val="0"/>
          <w:sz w:val="24"/>
          <w:highlight w:val="none"/>
          <w:vertAlign w:val="subscript"/>
        </w:rPr>
        <w:t>n</w:t>
      </w:r>
      <w:r>
        <w:rPr>
          <w:rFonts w:ascii="Times New Roman" w:hAnsi="Times New Roman" w:eastAsia="宋体" w:cs="Times New Roman"/>
          <w:color w:val="auto"/>
          <w:kern w:val="0"/>
          <w:sz w:val="24"/>
          <w:highlight w:val="none"/>
        </w:rPr>
        <w:t>——每种危险物质的临界量，t。</w:t>
      </w:r>
    </w:p>
    <w:p w14:paraId="07D18F43">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当Q＜1时，该项目风险潜势为Ⅰ；</w:t>
      </w:r>
    </w:p>
    <w:p w14:paraId="55B50F27">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当Q≥1时，将Q值划分为：</w:t>
      </w:r>
      <w:r>
        <w:rPr>
          <w:rFonts w:hint="eastAsia" w:ascii="宋体" w:hAnsi="宋体" w:eastAsia="宋体" w:cs="宋体"/>
          <w:color w:val="auto"/>
          <w:kern w:val="0"/>
          <w:sz w:val="24"/>
          <w:highlight w:val="none"/>
        </w:rPr>
        <w:t>①</w:t>
      </w:r>
      <w:r>
        <w:rPr>
          <w:rFonts w:ascii="Times New Roman" w:hAnsi="Times New Roman" w:eastAsia="宋体" w:cs="Times New Roman"/>
          <w:color w:val="auto"/>
          <w:kern w:val="0"/>
          <w:sz w:val="24"/>
          <w:highlight w:val="none"/>
        </w:rPr>
        <w:t>Q≥100；</w:t>
      </w:r>
      <w:r>
        <w:rPr>
          <w:rFonts w:hint="eastAsia" w:ascii="宋体" w:hAnsi="宋体" w:eastAsia="宋体" w:cs="宋体"/>
          <w:color w:val="auto"/>
          <w:kern w:val="0"/>
          <w:sz w:val="24"/>
          <w:highlight w:val="none"/>
        </w:rPr>
        <w:t>②</w:t>
      </w:r>
      <w:r>
        <w:rPr>
          <w:rFonts w:ascii="Times New Roman" w:hAnsi="Times New Roman" w:eastAsia="宋体" w:cs="Times New Roman"/>
          <w:color w:val="auto"/>
          <w:kern w:val="0"/>
          <w:sz w:val="24"/>
          <w:highlight w:val="none"/>
        </w:rPr>
        <w:t>10≤Q＜100；</w:t>
      </w:r>
      <w:r>
        <w:rPr>
          <w:rFonts w:hint="eastAsia" w:ascii="宋体" w:hAnsi="宋体" w:eastAsia="宋体" w:cs="宋体"/>
          <w:color w:val="auto"/>
          <w:kern w:val="0"/>
          <w:sz w:val="24"/>
          <w:highlight w:val="none"/>
        </w:rPr>
        <w:t>③</w:t>
      </w:r>
      <w:r>
        <w:rPr>
          <w:rFonts w:ascii="Times New Roman" w:hAnsi="Times New Roman" w:eastAsia="宋体" w:cs="Times New Roman"/>
          <w:color w:val="auto"/>
          <w:kern w:val="0"/>
          <w:sz w:val="24"/>
          <w:highlight w:val="none"/>
        </w:rPr>
        <w:t>1≤Q＜10。</w:t>
      </w:r>
    </w:p>
    <w:p w14:paraId="3FD4D6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计算所涉及的每种危险物质厂界内最大存在量与《建设项目环境风险评价技术 导则》（</w:t>
      </w:r>
      <w:r>
        <w:rPr>
          <w:rFonts w:hint="default" w:ascii="Times New Roman" w:hAnsi="Times New Roman" w:eastAsia="宋体" w:cs="Times New Roman"/>
          <w:color w:val="auto"/>
          <w:kern w:val="0"/>
          <w:sz w:val="24"/>
          <w:szCs w:val="24"/>
          <w:highlight w:val="none"/>
          <w:lang w:val="en-US" w:eastAsia="zh-CN" w:bidi="ar"/>
        </w:rPr>
        <w:t>HJ169-2018</w:t>
      </w:r>
      <w:r>
        <w:rPr>
          <w:rFonts w:hint="eastAsia" w:ascii="宋体" w:hAnsi="宋体" w:eastAsia="宋体" w:cs="宋体"/>
          <w:color w:val="auto"/>
          <w:kern w:val="0"/>
          <w:sz w:val="24"/>
          <w:szCs w:val="24"/>
          <w:highlight w:val="none"/>
          <w:lang w:val="en-US" w:eastAsia="zh-CN" w:bidi="ar"/>
        </w:rPr>
        <w:t>）附录</w:t>
      </w:r>
      <w:r>
        <w:rPr>
          <w:rFonts w:hint="default" w:ascii="Times New Roman" w:hAnsi="Times New Roman" w:eastAsia="宋体" w:cs="Times New Roman"/>
          <w:color w:val="auto"/>
          <w:kern w:val="0"/>
          <w:sz w:val="24"/>
          <w:szCs w:val="24"/>
          <w:highlight w:val="none"/>
          <w:lang w:val="en-US" w:eastAsia="zh-CN" w:bidi="ar"/>
        </w:rPr>
        <w:t>B</w:t>
      </w:r>
      <w:r>
        <w:rPr>
          <w:rFonts w:hint="eastAsia" w:ascii="宋体" w:hAnsi="宋体" w:eastAsia="宋体" w:cs="宋体"/>
          <w:color w:val="auto"/>
          <w:kern w:val="0"/>
          <w:sz w:val="24"/>
          <w:szCs w:val="24"/>
          <w:highlight w:val="none"/>
          <w:lang w:val="en-US" w:eastAsia="zh-CN" w:bidi="ar"/>
        </w:rPr>
        <w:t>中对应临界量的比值</w:t>
      </w:r>
      <w:r>
        <w:rPr>
          <w:rFonts w:hint="default" w:ascii="Times New Roman" w:hAnsi="Times New Roman" w:eastAsia="宋体" w:cs="Times New Roman"/>
          <w:color w:val="auto"/>
          <w:kern w:val="0"/>
          <w:sz w:val="24"/>
          <w:szCs w:val="24"/>
          <w:highlight w:val="none"/>
          <w:lang w:val="en-US" w:eastAsia="zh-CN" w:bidi="ar"/>
        </w:rPr>
        <w:t>Q</w:t>
      </w:r>
      <w:r>
        <w:rPr>
          <w:rFonts w:hint="eastAsia" w:ascii="宋体" w:hAnsi="宋体" w:eastAsia="宋体" w:cs="宋体"/>
          <w:color w:val="auto"/>
          <w:kern w:val="0"/>
          <w:sz w:val="24"/>
          <w:szCs w:val="24"/>
          <w:highlight w:val="none"/>
          <w:lang w:val="en-US" w:eastAsia="zh-CN" w:bidi="ar"/>
        </w:rPr>
        <w:t>。对于长输管线项目，按照两个截断阀室之间管段危险物质最大存在总量计算。</w:t>
      </w:r>
    </w:p>
    <w:p w14:paraId="3E271362">
      <w:pPr>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color w:val="auto"/>
          <w:kern w:val="2"/>
          <w:sz w:val="21"/>
          <w:szCs w:val="20"/>
          <w:highlight w:val="none"/>
          <w:lang w:val="en-US" w:eastAsia="zh-CN" w:bidi="ar-SA"/>
        </w:rPr>
      </w:pPr>
      <w:r>
        <w:rPr>
          <w:rFonts w:hint="eastAsia" w:ascii="宋体" w:hAnsi="宋体" w:eastAsia="宋体" w:cs="宋体"/>
          <w:color w:val="auto"/>
          <w:kern w:val="0"/>
          <w:sz w:val="24"/>
          <w:szCs w:val="24"/>
          <w:highlight w:val="none"/>
          <w:lang w:val="en-US" w:eastAsia="zh-CN" w:bidi="ar"/>
        </w:rPr>
        <w:t>本项目涉及中试基地内管廊及基地外管廊两部分，本次评价基地外管廊部分危险物质存在量按两个截断阀之间管段量计算，基地内管廊部分由于截断阀设置情况不清，按最不利情况，即管道全长考虑计算危险物质存在量。由于危废中危险物质种类、含量不确定，无法开展折纯计算，不能对照附录</w:t>
      </w:r>
      <w:r>
        <w:rPr>
          <w:rFonts w:hint="default" w:ascii="Times New Roman" w:hAnsi="Times New Roman" w:eastAsia="宋体" w:cs="Times New Roman"/>
          <w:color w:val="auto"/>
          <w:kern w:val="0"/>
          <w:sz w:val="24"/>
          <w:szCs w:val="24"/>
          <w:highlight w:val="none"/>
          <w:lang w:val="en-US" w:eastAsia="zh-CN" w:bidi="ar"/>
        </w:rPr>
        <w:t>B</w:t>
      </w:r>
      <w:r>
        <w:rPr>
          <w:rFonts w:hint="eastAsia" w:ascii="Times New Roman" w:hAnsi="Times New Roman" w:eastAsia="宋体" w:cs="Times New Roman"/>
          <w:color w:val="auto"/>
          <w:kern w:val="0"/>
          <w:sz w:val="24"/>
          <w:szCs w:val="24"/>
          <w:highlight w:val="none"/>
          <w:lang w:val="en-US" w:eastAsia="zh-CN" w:bidi="ar"/>
        </w:rPr>
        <w:t>查询临界量，且危废库采取了严格的防渗措施，物质泄漏的风险极小，因此危废库危险废物不参与Q值核算；氢气属于易燃易爆风险物质，但本身无毒，燃烧产物无毒，其泄漏造成的主要为安全事故，且</w:t>
      </w:r>
      <w:r>
        <w:rPr>
          <w:rFonts w:hint="eastAsia" w:ascii="宋体" w:hAnsi="宋体" w:eastAsia="宋体" w:cs="宋体"/>
          <w:color w:val="auto"/>
          <w:kern w:val="0"/>
          <w:sz w:val="24"/>
          <w:szCs w:val="24"/>
          <w:highlight w:val="none"/>
          <w:lang w:val="en-US" w:eastAsia="zh-CN" w:bidi="ar"/>
        </w:rPr>
        <w:t>附录</w:t>
      </w:r>
      <w:r>
        <w:rPr>
          <w:rFonts w:hint="default" w:ascii="Times New Roman" w:hAnsi="Times New Roman" w:eastAsia="宋体" w:cs="Times New Roman"/>
          <w:color w:val="auto"/>
          <w:kern w:val="0"/>
          <w:sz w:val="24"/>
          <w:szCs w:val="24"/>
          <w:highlight w:val="none"/>
          <w:lang w:val="en-US" w:eastAsia="zh-CN" w:bidi="ar"/>
        </w:rPr>
        <w:t>B</w:t>
      </w:r>
      <w:r>
        <w:rPr>
          <w:rFonts w:hint="eastAsia" w:ascii="Times New Roman" w:hAnsi="Times New Roman" w:eastAsia="宋体" w:cs="Times New Roman"/>
          <w:color w:val="auto"/>
          <w:kern w:val="0"/>
          <w:sz w:val="24"/>
          <w:szCs w:val="24"/>
          <w:highlight w:val="none"/>
          <w:lang w:val="en-US" w:eastAsia="zh-CN" w:bidi="ar"/>
        </w:rPr>
        <w:t>危险物质不包含氢气，因此本次评价仅对氢气开展危险物质调查，氢气不参与Q值计算。</w:t>
      </w:r>
    </w:p>
    <w:p w14:paraId="4A7D6DB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highlight w:val="none"/>
          <w:lang w:val="en-US"/>
        </w:rPr>
      </w:pPr>
      <w:r>
        <w:rPr>
          <w:rFonts w:hint="eastAsia" w:ascii="Times New Roman" w:hAnsi="Times New Roman" w:eastAsia="宋体" w:cs="Times New Roman"/>
          <w:color w:val="auto"/>
          <w:kern w:val="0"/>
          <w:sz w:val="24"/>
          <w:szCs w:val="24"/>
          <w:highlight w:val="none"/>
          <w:lang w:val="en-US" w:eastAsia="zh-CN" w:bidi="ar"/>
        </w:rPr>
        <w:t>综上，</w:t>
      </w:r>
      <w:r>
        <w:rPr>
          <w:rFonts w:hint="default" w:ascii="Times New Roman" w:hAnsi="Times New Roman" w:eastAsia="宋体" w:cs="Times New Roman"/>
          <w:color w:val="auto"/>
          <w:kern w:val="0"/>
          <w:sz w:val="24"/>
          <w:szCs w:val="24"/>
          <w:highlight w:val="none"/>
          <w:lang w:val="en-US" w:eastAsia="zh-CN" w:bidi="ar"/>
        </w:rPr>
        <w:t>本项目</w:t>
      </w:r>
      <w:r>
        <w:rPr>
          <w:rFonts w:hint="eastAsia" w:ascii="Times New Roman" w:hAnsi="Times New Roman" w:eastAsia="宋体" w:cs="Times New Roman"/>
          <w:color w:val="auto"/>
          <w:kern w:val="0"/>
          <w:sz w:val="24"/>
          <w:szCs w:val="24"/>
          <w:highlight w:val="none"/>
          <w:lang w:val="en-US" w:eastAsia="zh-CN" w:bidi="ar"/>
        </w:rPr>
        <w:t>开展Q值计算的风险物质为富一氧化碳气、天然气，则</w:t>
      </w:r>
      <w:r>
        <w:rPr>
          <w:rFonts w:hint="default" w:ascii="Times New Roman" w:hAnsi="Times New Roman" w:eastAsia="宋体" w:cs="Times New Roman"/>
          <w:color w:val="auto"/>
          <w:kern w:val="0"/>
          <w:sz w:val="24"/>
          <w:szCs w:val="24"/>
          <w:highlight w:val="none"/>
          <w:lang w:val="en-US" w:eastAsia="zh-CN" w:bidi="ar"/>
        </w:rPr>
        <w:t>目危险物质的Q值核算</w:t>
      </w:r>
      <w:r>
        <w:rPr>
          <w:rFonts w:hint="eastAsia" w:ascii="Times New Roman" w:hAnsi="Times New Roman" w:eastAsia="宋体" w:cs="Times New Roman"/>
          <w:color w:val="auto"/>
          <w:kern w:val="0"/>
          <w:sz w:val="24"/>
          <w:szCs w:val="24"/>
          <w:highlight w:val="none"/>
          <w:lang w:val="en-US" w:eastAsia="zh-CN" w:bidi="ar"/>
        </w:rPr>
        <w:t>情况见表2-2。</w:t>
      </w:r>
    </w:p>
    <w:p w14:paraId="3BD36BD0">
      <w:pPr>
        <w:keepNext w:val="0"/>
        <w:keepLines w:val="0"/>
        <w:pageBreakBefore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bCs/>
          <w:color w:val="auto"/>
          <w:kern w:val="0"/>
          <w:sz w:val="24"/>
          <w:highlight w:val="none"/>
        </w:rPr>
      </w:pPr>
      <w:r>
        <w:rPr>
          <w:rFonts w:ascii="Times New Roman" w:hAnsi="Times New Roman" w:eastAsia="宋体" w:cs="Times New Roman"/>
          <w:b/>
          <w:bCs/>
          <w:color w:val="auto"/>
          <w:kern w:val="0"/>
          <w:sz w:val="24"/>
          <w:highlight w:val="none"/>
        </w:rPr>
        <w:t>表</w:t>
      </w:r>
      <w:r>
        <w:rPr>
          <w:rFonts w:hint="eastAsia" w:ascii="Times New Roman" w:hAnsi="Times New Roman" w:eastAsia="宋体" w:cs="Times New Roman"/>
          <w:b/>
          <w:bCs/>
          <w:color w:val="auto"/>
          <w:kern w:val="0"/>
          <w:sz w:val="24"/>
          <w:highlight w:val="none"/>
          <w:lang w:val="en-US" w:eastAsia="zh-CN"/>
        </w:rPr>
        <w:t>2-2</w:t>
      </w:r>
      <w:r>
        <w:rPr>
          <w:rFonts w:ascii="Times New Roman" w:hAnsi="Times New Roman" w:eastAsia="宋体" w:cs="Times New Roman"/>
          <w:b/>
          <w:bCs/>
          <w:color w:val="auto"/>
          <w:kern w:val="0"/>
          <w:sz w:val="24"/>
          <w:highlight w:val="none"/>
        </w:rPr>
        <w:t xml:space="preserve">    本项目Q值确定表</w:t>
      </w:r>
    </w:p>
    <w:tbl>
      <w:tblPr>
        <w:tblStyle w:val="2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1680"/>
        <w:gridCol w:w="1671"/>
        <w:gridCol w:w="1242"/>
        <w:gridCol w:w="1242"/>
        <w:gridCol w:w="1022"/>
        <w:gridCol w:w="1222"/>
      </w:tblGrid>
      <w:tr w14:paraId="3D291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57" w:type="pct"/>
            <w:tcBorders>
              <w:tl2br w:val="nil"/>
              <w:tr2bl w:val="nil"/>
            </w:tcBorders>
            <w:noWrap w:val="0"/>
            <w:vAlign w:val="center"/>
          </w:tcPr>
          <w:p w14:paraId="534F9B11">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序号</w:t>
            </w:r>
          </w:p>
        </w:tc>
        <w:tc>
          <w:tcPr>
            <w:tcW w:w="986" w:type="pct"/>
            <w:tcBorders>
              <w:tl2br w:val="nil"/>
              <w:tr2bl w:val="nil"/>
            </w:tcBorders>
            <w:noWrap w:val="0"/>
            <w:vAlign w:val="center"/>
          </w:tcPr>
          <w:p w14:paraId="4B5640C3">
            <w:pPr>
              <w:autoSpaceDE w:val="0"/>
              <w:autoSpaceDN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危险单元</w:t>
            </w:r>
          </w:p>
        </w:tc>
        <w:tc>
          <w:tcPr>
            <w:tcW w:w="981" w:type="pct"/>
            <w:tcBorders>
              <w:tl2br w:val="nil"/>
              <w:tr2bl w:val="nil"/>
            </w:tcBorders>
            <w:noWrap w:val="0"/>
            <w:vAlign w:val="center"/>
          </w:tcPr>
          <w:p w14:paraId="7A2B6592">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危险物质</w:t>
            </w:r>
          </w:p>
        </w:tc>
        <w:tc>
          <w:tcPr>
            <w:tcW w:w="729" w:type="pct"/>
            <w:tcBorders>
              <w:tl2br w:val="nil"/>
              <w:tr2bl w:val="nil"/>
            </w:tcBorders>
            <w:noWrap w:val="0"/>
            <w:vAlign w:val="center"/>
          </w:tcPr>
          <w:p w14:paraId="21E8165E">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CAS号</w:t>
            </w:r>
          </w:p>
        </w:tc>
        <w:tc>
          <w:tcPr>
            <w:tcW w:w="729" w:type="pct"/>
            <w:tcBorders>
              <w:tl2br w:val="nil"/>
              <w:tr2bl w:val="nil"/>
            </w:tcBorders>
            <w:noWrap w:val="0"/>
            <w:vAlign w:val="center"/>
          </w:tcPr>
          <w:p w14:paraId="661872F1">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最大存在量</w:t>
            </w:r>
            <w:r>
              <w:rPr>
                <w:rFonts w:hint="default" w:ascii="Times New Roman" w:hAnsi="Times New Roman" w:eastAsia="宋体" w:cs="Times New Roman"/>
                <w:i/>
                <w:color w:val="auto"/>
                <w:kern w:val="0"/>
                <w:sz w:val="21"/>
                <w:szCs w:val="21"/>
                <w:highlight w:val="none"/>
              </w:rPr>
              <w:t>q</w:t>
            </w:r>
            <w:r>
              <w:rPr>
                <w:rFonts w:hint="default" w:ascii="Times New Roman" w:hAnsi="Times New Roman" w:eastAsia="宋体" w:cs="Times New Roman"/>
                <w:color w:val="auto"/>
                <w:kern w:val="0"/>
                <w:sz w:val="21"/>
                <w:szCs w:val="21"/>
                <w:highlight w:val="none"/>
                <w:vertAlign w:val="subscript"/>
              </w:rPr>
              <w:t>n</w:t>
            </w:r>
            <w:r>
              <w:rPr>
                <w:rFonts w:hint="default" w:ascii="Times New Roman" w:hAnsi="Times New Roman" w:eastAsia="宋体" w:cs="Times New Roman"/>
                <w:color w:val="auto"/>
                <w:kern w:val="0"/>
                <w:sz w:val="21"/>
                <w:szCs w:val="21"/>
                <w:highlight w:val="none"/>
              </w:rPr>
              <w:t>/t</w:t>
            </w:r>
          </w:p>
        </w:tc>
        <w:tc>
          <w:tcPr>
            <w:tcW w:w="599" w:type="pct"/>
            <w:tcBorders>
              <w:tl2br w:val="nil"/>
              <w:tr2bl w:val="nil"/>
            </w:tcBorders>
            <w:noWrap w:val="0"/>
            <w:vAlign w:val="center"/>
          </w:tcPr>
          <w:p w14:paraId="2627BEC6">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临界量</w:t>
            </w:r>
            <w:r>
              <w:rPr>
                <w:rFonts w:hint="default" w:ascii="Times New Roman" w:hAnsi="Times New Roman" w:eastAsia="宋体" w:cs="Times New Roman"/>
                <w:i/>
                <w:color w:val="auto"/>
                <w:kern w:val="0"/>
                <w:sz w:val="21"/>
                <w:szCs w:val="21"/>
                <w:highlight w:val="none"/>
              </w:rPr>
              <w:t>Q</w:t>
            </w:r>
            <w:r>
              <w:rPr>
                <w:rFonts w:hint="default" w:ascii="Times New Roman" w:hAnsi="Times New Roman" w:eastAsia="宋体" w:cs="Times New Roman"/>
                <w:color w:val="auto"/>
                <w:kern w:val="0"/>
                <w:sz w:val="21"/>
                <w:szCs w:val="21"/>
                <w:highlight w:val="none"/>
                <w:vertAlign w:val="subscript"/>
              </w:rPr>
              <w:t>n</w:t>
            </w:r>
            <w:r>
              <w:rPr>
                <w:rFonts w:hint="default" w:ascii="Times New Roman" w:hAnsi="Times New Roman" w:eastAsia="宋体" w:cs="Times New Roman"/>
                <w:color w:val="auto"/>
                <w:kern w:val="0"/>
                <w:sz w:val="21"/>
                <w:szCs w:val="21"/>
                <w:highlight w:val="none"/>
              </w:rPr>
              <w:t>/t</w:t>
            </w:r>
          </w:p>
        </w:tc>
        <w:tc>
          <w:tcPr>
            <w:tcW w:w="717" w:type="pct"/>
            <w:tcBorders>
              <w:tl2br w:val="nil"/>
              <w:tr2bl w:val="nil"/>
            </w:tcBorders>
            <w:noWrap w:val="0"/>
            <w:vAlign w:val="center"/>
          </w:tcPr>
          <w:p w14:paraId="77EED82C">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该种危险物质Q值</w:t>
            </w:r>
          </w:p>
        </w:tc>
      </w:tr>
      <w:tr w14:paraId="0F005F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57" w:type="pct"/>
            <w:tcBorders>
              <w:tl2br w:val="nil"/>
              <w:tr2bl w:val="nil"/>
            </w:tcBorders>
            <w:noWrap w:val="0"/>
            <w:vAlign w:val="center"/>
          </w:tcPr>
          <w:p w14:paraId="10B405BE">
            <w:pPr>
              <w:widowControl/>
              <w:jc w:val="center"/>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1</w:t>
            </w:r>
          </w:p>
        </w:tc>
        <w:tc>
          <w:tcPr>
            <w:tcW w:w="986" w:type="pct"/>
            <w:vMerge w:val="restart"/>
            <w:tcBorders>
              <w:tl2br w:val="nil"/>
              <w:tr2bl w:val="nil"/>
            </w:tcBorders>
            <w:noWrap w:val="0"/>
            <w:vAlign w:val="center"/>
          </w:tcPr>
          <w:p w14:paraId="1B67E973">
            <w:pPr>
              <w:widowControl/>
              <w:adjustRightInd w:val="0"/>
              <w:snapToGrid w:val="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外部管廊</w:t>
            </w:r>
          </w:p>
        </w:tc>
        <w:tc>
          <w:tcPr>
            <w:tcW w:w="981" w:type="pct"/>
            <w:tcBorders>
              <w:tl2br w:val="nil"/>
              <w:tr2bl w:val="nil"/>
            </w:tcBorders>
            <w:noWrap w:val="0"/>
            <w:vAlign w:val="center"/>
          </w:tcPr>
          <w:p w14:paraId="666044CC">
            <w:pPr>
              <w:widowControl/>
              <w:adjustRightInd w:val="0"/>
              <w:snapToGrid w:val="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富一氧化碳气</w:t>
            </w:r>
          </w:p>
        </w:tc>
        <w:tc>
          <w:tcPr>
            <w:tcW w:w="729" w:type="pct"/>
            <w:tcBorders>
              <w:tl2br w:val="nil"/>
              <w:tr2bl w:val="nil"/>
            </w:tcBorders>
            <w:noWrap w:val="0"/>
            <w:vAlign w:val="center"/>
          </w:tcPr>
          <w:p w14:paraId="4EE2C418">
            <w:pPr>
              <w:keepNext w:val="0"/>
              <w:keepLines w:val="0"/>
              <w:widowControl/>
              <w:suppressLineNumbers w:val="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630-08-0</w:t>
            </w:r>
          </w:p>
        </w:tc>
        <w:tc>
          <w:tcPr>
            <w:tcW w:w="729" w:type="pct"/>
            <w:tcBorders>
              <w:tl2br w:val="nil"/>
              <w:tr2bl w:val="nil"/>
            </w:tcBorders>
            <w:noWrap w:val="0"/>
            <w:vAlign w:val="center"/>
          </w:tcPr>
          <w:p w14:paraId="5BEAF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0.05175</w:t>
            </w:r>
          </w:p>
        </w:tc>
        <w:tc>
          <w:tcPr>
            <w:tcW w:w="599" w:type="pct"/>
            <w:tcBorders>
              <w:tl2br w:val="nil"/>
              <w:tr2bl w:val="nil"/>
            </w:tcBorders>
            <w:noWrap w:val="0"/>
            <w:vAlign w:val="center"/>
          </w:tcPr>
          <w:p w14:paraId="3238A57C">
            <w:pPr>
              <w:pStyle w:val="48"/>
              <w:spacing w:line="2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7.5</w:t>
            </w:r>
          </w:p>
        </w:tc>
        <w:tc>
          <w:tcPr>
            <w:tcW w:w="717" w:type="pct"/>
            <w:tcBorders>
              <w:tl2br w:val="nil"/>
              <w:tr2bl w:val="nil"/>
            </w:tcBorders>
            <w:noWrap w:val="0"/>
            <w:vAlign w:val="center"/>
          </w:tcPr>
          <w:p w14:paraId="0924210C">
            <w:pPr>
              <w:autoSpaceDE w:val="0"/>
              <w:autoSpaceDN w:val="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0.0069</w:t>
            </w:r>
          </w:p>
        </w:tc>
      </w:tr>
      <w:tr w14:paraId="32844E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257" w:type="pct"/>
            <w:tcBorders>
              <w:tl2br w:val="nil"/>
              <w:tr2bl w:val="nil"/>
            </w:tcBorders>
            <w:noWrap w:val="0"/>
            <w:vAlign w:val="center"/>
          </w:tcPr>
          <w:p w14:paraId="1FE3A881">
            <w:pPr>
              <w:widowControl/>
              <w:jc w:val="center"/>
              <w:rPr>
                <w:rFonts w:hint="default" w:ascii="Times New Roman" w:hAnsi="Times New Roman" w:eastAsia="宋体" w:cs="Times New Roman"/>
                <w:bCs/>
                <w:color w:val="auto"/>
                <w:kern w:val="0"/>
                <w:sz w:val="21"/>
                <w:szCs w:val="21"/>
                <w:highlight w:val="none"/>
                <w:lang w:eastAsia="zh-CN"/>
              </w:rPr>
            </w:pPr>
            <w:r>
              <w:rPr>
                <w:rFonts w:hint="eastAsia" w:ascii="Times New Roman" w:hAnsi="Times New Roman" w:eastAsia="宋体" w:cs="Times New Roman"/>
                <w:bCs/>
                <w:color w:val="auto"/>
                <w:kern w:val="0"/>
                <w:sz w:val="21"/>
                <w:szCs w:val="21"/>
                <w:highlight w:val="none"/>
                <w:lang w:val="en-US" w:eastAsia="zh-CN"/>
              </w:rPr>
              <w:t>2</w:t>
            </w:r>
          </w:p>
        </w:tc>
        <w:tc>
          <w:tcPr>
            <w:tcW w:w="986" w:type="pct"/>
            <w:vMerge w:val="restart"/>
            <w:tcBorders>
              <w:tl2br w:val="nil"/>
              <w:tr2bl w:val="nil"/>
            </w:tcBorders>
            <w:noWrap w:val="0"/>
            <w:vAlign w:val="center"/>
          </w:tcPr>
          <w:p w14:paraId="43A99312">
            <w:pPr>
              <w:widowControl/>
              <w:adjustRightInd w:val="0"/>
              <w:snapToGrid w:val="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中试基地管廊</w:t>
            </w:r>
          </w:p>
        </w:tc>
        <w:tc>
          <w:tcPr>
            <w:tcW w:w="981" w:type="pct"/>
            <w:tcBorders>
              <w:tl2br w:val="nil"/>
              <w:tr2bl w:val="nil"/>
            </w:tcBorders>
            <w:noWrap w:val="0"/>
            <w:vAlign w:val="center"/>
          </w:tcPr>
          <w:p w14:paraId="520B7AA3">
            <w:pPr>
              <w:widowControl/>
              <w:adjustRightInd w:val="0"/>
              <w:snapToGrid w:val="0"/>
              <w:jc w:val="center"/>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eastAsia="宋体" w:cs="Times New Roman"/>
                <w:bCs/>
                <w:color w:val="auto"/>
                <w:kern w:val="0"/>
                <w:sz w:val="21"/>
                <w:szCs w:val="21"/>
                <w:highlight w:val="none"/>
                <w:lang w:val="en-US" w:eastAsia="zh-CN"/>
              </w:rPr>
              <w:t>天然气</w:t>
            </w:r>
          </w:p>
        </w:tc>
        <w:tc>
          <w:tcPr>
            <w:tcW w:w="729" w:type="pct"/>
            <w:tcBorders>
              <w:tl2br w:val="nil"/>
              <w:tr2bl w:val="nil"/>
            </w:tcBorders>
            <w:noWrap w:val="0"/>
            <w:vAlign w:val="center"/>
          </w:tcPr>
          <w:p w14:paraId="26A619B9">
            <w:pPr>
              <w:keepNext w:val="0"/>
              <w:keepLines w:val="0"/>
              <w:widowControl/>
              <w:suppressLineNumbers w:val="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74-82-8</w:t>
            </w:r>
          </w:p>
        </w:tc>
        <w:tc>
          <w:tcPr>
            <w:tcW w:w="729" w:type="pct"/>
            <w:tcBorders>
              <w:tl2br w:val="nil"/>
              <w:tr2bl w:val="nil"/>
            </w:tcBorders>
            <w:noWrap w:val="0"/>
            <w:vAlign w:val="center"/>
          </w:tcPr>
          <w:p w14:paraId="69B15554">
            <w:pPr>
              <w:widowControl/>
              <w:adjustRightInd w:val="0"/>
              <w:snapToGrid w:val="0"/>
              <w:jc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 w:val="0"/>
                <w:bCs w:val="0"/>
                <w:color w:val="auto"/>
                <w:sz w:val="21"/>
                <w:szCs w:val="21"/>
                <w:highlight w:val="none"/>
                <w:vertAlign w:val="baseline"/>
                <w:lang w:val="en-US" w:eastAsia="zh-CN"/>
              </w:rPr>
              <w:t>0.01625</w:t>
            </w:r>
          </w:p>
        </w:tc>
        <w:tc>
          <w:tcPr>
            <w:tcW w:w="599" w:type="pct"/>
            <w:tcBorders>
              <w:tl2br w:val="nil"/>
              <w:tr2bl w:val="nil"/>
            </w:tcBorders>
            <w:noWrap w:val="0"/>
            <w:vAlign w:val="center"/>
          </w:tcPr>
          <w:p w14:paraId="3D226366">
            <w:pPr>
              <w:pStyle w:val="48"/>
              <w:spacing w:line="2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717" w:type="pct"/>
            <w:tcBorders>
              <w:tl2br w:val="nil"/>
              <w:tr2bl w:val="nil"/>
            </w:tcBorders>
            <w:noWrap w:val="0"/>
            <w:vAlign w:val="center"/>
          </w:tcPr>
          <w:p w14:paraId="31FF2638">
            <w:pPr>
              <w:autoSpaceDE w:val="0"/>
              <w:autoSpaceDN w:val="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0.001625</w:t>
            </w:r>
          </w:p>
        </w:tc>
      </w:tr>
      <w:tr w14:paraId="29BE1C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257" w:type="pct"/>
            <w:tcBorders>
              <w:tl2br w:val="nil"/>
              <w:tr2bl w:val="nil"/>
            </w:tcBorders>
            <w:noWrap w:val="0"/>
            <w:vAlign w:val="center"/>
          </w:tcPr>
          <w:p w14:paraId="31ADEFDC">
            <w:pPr>
              <w:widowControl/>
              <w:jc w:val="center"/>
              <w:rPr>
                <w:rFonts w:hint="default" w:ascii="Times New Roman" w:hAnsi="Times New Roman" w:eastAsia="宋体" w:cs="Times New Roman"/>
                <w:bCs/>
                <w:color w:val="auto"/>
                <w:kern w:val="0"/>
                <w:sz w:val="21"/>
                <w:szCs w:val="21"/>
                <w:highlight w:val="none"/>
                <w:lang w:val="en-US" w:eastAsia="zh-CN"/>
              </w:rPr>
            </w:pPr>
            <w:r>
              <w:rPr>
                <w:rFonts w:hint="eastAsia" w:ascii="Times New Roman" w:hAnsi="Times New Roman" w:eastAsia="宋体" w:cs="Times New Roman"/>
                <w:bCs/>
                <w:color w:val="auto"/>
                <w:kern w:val="0"/>
                <w:sz w:val="21"/>
                <w:szCs w:val="21"/>
                <w:highlight w:val="none"/>
                <w:lang w:val="en-US" w:eastAsia="zh-CN"/>
              </w:rPr>
              <w:t>3</w:t>
            </w:r>
          </w:p>
        </w:tc>
        <w:tc>
          <w:tcPr>
            <w:tcW w:w="986" w:type="pct"/>
            <w:vMerge w:val="continue"/>
            <w:tcBorders>
              <w:tl2br w:val="nil"/>
              <w:tr2bl w:val="nil"/>
            </w:tcBorders>
            <w:noWrap w:val="0"/>
            <w:vAlign w:val="center"/>
          </w:tcPr>
          <w:p w14:paraId="7D7F07EE">
            <w:pPr>
              <w:widowControl/>
              <w:adjustRightInd w:val="0"/>
              <w:snapToGrid w:val="0"/>
              <w:jc w:val="center"/>
              <w:rPr>
                <w:rFonts w:hint="default" w:ascii="Times New Roman" w:hAnsi="Times New Roman" w:eastAsia="宋体" w:cs="Times New Roman"/>
                <w:bCs/>
                <w:color w:val="auto"/>
                <w:kern w:val="0"/>
                <w:sz w:val="21"/>
                <w:szCs w:val="21"/>
                <w:highlight w:val="none"/>
                <w:lang w:val="en-US" w:eastAsia="zh-CN"/>
              </w:rPr>
            </w:pPr>
          </w:p>
        </w:tc>
        <w:tc>
          <w:tcPr>
            <w:tcW w:w="981" w:type="pct"/>
            <w:tcBorders>
              <w:tl2br w:val="nil"/>
              <w:tr2bl w:val="nil"/>
            </w:tcBorders>
            <w:noWrap w:val="0"/>
            <w:vAlign w:val="center"/>
          </w:tcPr>
          <w:p w14:paraId="23BD0D24">
            <w:pPr>
              <w:widowControl/>
              <w:adjustRightInd w:val="0"/>
              <w:snapToGrid w:val="0"/>
              <w:jc w:val="center"/>
              <w:rPr>
                <w:rFonts w:hint="default" w:ascii="Times New Roman" w:hAnsi="Times New Roman" w:eastAsia="宋体"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rPr>
              <w:t>富一氧化碳气</w:t>
            </w:r>
          </w:p>
        </w:tc>
        <w:tc>
          <w:tcPr>
            <w:tcW w:w="729" w:type="pct"/>
            <w:tcBorders>
              <w:tl2br w:val="nil"/>
              <w:tr2bl w:val="nil"/>
            </w:tcBorders>
            <w:noWrap w:val="0"/>
            <w:vAlign w:val="center"/>
          </w:tcPr>
          <w:p w14:paraId="7FA6F9FA">
            <w:pPr>
              <w:keepNext w:val="0"/>
              <w:keepLines w:val="0"/>
              <w:widowControl/>
              <w:suppressLineNumbers w:val="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630-08-0</w:t>
            </w:r>
          </w:p>
        </w:tc>
        <w:tc>
          <w:tcPr>
            <w:tcW w:w="729" w:type="pct"/>
            <w:tcBorders>
              <w:tl2br w:val="nil"/>
              <w:tr2bl w:val="nil"/>
            </w:tcBorders>
            <w:noWrap w:val="0"/>
            <w:vAlign w:val="center"/>
          </w:tcPr>
          <w:p w14:paraId="4FEC1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ascii="Times New Roman" w:hAnsi="Times New Roman" w:eastAsia="宋体" w:cs="Times New Roman"/>
                <w:b w:val="0"/>
                <w:bCs w:val="0"/>
                <w:color w:val="auto"/>
                <w:kern w:val="0"/>
                <w:sz w:val="21"/>
                <w:szCs w:val="21"/>
                <w:highlight w:val="none"/>
                <w:vertAlign w:val="baseline"/>
                <w:lang w:val="en-US" w:eastAsia="zh-CN" w:bidi="ar-SA"/>
              </w:rPr>
              <w:t>0.1679</w:t>
            </w:r>
          </w:p>
        </w:tc>
        <w:tc>
          <w:tcPr>
            <w:tcW w:w="599" w:type="pct"/>
            <w:tcBorders>
              <w:tl2br w:val="nil"/>
              <w:tr2bl w:val="nil"/>
            </w:tcBorders>
            <w:noWrap w:val="0"/>
            <w:vAlign w:val="center"/>
          </w:tcPr>
          <w:p w14:paraId="1CD7FD74">
            <w:pPr>
              <w:pStyle w:val="48"/>
              <w:spacing w:line="260" w:lineRule="exac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7.5</w:t>
            </w:r>
          </w:p>
        </w:tc>
        <w:tc>
          <w:tcPr>
            <w:tcW w:w="717" w:type="pct"/>
            <w:tcBorders>
              <w:tl2br w:val="nil"/>
              <w:tr2bl w:val="nil"/>
            </w:tcBorders>
            <w:noWrap w:val="0"/>
            <w:vAlign w:val="center"/>
          </w:tcPr>
          <w:p w14:paraId="52DB70B8">
            <w:pPr>
              <w:autoSpaceDE w:val="0"/>
              <w:autoSpaceDN w:val="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0.022386</w:t>
            </w:r>
          </w:p>
        </w:tc>
      </w:tr>
      <w:tr w14:paraId="1BB33C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35" w:hRule="atLeast"/>
        </w:trPr>
        <w:tc>
          <w:tcPr>
            <w:tcW w:w="1243" w:type="pct"/>
            <w:gridSpan w:val="2"/>
            <w:tcBorders>
              <w:tl2br w:val="nil"/>
              <w:tr2bl w:val="nil"/>
            </w:tcBorders>
            <w:noWrap w:val="0"/>
            <w:vAlign w:val="center"/>
          </w:tcPr>
          <w:p w14:paraId="30416EAC">
            <w:pPr>
              <w:autoSpaceDE w:val="0"/>
              <w:autoSpaceDN w:val="0"/>
              <w:jc w:val="center"/>
              <w:rPr>
                <w:rFonts w:hint="default" w:ascii="Times New Roman" w:hAnsi="Times New Roman" w:eastAsia="宋体" w:cs="Times New Roman"/>
                <w:color w:val="auto"/>
                <w:kern w:val="0"/>
                <w:sz w:val="21"/>
                <w:szCs w:val="21"/>
                <w:highlight w:val="none"/>
                <w:lang w:val="en-US" w:eastAsia="zh-CN"/>
              </w:rPr>
            </w:pPr>
          </w:p>
        </w:tc>
        <w:tc>
          <w:tcPr>
            <w:tcW w:w="3039" w:type="pct"/>
            <w:gridSpan w:val="4"/>
            <w:tcBorders>
              <w:tl2br w:val="nil"/>
              <w:tr2bl w:val="nil"/>
            </w:tcBorders>
            <w:noWrap w:val="0"/>
            <w:vAlign w:val="center"/>
          </w:tcPr>
          <w:p w14:paraId="0A5AF829">
            <w:pPr>
              <w:autoSpaceDE w:val="0"/>
              <w:autoSpaceDN w:val="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项目Q值∑</w:t>
            </w:r>
          </w:p>
        </w:tc>
        <w:tc>
          <w:tcPr>
            <w:tcW w:w="717" w:type="pct"/>
            <w:tcBorders>
              <w:tl2br w:val="nil"/>
              <w:tr2bl w:val="nil"/>
            </w:tcBorders>
            <w:noWrap w:val="0"/>
            <w:vAlign w:val="center"/>
          </w:tcPr>
          <w:p w14:paraId="752B75E1">
            <w:pPr>
              <w:autoSpaceDE w:val="0"/>
              <w:autoSpaceDN w:val="0"/>
              <w:jc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0.030911</w:t>
            </w:r>
          </w:p>
        </w:tc>
      </w:tr>
    </w:tbl>
    <w:p w14:paraId="700B86E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rPr>
        <w:t>由表</w:t>
      </w:r>
      <w:r>
        <w:rPr>
          <w:rFonts w:hint="eastAsia" w:ascii="Times New Roman" w:hAnsi="Times New Roman" w:eastAsia="宋体" w:cs="Times New Roman"/>
          <w:color w:val="auto"/>
          <w:kern w:val="0"/>
          <w:sz w:val="24"/>
          <w:highlight w:val="none"/>
          <w:lang w:val="en-US" w:eastAsia="zh-CN"/>
        </w:rPr>
        <w:t>2-2</w:t>
      </w:r>
      <w:r>
        <w:rPr>
          <w:rFonts w:hint="default" w:ascii="Times New Roman" w:hAnsi="Times New Roman" w:eastAsia="宋体" w:cs="Times New Roman"/>
          <w:color w:val="auto"/>
          <w:kern w:val="0"/>
          <w:sz w:val="24"/>
          <w:highlight w:val="none"/>
        </w:rPr>
        <w:t>知，本项目危险物质数量与临界量比值Q为</w:t>
      </w:r>
      <w:r>
        <w:rPr>
          <w:rFonts w:hint="eastAsia" w:ascii="Times New Roman" w:hAnsi="Times New Roman" w:eastAsia="宋体" w:cs="Times New Roman"/>
          <w:color w:val="auto"/>
          <w:kern w:val="0"/>
          <w:sz w:val="24"/>
          <w:highlight w:val="none"/>
          <w:lang w:val="en-US" w:eastAsia="zh-CN"/>
        </w:rPr>
        <w:t>0.030911</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即</w:t>
      </w:r>
      <w:r>
        <w:rPr>
          <w:rFonts w:hint="default" w:ascii="Times New Roman" w:hAnsi="Times New Roman" w:eastAsia="宋体" w:cs="Times New Roman"/>
          <w:color w:val="auto"/>
          <w:kern w:val="0"/>
          <w:sz w:val="24"/>
          <w:highlight w:val="none"/>
        </w:rPr>
        <w:t>Q＜1</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则本项目风险潜势为Ⅰ。</w:t>
      </w:r>
    </w:p>
    <w:p w14:paraId="7310C6EC">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宋体" w:hAnsi="宋体" w:eastAsia="宋体" w:cs="宋体"/>
          <w:b/>
          <w:bCs/>
          <w:color w:val="auto"/>
          <w:sz w:val="28"/>
          <w:szCs w:val="28"/>
          <w:highlight w:val="none"/>
          <w:lang w:val="en-US" w:eastAsia="zh-CN"/>
        </w:rPr>
      </w:pPr>
      <w:bookmarkStart w:id="22" w:name="_Toc4022"/>
      <w:r>
        <w:rPr>
          <w:rFonts w:hint="eastAsia" w:ascii="宋体" w:hAnsi="宋体" w:eastAsia="宋体" w:cs="宋体"/>
          <w:b/>
          <w:bCs/>
          <w:color w:val="auto"/>
          <w:sz w:val="28"/>
          <w:szCs w:val="28"/>
          <w:highlight w:val="none"/>
          <w:lang w:val="en-US" w:eastAsia="zh-CN"/>
        </w:rPr>
        <w:t>2.2.2评价等级及评价范围</w:t>
      </w:r>
      <w:bookmarkEnd w:id="22"/>
    </w:p>
    <w:p w14:paraId="50824FAC">
      <w:pPr>
        <w:autoSpaceDE w:val="0"/>
        <w:autoSpaceDN w:val="0"/>
        <w:spacing w:line="480" w:lineRule="exact"/>
        <w:ind w:firstLine="480" w:firstLineChars="200"/>
        <w:jc w:val="left"/>
        <w:rPr>
          <w:rFonts w:hint="default" w:ascii="Times New Roman" w:hAnsi="Times New Roman" w:eastAsia="宋体" w:cs="Times New Roman"/>
          <w:color w:val="auto"/>
          <w:kern w:val="0"/>
          <w:sz w:val="24"/>
          <w:highlight w:val="none"/>
          <w:lang w:val="en-US" w:eastAsia="zh-CN"/>
        </w:rPr>
      </w:pP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1</w:t>
      </w: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评价等级</w:t>
      </w:r>
    </w:p>
    <w:p w14:paraId="08A1A479">
      <w:pPr>
        <w:autoSpaceDE w:val="0"/>
        <w:autoSpaceDN w:val="0"/>
        <w:spacing w:line="480" w:lineRule="exact"/>
        <w:ind w:firstLine="480" w:firstLineChars="200"/>
        <w:jc w:val="left"/>
        <w:rPr>
          <w:rFonts w:ascii="Times New Roman" w:hAnsi="Times New Roman" w:eastAsia="宋体" w:cs="Times New Roman"/>
          <w:bCs/>
          <w:color w:val="auto"/>
          <w:kern w:val="0"/>
          <w:sz w:val="24"/>
          <w:highlight w:val="none"/>
        </w:rPr>
      </w:pPr>
      <w:r>
        <w:rPr>
          <w:rFonts w:ascii="Times New Roman" w:hAnsi="Times New Roman" w:eastAsia="宋体" w:cs="Times New Roman"/>
          <w:color w:val="auto"/>
          <w:kern w:val="0"/>
          <w:sz w:val="24"/>
          <w:highlight w:val="none"/>
        </w:rPr>
        <w:t>根据</w:t>
      </w:r>
      <w:r>
        <w:rPr>
          <w:rFonts w:ascii="Times New Roman" w:hAnsi="Times New Roman" w:eastAsia="宋体" w:cs="Times New Roman"/>
          <w:color w:val="auto"/>
          <w:sz w:val="24"/>
          <w:highlight w:val="none"/>
        </w:rPr>
        <w:t>《建设项目环境风险评价技术导则》（HJ169-2018），</w:t>
      </w:r>
      <w:r>
        <w:rPr>
          <w:rFonts w:ascii="Times New Roman" w:hAnsi="Times New Roman" w:eastAsia="宋体" w:cs="Times New Roman"/>
          <w:color w:val="auto"/>
          <w:kern w:val="0"/>
          <w:sz w:val="24"/>
          <w:highlight w:val="none"/>
        </w:rPr>
        <w:t>建设项目环境风险评价等级划分为一级、二级和三级，评价工作等级划分判据见</w:t>
      </w:r>
      <w:r>
        <w:rPr>
          <w:rFonts w:ascii="Times New Roman" w:hAnsi="Times New Roman" w:eastAsia="宋体" w:cs="Times New Roman"/>
          <w:bCs/>
          <w:color w:val="auto"/>
          <w:kern w:val="0"/>
          <w:sz w:val="24"/>
          <w:highlight w:val="none"/>
        </w:rPr>
        <w:t>表</w:t>
      </w:r>
      <w:r>
        <w:rPr>
          <w:rFonts w:hint="eastAsia" w:ascii="Times New Roman" w:hAnsi="Times New Roman" w:eastAsia="宋体" w:cs="Times New Roman"/>
          <w:bCs/>
          <w:color w:val="auto"/>
          <w:kern w:val="0"/>
          <w:sz w:val="24"/>
          <w:highlight w:val="none"/>
          <w:lang w:val="en-US" w:eastAsia="zh-CN"/>
        </w:rPr>
        <w:t>2-3</w:t>
      </w:r>
      <w:r>
        <w:rPr>
          <w:rFonts w:ascii="Times New Roman" w:hAnsi="Times New Roman" w:eastAsia="宋体" w:cs="Times New Roman"/>
          <w:bCs/>
          <w:color w:val="auto"/>
          <w:kern w:val="0"/>
          <w:sz w:val="24"/>
          <w:highlight w:val="none"/>
        </w:rPr>
        <w:t>。</w:t>
      </w:r>
    </w:p>
    <w:p w14:paraId="05BC12DD">
      <w:pPr>
        <w:autoSpaceDE w:val="0"/>
        <w:autoSpaceDN w:val="0"/>
        <w:spacing w:line="480" w:lineRule="exact"/>
        <w:jc w:val="center"/>
        <w:rPr>
          <w:rFonts w:ascii="Times New Roman" w:hAnsi="Times New Roman" w:eastAsia="宋体" w:cs="Times New Roman"/>
          <w:b/>
          <w:bCs/>
          <w:color w:val="auto"/>
          <w:kern w:val="0"/>
          <w:sz w:val="24"/>
          <w:highlight w:val="none"/>
        </w:rPr>
      </w:pPr>
    </w:p>
    <w:p w14:paraId="7E670D13">
      <w:pPr>
        <w:autoSpaceDE w:val="0"/>
        <w:autoSpaceDN w:val="0"/>
        <w:spacing w:line="480" w:lineRule="exact"/>
        <w:jc w:val="center"/>
        <w:rPr>
          <w:rFonts w:ascii="Times New Roman" w:hAnsi="Times New Roman" w:eastAsia="宋体" w:cs="Times New Roman"/>
          <w:b/>
          <w:bCs/>
          <w:color w:val="auto"/>
          <w:kern w:val="0"/>
          <w:sz w:val="24"/>
          <w:highlight w:val="none"/>
        </w:rPr>
      </w:pPr>
      <w:r>
        <w:rPr>
          <w:rFonts w:ascii="Times New Roman" w:hAnsi="Times New Roman" w:eastAsia="宋体" w:cs="Times New Roman"/>
          <w:b/>
          <w:bCs/>
          <w:color w:val="auto"/>
          <w:kern w:val="0"/>
          <w:sz w:val="24"/>
          <w:highlight w:val="none"/>
        </w:rPr>
        <w:t>表</w:t>
      </w:r>
      <w:r>
        <w:rPr>
          <w:rFonts w:hint="eastAsia" w:ascii="Times New Roman" w:hAnsi="Times New Roman" w:eastAsia="宋体" w:cs="Times New Roman"/>
          <w:b/>
          <w:bCs/>
          <w:color w:val="auto"/>
          <w:kern w:val="0"/>
          <w:sz w:val="24"/>
          <w:highlight w:val="none"/>
          <w:lang w:val="en-US" w:eastAsia="zh-CN"/>
        </w:rPr>
        <w:t>2-3</w:t>
      </w:r>
      <w:r>
        <w:rPr>
          <w:rFonts w:ascii="Times New Roman" w:hAnsi="Times New Roman" w:eastAsia="宋体" w:cs="Times New Roman"/>
          <w:b/>
          <w:bCs/>
          <w:color w:val="auto"/>
          <w:kern w:val="0"/>
          <w:sz w:val="24"/>
          <w:highlight w:val="none"/>
        </w:rPr>
        <w:t xml:space="preserve">    评价工作等级划分判据表</w:t>
      </w:r>
    </w:p>
    <w:tbl>
      <w:tblPr>
        <w:tblStyle w:val="24"/>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83"/>
        <w:gridCol w:w="1991"/>
        <w:gridCol w:w="958"/>
        <w:gridCol w:w="741"/>
        <w:gridCol w:w="707"/>
        <w:gridCol w:w="1137"/>
      </w:tblGrid>
      <w:tr w14:paraId="56CDF4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750" w:type="pct"/>
            <w:tcBorders>
              <w:tl2br w:val="nil"/>
              <w:tr2bl w:val="nil"/>
            </w:tcBorders>
            <w:noWrap w:val="0"/>
            <w:vAlign w:val="center"/>
          </w:tcPr>
          <w:p w14:paraId="6D0D6A5E">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判据</w:t>
            </w:r>
          </w:p>
        </w:tc>
        <w:tc>
          <w:tcPr>
            <w:tcW w:w="1168" w:type="pct"/>
            <w:tcBorders>
              <w:tl2br w:val="nil"/>
              <w:tr2bl w:val="nil"/>
            </w:tcBorders>
            <w:noWrap w:val="0"/>
            <w:vAlign w:val="center"/>
          </w:tcPr>
          <w:p w14:paraId="2FA661DD">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环境风险潜势</w:t>
            </w:r>
          </w:p>
        </w:tc>
        <w:tc>
          <w:tcPr>
            <w:tcW w:w="562" w:type="pct"/>
            <w:tcBorders>
              <w:tl2br w:val="nil"/>
              <w:tr2bl w:val="nil"/>
            </w:tcBorders>
            <w:noWrap w:val="0"/>
            <w:vAlign w:val="center"/>
          </w:tcPr>
          <w:p w14:paraId="22DAE397">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Ⅳ、Ⅳ</w:t>
            </w:r>
            <w:r>
              <w:rPr>
                <w:rFonts w:ascii="Times New Roman" w:hAnsi="Times New Roman" w:eastAsia="宋体" w:cs="Times New Roman"/>
                <w:color w:val="auto"/>
                <w:kern w:val="0"/>
                <w:szCs w:val="21"/>
                <w:highlight w:val="none"/>
                <w:vertAlign w:val="superscript"/>
              </w:rPr>
              <w:t>+</w:t>
            </w:r>
          </w:p>
        </w:tc>
        <w:tc>
          <w:tcPr>
            <w:tcW w:w="435" w:type="pct"/>
            <w:tcBorders>
              <w:tl2br w:val="nil"/>
              <w:tr2bl w:val="nil"/>
            </w:tcBorders>
            <w:noWrap w:val="0"/>
            <w:vAlign w:val="center"/>
          </w:tcPr>
          <w:p w14:paraId="2574864D">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Ⅲ</w:t>
            </w:r>
          </w:p>
        </w:tc>
        <w:tc>
          <w:tcPr>
            <w:tcW w:w="415" w:type="pct"/>
            <w:tcBorders>
              <w:tl2br w:val="nil"/>
              <w:tr2bl w:val="nil"/>
            </w:tcBorders>
            <w:noWrap w:val="0"/>
            <w:vAlign w:val="center"/>
          </w:tcPr>
          <w:p w14:paraId="313B9EE8">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Ⅱ</w:t>
            </w:r>
          </w:p>
        </w:tc>
        <w:tc>
          <w:tcPr>
            <w:tcW w:w="667" w:type="pct"/>
            <w:tcBorders>
              <w:tl2br w:val="nil"/>
              <w:tr2bl w:val="nil"/>
            </w:tcBorders>
            <w:noWrap w:val="0"/>
            <w:vAlign w:val="center"/>
          </w:tcPr>
          <w:p w14:paraId="6730BBDD">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Ⅰ</w:t>
            </w:r>
          </w:p>
        </w:tc>
      </w:tr>
      <w:tr w14:paraId="535AD7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50" w:type="pct"/>
            <w:tcBorders>
              <w:tl2br w:val="nil"/>
              <w:tr2bl w:val="nil"/>
            </w:tcBorders>
            <w:noWrap w:val="0"/>
            <w:vAlign w:val="center"/>
          </w:tcPr>
          <w:p w14:paraId="691ADB30">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szCs w:val="21"/>
                <w:highlight w:val="none"/>
              </w:rPr>
              <w:t>《建设项目环境风险评价技术导则》（HJ169-2018）表1</w:t>
            </w:r>
          </w:p>
        </w:tc>
        <w:tc>
          <w:tcPr>
            <w:tcW w:w="1168" w:type="pct"/>
            <w:tcBorders>
              <w:tl2br w:val="nil"/>
              <w:tr2bl w:val="nil"/>
            </w:tcBorders>
            <w:noWrap w:val="0"/>
            <w:vAlign w:val="center"/>
          </w:tcPr>
          <w:p w14:paraId="047287DD">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评价工作等级</w:t>
            </w:r>
          </w:p>
        </w:tc>
        <w:tc>
          <w:tcPr>
            <w:tcW w:w="562" w:type="pct"/>
            <w:tcBorders>
              <w:tl2br w:val="nil"/>
              <w:tr2bl w:val="nil"/>
            </w:tcBorders>
            <w:noWrap w:val="0"/>
            <w:vAlign w:val="center"/>
          </w:tcPr>
          <w:p w14:paraId="2430303A">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一</w:t>
            </w:r>
          </w:p>
        </w:tc>
        <w:tc>
          <w:tcPr>
            <w:tcW w:w="435" w:type="pct"/>
            <w:tcBorders>
              <w:tl2br w:val="nil"/>
              <w:tr2bl w:val="nil"/>
            </w:tcBorders>
            <w:noWrap w:val="0"/>
            <w:vAlign w:val="center"/>
          </w:tcPr>
          <w:p w14:paraId="059DE32B">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二</w:t>
            </w:r>
          </w:p>
        </w:tc>
        <w:tc>
          <w:tcPr>
            <w:tcW w:w="415" w:type="pct"/>
            <w:tcBorders>
              <w:tl2br w:val="nil"/>
              <w:tr2bl w:val="nil"/>
            </w:tcBorders>
            <w:noWrap w:val="0"/>
            <w:vAlign w:val="center"/>
          </w:tcPr>
          <w:p w14:paraId="3C939482">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三</w:t>
            </w:r>
          </w:p>
        </w:tc>
        <w:tc>
          <w:tcPr>
            <w:tcW w:w="667" w:type="pct"/>
            <w:tcBorders>
              <w:tl2br w:val="nil"/>
              <w:tr2bl w:val="nil"/>
            </w:tcBorders>
            <w:noWrap w:val="0"/>
            <w:vAlign w:val="center"/>
          </w:tcPr>
          <w:p w14:paraId="0214B679">
            <w:pPr>
              <w:autoSpaceDE w:val="0"/>
              <w:autoSpaceDN w:val="0"/>
              <w:jc w:val="center"/>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简单分析</w:t>
            </w:r>
          </w:p>
        </w:tc>
      </w:tr>
    </w:tbl>
    <w:p w14:paraId="38FAA024">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0" w:firstLineChars="200"/>
        <w:jc w:val="left"/>
        <w:textAlignment w:val="auto"/>
        <w:rPr>
          <w:rFonts w:ascii="Times New Roman" w:hAnsi="Times New Roman" w:eastAsia="宋体" w:cs="Times New Roman"/>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根据上表，项目环境风险评价为简单分析。本工程有毒有害物质扩散途径主要为大气扩散，因此，本次风险评价主要针对大气环境风险展开。</w:t>
      </w:r>
    </w:p>
    <w:p w14:paraId="25D505F1">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ascii="Times New Roman" w:hAnsi="Times New Roman" w:eastAsia="宋体" w:cs="Times New Roman"/>
          <w:b w:val="0"/>
          <w:bCs w:val="0"/>
          <w:color w:val="auto"/>
          <w:kern w:val="0"/>
          <w:sz w:val="24"/>
          <w:szCs w:val="24"/>
          <w:highlight w:val="none"/>
        </w:rPr>
      </w:pPr>
      <w:r>
        <w:rPr>
          <w:rFonts w:ascii="Times New Roman" w:hAnsi="Times New Roman" w:eastAsia="宋体" w:cs="Times New Roman"/>
          <w:b w:val="0"/>
          <w:bCs w:val="0"/>
          <w:color w:val="auto"/>
          <w:kern w:val="0"/>
          <w:sz w:val="24"/>
          <w:szCs w:val="24"/>
          <w:highlight w:val="none"/>
        </w:rPr>
        <w:t>（</w:t>
      </w:r>
      <w:r>
        <w:rPr>
          <w:rFonts w:hint="eastAsia" w:ascii="Times New Roman" w:hAnsi="Times New Roman" w:eastAsia="宋体" w:cs="Times New Roman"/>
          <w:b w:val="0"/>
          <w:bCs w:val="0"/>
          <w:color w:val="auto"/>
          <w:kern w:val="0"/>
          <w:sz w:val="24"/>
          <w:szCs w:val="24"/>
          <w:highlight w:val="none"/>
          <w:lang w:val="en-US" w:eastAsia="zh-CN"/>
        </w:rPr>
        <w:t>2</w:t>
      </w:r>
      <w:r>
        <w:rPr>
          <w:rFonts w:ascii="Times New Roman" w:hAnsi="Times New Roman" w:eastAsia="宋体" w:cs="Times New Roman"/>
          <w:b w:val="0"/>
          <w:bCs w:val="0"/>
          <w:color w:val="auto"/>
          <w:kern w:val="0"/>
          <w:sz w:val="24"/>
          <w:szCs w:val="24"/>
          <w:highlight w:val="none"/>
        </w:rPr>
        <w:t>）评价范围</w:t>
      </w:r>
    </w:p>
    <w:p w14:paraId="3B7FBC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本项目风险评价等级为简单分析，不涉及评价范围。</w:t>
      </w:r>
    </w:p>
    <w:p w14:paraId="64706074">
      <w:pPr>
        <w:pStyle w:val="2"/>
        <w:bidi w:val="0"/>
        <w:rPr>
          <w:rFonts w:hint="eastAsia" w:ascii="宋体" w:hAnsi="宋体" w:eastAsia="宋体" w:cs="宋体"/>
          <w:b/>
          <w:bCs/>
          <w:color w:val="auto"/>
          <w:sz w:val="32"/>
          <w:szCs w:val="32"/>
          <w:highlight w:val="none"/>
          <w:lang w:val="en-US" w:eastAsia="zh-CN"/>
        </w:rPr>
      </w:pPr>
      <w:bookmarkStart w:id="23" w:name="_Toc15119"/>
      <w:r>
        <w:rPr>
          <w:rFonts w:hint="eastAsia" w:ascii="宋体" w:hAnsi="宋体" w:eastAsia="宋体" w:cs="宋体"/>
          <w:b/>
          <w:bCs/>
          <w:color w:val="auto"/>
          <w:sz w:val="32"/>
          <w:szCs w:val="32"/>
          <w:highlight w:val="none"/>
          <w:lang w:val="en-US" w:eastAsia="zh-CN"/>
        </w:rPr>
        <w:t>3.环境敏感目标调查</w:t>
      </w:r>
      <w:bookmarkEnd w:id="23"/>
    </w:p>
    <w:p w14:paraId="21CF15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bidi="ar"/>
        </w:rPr>
        <w:t>本工程管线全部采用架空管廊铺设，输送的氢气、富一氧化碳气、天然气不会与土壤和地下水体之间发生联系，输送作业无污染物排放，不会对地下水和地表水造成影响。即使在发生泄漏事故的状态下，由于输送气体为气态物质，且管道不与土壤接触，亦不会对地表水和地下水环境造成污染影响。但泄漏事故和泄漏遇明火发生火灾和爆炸事故产生的泄漏气体和伴生、次生污染物对周围大气环境影响较大，因此本工程危险物质可能的影响途径主要为大气扩散，</w:t>
      </w:r>
      <w:r>
        <w:rPr>
          <w:rFonts w:hint="default" w:ascii="Times New Roman" w:hAnsi="Times New Roman" w:eastAsia="宋体" w:cs="Times New Roman"/>
          <w:color w:val="auto"/>
          <w:sz w:val="24"/>
          <w:szCs w:val="24"/>
          <w:highlight w:val="none"/>
        </w:rPr>
        <w:t>故本次评价环境敏感目标的调查重点关注大气环境风险受体</w:t>
      </w:r>
      <w:r>
        <w:rPr>
          <w:rFonts w:hint="eastAsia" w:ascii="Times New Roman" w:hAnsi="Times New Roman" w:eastAsia="宋体" w:cs="Times New Roman"/>
          <w:color w:val="auto"/>
          <w:sz w:val="24"/>
          <w:szCs w:val="24"/>
          <w:highlight w:val="none"/>
          <w:lang w:eastAsia="zh-CN"/>
        </w:rPr>
        <w:t>。</w:t>
      </w:r>
    </w:p>
    <w:p w14:paraId="727934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highlight w:val="none"/>
        </w:rPr>
      </w:pPr>
      <w:r>
        <w:rPr>
          <w:rFonts w:hint="eastAsia" w:ascii="Times New Roman" w:hAnsi="Times New Roman" w:eastAsia="宋体" w:cs="Times New Roman"/>
          <w:color w:val="auto"/>
          <w:kern w:val="0"/>
          <w:sz w:val="24"/>
          <w:szCs w:val="24"/>
          <w:highlight w:val="none"/>
          <w:lang w:val="en-US" w:eastAsia="zh-CN" w:bidi="ar"/>
        </w:rPr>
        <w:t>由于本项目评价等级为简单分析，不涉及环境风险评价范围，项目周边环境保护目标主要调查外部管廊中心线两侧200m范围和基地厂界外200m范围</w:t>
      </w:r>
      <w:r>
        <w:rPr>
          <w:rFonts w:hint="eastAsia" w:ascii="Times New Roman" w:hAnsi="Times New Roman" w:eastAsia="宋体" w:cs="Times New Roman"/>
          <w:color w:val="auto"/>
          <w:sz w:val="24"/>
          <w:szCs w:val="24"/>
          <w:highlight w:val="none"/>
          <w:lang w:val="en-US" w:eastAsia="zh-CN"/>
        </w:rPr>
        <w:t>，则</w:t>
      </w:r>
      <w:r>
        <w:rPr>
          <w:rFonts w:ascii="Times New Roman" w:hAnsi="Times New Roman" w:eastAsia="宋体" w:cs="Times New Roman"/>
          <w:color w:val="auto"/>
          <w:sz w:val="24"/>
          <w:highlight w:val="none"/>
        </w:rPr>
        <w:t>本项目</w:t>
      </w:r>
      <w:r>
        <w:rPr>
          <w:rFonts w:hint="eastAsia" w:ascii="Times New Roman" w:hAnsi="Times New Roman" w:eastAsia="宋体" w:cs="Times New Roman"/>
          <w:color w:val="auto"/>
          <w:sz w:val="24"/>
          <w:highlight w:val="none"/>
          <w:lang w:val="en-US" w:eastAsia="zh-CN"/>
        </w:rPr>
        <w:t>周围</w:t>
      </w:r>
      <w:r>
        <w:rPr>
          <w:rFonts w:ascii="Times New Roman" w:hAnsi="Times New Roman" w:eastAsia="宋体" w:cs="Times New Roman"/>
          <w:color w:val="auto"/>
          <w:sz w:val="24"/>
          <w:highlight w:val="none"/>
        </w:rPr>
        <w:t>环境风险敏感</w:t>
      </w:r>
      <w:r>
        <w:rPr>
          <w:rFonts w:hint="eastAsia" w:ascii="Times New Roman" w:hAnsi="Times New Roman" w:eastAsia="宋体" w:cs="Times New Roman"/>
          <w:color w:val="auto"/>
          <w:sz w:val="24"/>
          <w:highlight w:val="none"/>
          <w:lang w:val="en-US" w:eastAsia="zh-CN"/>
        </w:rPr>
        <w:t>目标分布情况见表3-1</w:t>
      </w:r>
      <w:r>
        <w:rPr>
          <w:rFonts w:ascii="Times New Roman" w:hAnsi="Times New Roman" w:eastAsia="宋体" w:cs="Times New Roman"/>
          <w:color w:val="auto"/>
          <w:sz w:val="24"/>
          <w:highlight w:val="none"/>
        </w:rPr>
        <w:t>。</w:t>
      </w:r>
    </w:p>
    <w:p w14:paraId="45F5AA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表</w:t>
      </w:r>
      <w:r>
        <w:rPr>
          <w:rFonts w:hint="eastAsia" w:ascii="Times New Roman" w:hAnsi="Times New Roman" w:eastAsia="宋体" w:cs="Times New Roman"/>
          <w:b/>
          <w:color w:val="auto"/>
          <w:sz w:val="24"/>
          <w:highlight w:val="none"/>
          <w:lang w:val="en-US" w:eastAsia="zh-CN"/>
        </w:rPr>
        <w:t>3-1</w:t>
      </w:r>
      <w:r>
        <w:rPr>
          <w:rFonts w:ascii="Times New Roman" w:hAnsi="Times New Roman" w:eastAsia="宋体" w:cs="Times New Roman"/>
          <w:b/>
          <w:color w:val="auto"/>
          <w:sz w:val="24"/>
          <w:highlight w:val="none"/>
        </w:rPr>
        <w:t xml:space="preserve">    本项目环境风险敏感</w:t>
      </w:r>
      <w:r>
        <w:rPr>
          <w:rFonts w:hint="eastAsia" w:ascii="Times New Roman" w:hAnsi="Times New Roman" w:eastAsia="宋体" w:cs="Times New Roman"/>
          <w:b/>
          <w:color w:val="auto"/>
          <w:sz w:val="24"/>
          <w:highlight w:val="none"/>
          <w:lang w:val="en-US" w:eastAsia="zh-CN"/>
        </w:rPr>
        <w:t>目标一览表</w:t>
      </w:r>
    </w:p>
    <w:tbl>
      <w:tblPr>
        <w:tblStyle w:val="24"/>
        <w:tblW w:w="872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95"/>
        <w:gridCol w:w="2025"/>
        <w:gridCol w:w="1108"/>
        <w:gridCol w:w="1260"/>
        <w:gridCol w:w="1140"/>
        <w:gridCol w:w="1615"/>
      </w:tblGrid>
      <w:tr w14:paraId="4B3572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2" w:type="dxa"/>
            <w:tcBorders>
              <w:tl2br w:val="nil"/>
              <w:tr2bl w:val="nil"/>
            </w:tcBorders>
            <w:noWrap w:val="0"/>
            <w:vAlign w:val="center"/>
          </w:tcPr>
          <w:p w14:paraId="2FFEB4CA">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类别</w:t>
            </w:r>
          </w:p>
        </w:tc>
        <w:tc>
          <w:tcPr>
            <w:tcW w:w="7943" w:type="dxa"/>
            <w:gridSpan w:val="6"/>
            <w:tcBorders>
              <w:tl2br w:val="nil"/>
              <w:tr2bl w:val="nil"/>
            </w:tcBorders>
            <w:noWrap w:val="0"/>
            <w:vAlign w:val="center"/>
          </w:tcPr>
          <w:p w14:paraId="74750614">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环境敏感特征</w:t>
            </w:r>
          </w:p>
        </w:tc>
      </w:tr>
      <w:tr w14:paraId="50BA71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2" w:type="dxa"/>
            <w:vMerge w:val="restart"/>
            <w:tcBorders>
              <w:tl2br w:val="nil"/>
              <w:tr2bl w:val="nil"/>
            </w:tcBorders>
            <w:noWrap w:val="0"/>
            <w:vAlign w:val="center"/>
          </w:tcPr>
          <w:p w14:paraId="4148159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w:t>
            </w:r>
          </w:p>
          <w:p w14:paraId="3BEF8D7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空气</w:t>
            </w:r>
          </w:p>
        </w:tc>
        <w:tc>
          <w:tcPr>
            <w:tcW w:w="7943" w:type="dxa"/>
            <w:gridSpan w:val="6"/>
            <w:tcBorders>
              <w:tl2br w:val="nil"/>
              <w:tr2bl w:val="nil"/>
            </w:tcBorders>
            <w:noWrap w:val="0"/>
            <w:vAlign w:val="center"/>
          </w:tcPr>
          <w:p w14:paraId="58E1F51F">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中试基地</w:t>
            </w:r>
            <w:r>
              <w:rPr>
                <w:rFonts w:hint="default" w:ascii="Times New Roman" w:hAnsi="Times New Roman" w:eastAsia="宋体" w:cs="Times New Roman"/>
                <w:b/>
                <w:bCs/>
                <w:color w:val="auto"/>
                <w:sz w:val="21"/>
                <w:szCs w:val="21"/>
                <w:highlight w:val="none"/>
              </w:rPr>
              <w:t>周边</w:t>
            </w:r>
            <w:r>
              <w:rPr>
                <w:rFonts w:hint="default" w:ascii="Times New Roman" w:hAnsi="Times New Roman" w:eastAsia="宋体" w:cs="Times New Roman"/>
                <w:b/>
                <w:bCs/>
                <w:color w:val="auto"/>
                <w:sz w:val="21"/>
                <w:szCs w:val="21"/>
                <w:highlight w:val="none"/>
                <w:lang w:val="en-US" w:eastAsia="zh-CN"/>
              </w:rPr>
              <w:t>200</w:t>
            </w:r>
            <w:r>
              <w:rPr>
                <w:rFonts w:hint="default" w:ascii="Times New Roman" w:hAnsi="Times New Roman" w:eastAsia="宋体" w:cs="Times New Roman"/>
                <w:b/>
                <w:bCs/>
                <w:color w:val="auto"/>
                <w:sz w:val="21"/>
                <w:szCs w:val="21"/>
                <w:highlight w:val="none"/>
              </w:rPr>
              <w:t>m范围内</w:t>
            </w:r>
          </w:p>
        </w:tc>
      </w:tr>
      <w:tr w14:paraId="0CF522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782" w:type="dxa"/>
            <w:vMerge w:val="continue"/>
            <w:tcBorders>
              <w:tl2br w:val="nil"/>
              <w:tr2bl w:val="nil"/>
            </w:tcBorders>
            <w:noWrap w:val="0"/>
            <w:vAlign w:val="center"/>
          </w:tcPr>
          <w:p w14:paraId="0E679AFA">
            <w:pPr>
              <w:jc w:val="center"/>
              <w:rPr>
                <w:rFonts w:hint="default" w:ascii="Times New Roman" w:hAnsi="Times New Roman" w:eastAsia="宋体" w:cs="Times New Roman"/>
                <w:color w:val="auto"/>
                <w:sz w:val="21"/>
                <w:szCs w:val="21"/>
                <w:highlight w:val="none"/>
              </w:rPr>
            </w:pPr>
          </w:p>
        </w:tc>
        <w:tc>
          <w:tcPr>
            <w:tcW w:w="795" w:type="dxa"/>
            <w:tcBorders>
              <w:tl2br w:val="nil"/>
              <w:tr2bl w:val="nil"/>
            </w:tcBorders>
            <w:noWrap w:val="0"/>
            <w:vAlign w:val="center"/>
          </w:tcPr>
          <w:p w14:paraId="3F588CB3">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2025" w:type="dxa"/>
            <w:tcBorders>
              <w:tl2br w:val="nil"/>
              <w:tr2bl w:val="nil"/>
            </w:tcBorders>
            <w:noWrap w:val="0"/>
            <w:vAlign w:val="center"/>
          </w:tcPr>
          <w:p w14:paraId="507BB42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敏感目标名称</w:t>
            </w:r>
          </w:p>
        </w:tc>
        <w:tc>
          <w:tcPr>
            <w:tcW w:w="1108" w:type="dxa"/>
            <w:tcBorders>
              <w:tl2br w:val="nil"/>
              <w:tr2bl w:val="nil"/>
            </w:tcBorders>
            <w:noWrap w:val="0"/>
            <w:vAlign w:val="center"/>
          </w:tcPr>
          <w:p w14:paraId="2E5F805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相对方位</w:t>
            </w:r>
          </w:p>
        </w:tc>
        <w:tc>
          <w:tcPr>
            <w:tcW w:w="1260" w:type="dxa"/>
            <w:tcBorders>
              <w:tl2br w:val="nil"/>
              <w:tr2bl w:val="nil"/>
            </w:tcBorders>
            <w:noWrap w:val="0"/>
            <w:vAlign w:val="center"/>
          </w:tcPr>
          <w:p w14:paraId="7E81BE3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距离/m</w:t>
            </w:r>
          </w:p>
        </w:tc>
        <w:tc>
          <w:tcPr>
            <w:tcW w:w="1140" w:type="dxa"/>
            <w:tcBorders>
              <w:tl2br w:val="nil"/>
              <w:tr2bl w:val="nil"/>
            </w:tcBorders>
            <w:noWrap w:val="0"/>
            <w:vAlign w:val="center"/>
          </w:tcPr>
          <w:p w14:paraId="569E073B">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属性</w:t>
            </w:r>
          </w:p>
        </w:tc>
        <w:tc>
          <w:tcPr>
            <w:tcW w:w="1615" w:type="dxa"/>
            <w:tcBorders>
              <w:tl2br w:val="nil"/>
              <w:tr2bl w:val="nil"/>
            </w:tcBorders>
            <w:noWrap w:val="0"/>
            <w:vAlign w:val="center"/>
          </w:tcPr>
          <w:p w14:paraId="2E515DFE">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人口数</w:t>
            </w:r>
          </w:p>
        </w:tc>
      </w:tr>
      <w:tr w14:paraId="3A8582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2" w:type="dxa"/>
            <w:vMerge w:val="continue"/>
            <w:tcBorders>
              <w:tl2br w:val="nil"/>
              <w:tr2bl w:val="nil"/>
            </w:tcBorders>
            <w:noWrap w:val="0"/>
            <w:vAlign w:val="center"/>
          </w:tcPr>
          <w:p w14:paraId="58901243">
            <w:pPr>
              <w:jc w:val="center"/>
              <w:rPr>
                <w:rFonts w:hint="default" w:ascii="Times New Roman" w:hAnsi="Times New Roman" w:eastAsia="宋体" w:cs="Times New Roman"/>
                <w:color w:val="auto"/>
                <w:sz w:val="21"/>
                <w:szCs w:val="21"/>
                <w:highlight w:val="none"/>
              </w:rPr>
            </w:pPr>
          </w:p>
        </w:tc>
        <w:tc>
          <w:tcPr>
            <w:tcW w:w="795" w:type="dxa"/>
            <w:tcBorders>
              <w:tl2br w:val="nil"/>
              <w:tr2bl w:val="nil"/>
            </w:tcBorders>
            <w:noWrap w:val="0"/>
            <w:vAlign w:val="center"/>
          </w:tcPr>
          <w:p w14:paraId="186B6435">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025" w:type="dxa"/>
            <w:tcBorders>
              <w:tl2br w:val="nil"/>
              <w:tr2bl w:val="nil"/>
            </w:tcBorders>
            <w:noWrap w:val="0"/>
            <w:vAlign w:val="center"/>
          </w:tcPr>
          <w:p w14:paraId="2B6A3108">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查干淖尔村散户1</w:t>
            </w:r>
          </w:p>
        </w:tc>
        <w:tc>
          <w:tcPr>
            <w:tcW w:w="1108" w:type="dxa"/>
            <w:tcBorders>
              <w:tl2br w:val="nil"/>
              <w:tr2bl w:val="nil"/>
            </w:tcBorders>
            <w:noWrap w:val="0"/>
            <w:vAlign w:val="center"/>
          </w:tcPr>
          <w:p w14:paraId="20BFFB1F">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E</w:t>
            </w:r>
          </w:p>
        </w:tc>
        <w:tc>
          <w:tcPr>
            <w:tcW w:w="1260" w:type="dxa"/>
            <w:tcBorders>
              <w:tl2br w:val="nil"/>
              <w:tr2bl w:val="nil"/>
            </w:tcBorders>
            <w:noWrap w:val="0"/>
            <w:vAlign w:val="center"/>
          </w:tcPr>
          <w:p w14:paraId="04C70281">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SA"/>
              </w:rPr>
              <w:t>138</w:t>
            </w:r>
          </w:p>
        </w:tc>
        <w:tc>
          <w:tcPr>
            <w:tcW w:w="1140" w:type="dxa"/>
            <w:tcBorders>
              <w:tl2br w:val="nil"/>
              <w:tr2bl w:val="nil"/>
            </w:tcBorders>
            <w:noWrap w:val="0"/>
            <w:vAlign w:val="center"/>
          </w:tcPr>
          <w:p w14:paraId="57EEA326">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住户</w:t>
            </w:r>
          </w:p>
        </w:tc>
        <w:tc>
          <w:tcPr>
            <w:tcW w:w="1615" w:type="dxa"/>
            <w:tcBorders>
              <w:tl2br w:val="nil"/>
              <w:tr2bl w:val="nil"/>
            </w:tcBorders>
            <w:noWrap w:val="0"/>
            <w:vAlign w:val="center"/>
          </w:tcPr>
          <w:p w14:paraId="651AF243">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r>
      <w:tr w14:paraId="0AECF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2" w:type="dxa"/>
            <w:vMerge w:val="continue"/>
            <w:tcBorders>
              <w:tl2br w:val="nil"/>
              <w:tr2bl w:val="nil"/>
            </w:tcBorders>
            <w:noWrap w:val="0"/>
            <w:vAlign w:val="center"/>
          </w:tcPr>
          <w:p w14:paraId="104F03EC">
            <w:pPr>
              <w:jc w:val="center"/>
              <w:rPr>
                <w:rFonts w:hint="default" w:ascii="Times New Roman" w:hAnsi="Times New Roman" w:eastAsia="宋体" w:cs="Times New Roman"/>
                <w:color w:val="auto"/>
                <w:sz w:val="21"/>
                <w:szCs w:val="21"/>
                <w:highlight w:val="none"/>
              </w:rPr>
            </w:pPr>
          </w:p>
        </w:tc>
        <w:tc>
          <w:tcPr>
            <w:tcW w:w="795" w:type="dxa"/>
            <w:tcBorders>
              <w:tl2br w:val="nil"/>
              <w:tr2bl w:val="nil"/>
            </w:tcBorders>
            <w:noWrap w:val="0"/>
            <w:vAlign w:val="center"/>
          </w:tcPr>
          <w:p w14:paraId="386B6C9B">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2025" w:type="dxa"/>
            <w:tcBorders>
              <w:tl2br w:val="nil"/>
              <w:tr2bl w:val="nil"/>
            </w:tcBorders>
            <w:noWrap w:val="0"/>
            <w:vAlign w:val="center"/>
          </w:tcPr>
          <w:p w14:paraId="28F08D37">
            <w:pPr>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查干淖尔村散户3</w:t>
            </w:r>
          </w:p>
        </w:tc>
        <w:tc>
          <w:tcPr>
            <w:tcW w:w="1108" w:type="dxa"/>
            <w:tcBorders>
              <w:tl2br w:val="nil"/>
              <w:tr2bl w:val="nil"/>
            </w:tcBorders>
            <w:noWrap w:val="0"/>
            <w:vAlign w:val="center"/>
          </w:tcPr>
          <w:p w14:paraId="697C3FF7">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S</w:t>
            </w:r>
          </w:p>
        </w:tc>
        <w:tc>
          <w:tcPr>
            <w:tcW w:w="1260" w:type="dxa"/>
            <w:tcBorders>
              <w:tl2br w:val="nil"/>
              <w:tr2bl w:val="nil"/>
            </w:tcBorders>
            <w:noWrap w:val="0"/>
            <w:vAlign w:val="center"/>
          </w:tcPr>
          <w:p w14:paraId="4FAEB236">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188</w:t>
            </w:r>
          </w:p>
        </w:tc>
        <w:tc>
          <w:tcPr>
            <w:tcW w:w="1140" w:type="dxa"/>
            <w:tcBorders>
              <w:tl2br w:val="nil"/>
              <w:tr2bl w:val="nil"/>
            </w:tcBorders>
            <w:noWrap w:val="0"/>
            <w:vAlign w:val="center"/>
          </w:tcPr>
          <w:p w14:paraId="11E276C2">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住户</w:t>
            </w:r>
          </w:p>
        </w:tc>
        <w:tc>
          <w:tcPr>
            <w:tcW w:w="1615" w:type="dxa"/>
            <w:tcBorders>
              <w:tl2br w:val="nil"/>
              <w:tr2bl w:val="nil"/>
            </w:tcBorders>
            <w:noWrap w:val="0"/>
            <w:vAlign w:val="center"/>
          </w:tcPr>
          <w:p w14:paraId="38693A41">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r>
      <w:tr w14:paraId="510F99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2" w:type="dxa"/>
            <w:vMerge w:val="continue"/>
            <w:tcBorders>
              <w:tl2br w:val="nil"/>
              <w:tr2bl w:val="nil"/>
            </w:tcBorders>
            <w:noWrap w:val="0"/>
            <w:vAlign w:val="center"/>
          </w:tcPr>
          <w:p w14:paraId="712AFB95">
            <w:pPr>
              <w:jc w:val="center"/>
              <w:rPr>
                <w:rFonts w:hint="default" w:ascii="Times New Roman" w:hAnsi="Times New Roman" w:eastAsia="宋体" w:cs="Times New Roman"/>
                <w:color w:val="auto"/>
                <w:sz w:val="21"/>
                <w:szCs w:val="21"/>
                <w:highlight w:val="none"/>
              </w:rPr>
            </w:pPr>
          </w:p>
        </w:tc>
        <w:tc>
          <w:tcPr>
            <w:tcW w:w="7943" w:type="dxa"/>
            <w:gridSpan w:val="6"/>
            <w:tcBorders>
              <w:tl2br w:val="nil"/>
              <w:tr2bl w:val="nil"/>
            </w:tcBorders>
            <w:noWrap w:val="0"/>
            <w:vAlign w:val="center"/>
          </w:tcPr>
          <w:p w14:paraId="6DE7DA0C">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外部管廊中心线两侧200m范围</w:t>
            </w:r>
          </w:p>
        </w:tc>
      </w:tr>
      <w:tr w14:paraId="6E080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2" w:type="dxa"/>
            <w:vMerge w:val="continue"/>
            <w:tcBorders>
              <w:tl2br w:val="nil"/>
              <w:tr2bl w:val="nil"/>
            </w:tcBorders>
            <w:noWrap w:val="0"/>
            <w:vAlign w:val="center"/>
          </w:tcPr>
          <w:p w14:paraId="5AEAB013">
            <w:pPr>
              <w:jc w:val="center"/>
              <w:rPr>
                <w:rFonts w:hint="default" w:ascii="Times New Roman" w:hAnsi="Times New Roman" w:eastAsia="宋体" w:cs="Times New Roman"/>
                <w:color w:val="auto"/>
                <w:sz w:val="21"/>
                <w:szCs w:val="21"/>
                <w:highlight w:val="none"/>
              </w:rPr>
            </w:pPr>
          </w:p>
        </w:tc>
        <w:tc>
          <w:tcPr>
            <w:tcW w:w="7943" w:type="dxa"/>
            <w:gridSpan w:val="6"/>
            <w:tcBorders>
              <w:tl2br w:val="nil"/>
              <w:tr2bl w:val="nil"/>
            </w:tcBorders>
            <w:noWrap w:val="0"/>
            <w:vAlign w:val="center"/>
          </w:tcPr>
          <w:p w14:paraId="3B898758">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无敏感目标分布</w:t>
            </w:r>
          </w:p>
        </w:tc>
      </w:tr>
      <w:tr w14:paraId="449D80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82" w:type="dxa"/>
            <w:vMerge w:val="continue"/>
            <w:tcBorders>
              <w:tl2br w:val="nil"/>
              <w:tr2bl w:val="nil"/>
            </w:tcBorders>
            <w:noWrap w:val="0"/>
            <w:vAlign w:val="center"/>
          </w:tcPr>
          <w:p w14:paraId="65F18431">
            <w:pPr>
              <w:jc w:val="center"/>
              <w:rPr>
                <w:rFonts w:hint="default" w:ascii="Times New Roman" w:hAnsi="Times New Roman" w:eastAsia="宋体" w:cs="Times New Roman"/>
                <w:color w:val="auto"/>
                <w:sz w:val="21"/>
                <w:szCs w:val="21"/>
                <w:highlight w:val="none"/>
              </w:rPr>
            </w:pPr>
          </w:p>
        </w:tc>
        <w:tc>
          <w:tcPr>
            <w:tcW w:w="7943" w:type="dxa"/>
            <w:gridSpan w:val="6"/>
            <w:tcBorders>
              <w:tl2br w:val="nil"/>
              <w:tr2bl w:val="nil"/>
            </w:tcBorders>
            <w:noWrap w:val="0"/>
            <w:vAlign w:val="center"/>
          </w:tcPr>
          <w:p w14:paraId="24163218">
            <w:pPr>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大气敏感程度E：E3</w:t>
            </w:r>
          </w:p>
        </w:tc>
      </w:tr>
    </w:tbl>
    <w:p w14:paraId="608D0342">
      <w:pPr>
        <w:pStyle w:val="2"/>
        <w:bidi w:val="0"/>
        <w:rPr>
          <w:rFonts w:hint="eastAsia" w:ascii="宋体" w:hAnsi="宋体" w:eastAsia="宋体" w:cs="宋体"/>
          <w:b/>
          <w:bCs/>
          <w:color w:val="auto"/>
          <w:sz w:val="32"/>
          <w:szCs w:val="32"/>
          <w:highlight w:val="none"/>
          <w:lang w:val="en-US" w:eastAsia="zh-CN"/>
        </w:rPr>
      </w:pPr>
      <w:bookmarkStart w:id="24" w:name="_Toc29763"/>
      <w:r>
        <w:rPr>
          <w:rFonts w:hint="eastAsia" w:ascii="宋体" w:hAnsi="宋体" w:eastAsia="宋体" w:cs="宋体"/>
          <w:b/>
          <w:bCs/>
          <w:color w:val="auto"/>
          <w:sz w:val="32"/>
          <w:szCs w:val="32"/>
          <w:highlight w:val="none"/>
          <w:lang w:val="en-US" w:eastAsia="zh-CN"/>
        </w:rPr>
        <w:t>4.风险识别</w:t>
      </w:r>
      <w:bookmarkEnd w:id="24"/>
    </w:p>
    <w:p w14:paraId="062A9DD7">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0"/>
          <w:szCs w:val="30"/>
          <w:highlight w:val="none"/>
          <w:lang w:val="en-US" w:eastAsia="zh-CN"/>
        </w:rPr>
      </w:pPr>
      <w:bookmarkStart w:id="25" w:name="_Toc27928"/>
      <w:r>
        <w:rPr>
          <w:rFonts w:hint="eastAsia" w:ascii="宋体" w:hAnsi="宋体" w:eastAsia="宋体" w:cs="宋体"/>
          <w:b/>
          <w:bCs/>
          <w:color w:val="auto"/>
          <w:sz w:val="30"/>
          <w:szCs w:val="30"/>
          <w:highlight w:val="none"/>
          <w:lang w:val="en-US" w:eastAsia="zh-CN"/>
        </w:rPr>
        <w:t>4.1风险物质识别</w:t>
      </w:r>
      <w:bookmarkEnd w:id="25"/>
    </w:p>
    <w:p w14:paraId="5B51E75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根据《建设项目环境风险评价技术导则》（HJ169-2018）附录B，本工程风险识别内容包含物质危险性识别、生产系统危险性识别和危险物质向环境转移的途径识别。 </w:t>
      </w:r>
    </w:p>
    <w:p w14:paraId="75840CA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本工程涉及的危险物质主要为</w:t>
      </w:r>
      <w:r>
        <w:rPr>
          <w:rFonts w:hint="eastAsia" w:ascii="Times New Roman" w:hAnsi="Times New Roman" w:eastAsia="宋体" w:cs="Times New Roman"/>
          <w:color w:val="auto"/>
          <w:kern w:val="0"/>
          <w:sz w:val="24"/>
          <w:szCs w:val="24"/>
          <w:highlight w:val="none"/>
          <w:lang w:val="en-US" w:eastAsia="zh-CN" w:bidi="ar"/>
        </w:rPr>
        <w:t>氢气、富一氧化碳气（主要成分CO）、</w:t>
      </w:r>
      <w:r>
        <w:rPr>
          <w:rFonts w:hint="default" w:ascii="Times New Roman" w:hAnsi="Times New Roman" w:eastAsia="宋体" w:cs="Times New Roman"/>
          <w:color w:val="auto"/>
          <w:kern w:val="0"/>
          <w:sz w:val="24"/>
          <w:szCs w:val="24"/>
          <w:highlight w:val="none"/>
          <w:lang w:val="en-US" w:eastAsia="zh-CN" w:bidi="ar"/>
        </w:rPr>
        <w:t>天然气（主要成分为甲烷）</w:t>
      </w:r>
      <w:r>
        <w:rPr>
          <w:rFonts w:hint="eastAsia" w:ascii="Times New Roman" w:hAnsi="Times New Roman" w:eastAsia="宋体" w:cs="Times New Roman"/>
          <w:color w:val="auto"/>
          <w:kern w:val="0"/>
          <w:sz w:val="24"/>
          <w:szCs w:val="24"/>
          <w:highlight w:val="none"/>
          <w:lang w:val="en-US" w:eastAsia="zh-CN" w:bidi="ar"/>
        </w:rPr>
        <w:t>、危险废物</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氢气、</w:t>
      </w:r>
      <w:r>
        <w:rPr>
          <w:rFonts w:hint="default" w:ascii="Times New Roman" w:hAnsi="Times New Roman" w:eastAsia="宋体" w:cs="Times New Roman"/>
          <w:color w:val="auto"/>
          <w:kern w:val="0"/>
          <w:sz w:val="24"/>
          <w:szCs w:val="24"/>
          <w:highlight w:val="none"/>
          <w:lang w:val="en-US" w:eastAsia="zh-CN" w:bidi="ar"/>
        </w:rPr>
        <w:t>天然气属易燃易爆物质，</w:t>
      </w:r>
      <w:r>
        <w:rPr>
          <w:rFonts w:hint="eastAsia" w:ascii="Times New Roman" w:hAnsi="Times New Roman" w:eastAsia="宋体" w:cs="Times New Roman"/>
          <w:color w:val="auto"/>
          <w:kern w:val="0"/>
          <w:sz w:val="24"/>
          <w:szCs w:val="24"/>
          <w:highlight w:val="none"/>
          <w:lang w:val="en-US" w:eastAsia="zh-CN" w:bidi="ar"/>
        </w:rPr>
        <w:t>富一氧化碳气属于有毒物质；煤化工中试项目产生的</w:t>
      </w:r>
      <w:r>
        <w:rPr>
          <w:rFonts w:hint="default" w:ascii="Times New Roman" w:hAnsi="Times New Roman" w:eastAsia="宋体" w:cs="Times New Roman"/>
          <w:b w:val="0"/>
          <w:bCs w:val="0"/>
          <w:color w:val="auto"/>
          <w:sz w:val="24"/>
          <w:szCs w:val="24"/>
          <w:highlight w:val="none"/>
          <w:lang w:val="en-US" w:eastAsia="zh-CN"/>
        </w:rPr>
        <w:t>危险废物</w:t>
      </w:r>
      <w:r>
        <w:rPr>
          <w:rFonts w:hint="eastAsia"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bidi="ar"/>
        </w:rPr>
        <w:t>属于有毒物质</w:t>
      </w:r>
      <w:r>
        <w:rPr>
          <w:rFonts w:hint="eastAsia" w:ascii="Times New Roman" w:hAnsi="Times New Roman" w:eastAsia="宋体" w:cs="Times New Roman"/>
          <w:b w:val="0"/>
          <w:bCs w:val="0"/>
          <w:color w:val="auto"/>
          <w:sz w:val="24"/>
          <w:szCs w:val="24"/>
          <w:highlight w:val="none"/>
          <w:lang w:val="en-US" w:eastAsia="zh-CN"/>
        </w:rPr>
        <w:t>）。</w:t>
      </w:r>
    </w:p>
    <w:p w14:paraId="74F454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各危险物质来源与成分构成如下：</w:t>
      </w:r>
    </w:p>
    <w:p w14:paraId="6CDB7E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氢气：来自</w:t>
      </w:r>
      <w:r>
        <w:rPr>
          <w:rFonts w:hint="eastAsia" w:ascii="Times New Roman" w:hAnsi="Times New Roman" w:cs="Times New Roman"/>
          <w:color w:val="auto"/>
          <w:sz w:val="24"/>
          <w:szCs w:val="24"/>
          <w:highlight w:val="none"/>
          <w:u w:val="none"/>
          <w:lang w:val="en-US" w:eastAsia="zh-CN"/>
        </w:rPr>
        <w:t>中煤鄂尔多斯能源化工有限公司</w:t>
      </w:r>
      <w:r>
        <w:rPr>
          <w:rFonts w:hint="default" w:ascii="Times New Roman" w:hAnsi="Times New Roman" w:eastAsia="宋体" w:cs="Times New Roman"/>
          <w:color w:val="auto"/>
          <w:kern w:val="0"/>
          <w:sz w:val="24"/>
          <w:szCs w:val="24"/>
          <w:highlight w:val="none"/>
          <w:lang w:val="en-US" w:eastAsia="zh-CN" w:bidi="ar"/>
        </w:rPr>
        <w:t>三期PSA管线。主要成分构成为H₂:99.5%、Ar:0.002%、N₂:0.383%、CO:0.005%、CO₂:0.005%、CH₄:0.1%、H₂O:0.005%。</w:t>
      </w:r>
    </w:p>
    <w:p w14:paraId="285B2A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富一氧化碳气：来自</w:t>
      </w:r>
      <w:r>
        <w:rPr>
          <w:rFonts w:hint="eastAsia" w:ascii="Times New Roman" w:hAnsi="Times New Roman" w:cs="Times New Roman"/>
          <w:color w:val="auto"/>
          <w:szCs w:val="21"/>
          <w:highlight w:val="none"/>
          <w:u w:val="none"/>
          <w:lang w:val="en-US" w:eastAsia="zh-CN"/>
        </w:rPr>
        <w:t>中煤鄂尔多斯能源化工有限公司</w:t>
      </w:r>
      <w:r>
        <w:rPr>
          <w:rFonts w:hint="default" w:ascii="Times New Roman" w:hAnsi="Times New Roman" w:eastAsia="宋体" w:cs="Times New Roman"/>
          <w:color w:val="auto"/>
          <w:kern w:val="0"/>
          <w:sz w:val="24"/>
          <w:szCs w:val="24"/>
          <w:highlight w:val="none"/>
          <w:lang w:val="en-US" w:eastAsia="zh-CN" w:bidi="ar"/>
        </w:rPr>
        <w:t>二期甲醇合成装置甲烷深冷工序CO气压缩机出口。主要成分包括CH₄:2.43%、H₂:6.93%、CO:85.03%、N₂:5.60%。</w:t>
      </w:r>
    </w:p>
    <w:p w14:paraId="63BD8B1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天然气：来自厂界外市政天然气管线，主要成分为甲烷。</w:t>
      </w:r>
    </w:p>
    <w:p w14:paraId="3B7E70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bidi="ar"/>
        </w:rPr>
        <w:t>危险废物：厂区内设置的危废库主要用于贮存后续入驻的中试项目所产生的危险废物。考虑到中试项目以煤化工相关工艺为主，其实际运行过程中可能产生的危险废物种类及数量，将根据未来具体入驻项目的工艺路线、原料特性及实际运行情况确定。因此，危废库的设计将兼顾煤化工中试过程的潜在产废特点，其贮存对象以届时实际产生的危险废物为准。</w:t>
      </w:r>
      <w:r>
        <w:rPr>
          <w:rFonts w:hint="default" w:ascii="Times New Roman" w:hAnsi="Times New Roman" w:eastAsia="宋体" w:cs="Times New Roman"/>
          <w:b w:val="0"/>
          <w:bCs w:val="0"/>
          <w:color w:val="auto"/>
          <w:sz w:val="24"/>
          <w:szCs w:val="24"/>
          <w:highlight w:val="none"/>
          <w:lang w:val="en-US" w:eastAsia="zh-CN"/>
        </w:rPr>
        <w:t>库房最大存储量</w:t>
      </w:r>
      <w:r>
        <w:rPr>
          <w:rFonts w:hint="eastAsia" w:ascii="Times New Roman" w:hAnsi="Times New Roman" w:eastAsia="宋体" w:cs="Times New Roman"/>
          <w:b w:val="0"/>
          <w:bCs w:val="0"/>
          <w:color w:val="auto"/>
          <w:sz w:val="24"/>
          <w:szCs w:val="24"/>
          <w:highlight w:val="none"/>
          <w:lang w:val="en-US" w:eastAsia="zh-CN"/>
        </w:rPr>
        <w:t>约为220t，正常情况下远小于最大贮存量，通常危险废物均具有毒性。</w:t>
      </w:r>
    </w:p>
    <w:p w14:paraId="385F02B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危险物质</w:t>
      </w:r>
      <w:r>
        <w:rPr>
          <w:rFonts w:hint="default" w:ascii="Times New Roman" w:hAnsi="Times New Roman" w:eastAsia="宋体" w:cs="Times New Roman"/>
          <w:color w:val="auto"/>
          <w:kern w:val="0"/>
          <w:sz w:val="24"/>
          <w:szCs w:val="24"/>
          <w:highlight w:val="none"/>
          <w:lang w:val="en-US" w:eastAsia="zh-CN" w:bidi="ar"/>
        </w:rPr>
        <w:t>理化性质及危险特性见表4-1。</w:t>
      </w:r>
    </w:p>
    <w:p w14:paraId="71E52C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sz w:val="24"/>
          <w:highlight w:val="none"/>
        </w:rPr>
      </w:pPr>
    </w:p>
    <w:p w14:paraId="50062B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sz w:val="24"/>
          <w:highlight w:val="none"/>
        </w:rPr>
      </w:pPr>
    </w:p>
    <w:p w14:paraId="4CFBCC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sz w:val="24"/>
          <w:highlight w:val="none"/>
        </w:rPr>
      </w:pPr>
    </w:p>
    <w:p w14:paraId="766AFE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sz w:val="24"/>
          <w:highlight w:val="none"/>
        </w:rPr>
      </w:pPr>
    </w:p>
    <w:p w14:paraId="4AB51C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sz w:val="24"/>
          <w:highlight w:val="none"/>
        </w:rPr>
      </w:pPr>
    </w:p>
    <w:p w14:paraId="16E501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sz w:val="24"/>
          <w:highlight w:val="none"/>
        </w:rPr>
      </w:pPr>
    </w:p>
    <w:p w14:paraId="746D14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color w:val="auto"/>
          <w:sz w:val="24"/>
          <w:highlight w:val="none"/>
        </w:rPr>
      </w:pPr>
    </w:p>
    <w:p w14:paraId="64925A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表</w:t>
      </w:r>
      <w:r>
        <w:rPr>
          <w:rFonts w:hint="eastAsia" w:ascii="Times New Roman" w:hAnsi="Times New Roman" w:eastAsia="宋体" w:cs="Times New Roman"/>
          <w:b/>
          <w:color w:val="auto"/>
          <w:sz w:val="24"/>
          <w:highlight w:val="none"/>
          <w:lang w:val="en-US" w:eastAsia="zh-CN"/>
        </w:rPr>
        <w:t xml:space="preserve">4-1    </w:t>
      </w:r>
      <w:r>
        <w:rPr>
          <w:rFonts w:hint="eastAsia" w:ascii="Times New Roman" w:hAnsi="Times New Roman" w:eastAsia="宋体" w:cs="Times New Roman"/>
          <w:b/>
          <w:color w:val="auto"/>
          <w:sz w:val="24"/>
          <w:highlight w:val="none"/>
        </w:rPr>
        <w:t>物质的危险特征一览表</w:t>
      </w:r>
    </w:p>
    <w:tbl>
      <w:tblPr>
        <w:tblStyle w:val="2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628"/>
        <w:gridCol w:w="630"/>
        <w:gridCol w:w="795"/>
        <w:gridCol w:w="990"/>
        <w:gridCol w:w="1202"/>
        <w:gridCol w:w="1590"/>
        <w:gridCol w:w="1138"/>
        <w:gridCol w:w="900"/>
      </w:tblGrid>
      <w:tr w14:paraId="6AE562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7" w:type="dxa"/>
            <w:vMerge w:val="restart"/>
            <w:tcBorders>
              <w:tl2br w:val="nil"/>
              <w:tr2bl w:val="nil"/>
            </w:tcBorders>
            <w:noWrap w:val="0"/>
            <w:vAlign w:val="center"/>
          </w:tcPr>
          <w:p w14:paraId="6F80B8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物质名称</w:t>
            </w:r>
          </w:p>
        </w:tc>
        <w:tc>
          <w:tcPr>
            <w:tcW w:w="7873" w:type="dxa"/>
            <w:gridSpan w:val="8"/>
            <w:tcBorders>
              <w:tl2br w:val="nil"/>
              <w:tr2bl w:val="nil"/>
            </w:tcBorders>
            <w:noWrap w:val="0"/>
            <w:vAlign w:val="center"/>
          </w:tcPr>
          <w:p w14:paraId="000CB4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危险性</w:t>
            </w:r>
          </w:p>
        </w:tc>
      </w:tr>
      <w:tr w14:paraId="05F4A3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187" w:type="dxa"/>
            <w:vMerge w:val="continue"/>
            <w:tcBorders>
              <w:tl2br w:val="nil"/>
              <w:tr2bl w:val="nil"/>
            </w:tcBorders>
            <w:noWrap w:val="0"/>
            <w:vAlign w:val="center"/>
          </w:tcPr>
          <w:p w14:paraId="05EDB3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p>
        </w:tc>
        <w:tc>
          <w:tcPr>
            <w:tcW w:w="628" w:type="dxa"/>
            <w:tcBorders>
              <w:tl2br w:val="nil"/>
              <w:tr2bl w:val="nil"/>
            </w:tcBorders>
            <w:noWrap w:val="0"/>
            <w:vAlign w:val="center"/>
          </w:tcPr>
          <w:p w14:paraId="3B676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相态</w:t>
            </w:r>
          </w:p>
        </w:tc>
        <w:tc>
          <w:tcPr>
            <w:tcW w:w="630" w:type="dxa"/>
            <w:tcBorders>
              <w:tl2br w:val="nil"/>
              <w:tr2bl w:val="nil"/>
            </w:tcBorders>
            <w:noWrap w:val="0"/>
            <w:vAlign w:val="center"/>
          </w:tcPr>
          <w:p w14:paraId="578FC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闪点℃</w:t>
            </w:r>
          </w:p>
        </w:tc>
        <w:tc>
          <w:tcPr>
            <w:tcW w:w="795" w:type="dxa"/>
            <w:tcBorders>
              <w:tl2br w:val="nil"/>
              <w:tr2bl w:val="nil"/>
            </w:tcBorders>
            <w:noWrap w:val="0"/>
            <w:vAlign w:val="center"/>
          </w:tcPr>
          <w:p w14:paraId="460153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沸点℃</w:t>
            </w:r>
          </w:p>
        </w:tc>
        <w:tc>
          <w:tcPr>
            <w:tcW w:w="990" w:type="dxa"/>
            <w:tcBorders>
              <w:tl2br w:val="nil"/>
              <w:tr2bl w:val="nil"/>
            </w:tcBorders>
            <w:noWrap w:val="0"/>
            <w:vAlign w:val="center"/>
          </w:tcPr>
          <w:p w14:paraId="34773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自然点℃</w:t>
            </w:r>
          </w:p>
        </w:tc>
        <w:tc>
          <w:tcPr>
            <w:tcW w:w="1202" w:type="dxa"/>
            <w:tcBorders>
              <w:tl2br w:val="nil"/>
              <w:tr2bl w:val="nil"/>
            </w:tcBorders>
            <w:noWrap w:val="0"/>
            <w:vAlign w:val="center"/>
          </w:tcPr>
          <w:p w14:paraId="61E184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爆炸极限（v）%</w:t>
            </w:r>
          </w:p>
        </w:tc>
        <w:tc>
          <w:tcPr>
            <w:tcW w:w="1590" w:type="dxa"/>
            <w:tcBorders>
              <w:tl2br w:val="nil"/>
              <w:tr2bl w:val="nil"/>
            </w:tcBorders>
            <w:noWrap w:val="0"/>
            <w:vAlign w:val="center"/>
          </w:tcPr>
          <w:p w14:paraId="53111BBC">
            <w:pPr>
              <w:widowControl w:val="0"/>
              <w:snapToGrid/>
              <w:spacing w:before="0" w:after="120" w:line="240" w:lineRule="auto"/>
              <w:ind w:left="0" w:leftChars="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vertAlign w:val="baseline"/>
                <w:lang w:val="en-US" w:eastAsia="zh-CN" w:bidi="ar-SA"/>
              </w:rPr>
              <w:t>急性毒性</w:t>
            </w:r>
          </w:p>
        </w:tc>
        <w:tc>
          <w:tcPr>
            <w:tcW w:w="1138" w:type="dxa"/>
            <w:tcBorders>
              <w:tl2br w:val="nil"/>
              <w:tr2bl w:val="nil"/>
            </w:tcBorders>
            <w:noWrap w:val="0"/>
            <w:vAlign w:val="center"/>
          </w:tcPr>
          <w:p w14:paraId="163A05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危险性</w:t>
            </w:r>
          </w:p>
          <w:p w14:paraId="3C6C2D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类别</w:t>
            </w:r>
          </w:p>
        </w:tc>
        <w:tc>
          <w:tcPr>
            <w:tcW w:w="900" w:type="dxa"/>
            <w:tcBorders>
              <w:tl2br w:val="nil"/>
              <w:tr2bl w:val="nil"/>
            </w:tcBorders>
            <w:noWrap w:val="0"/>
            <w:vAlign w:val="center"/>
          </w:tcPr>
          <w:p w14:paraId="50952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火灾危险性分类</w:t>
            </w:r>
          </w:p>
        </w:tc>
      </w:tr>
      <w:tr w14:paraId="005A2A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7" w:type="dxa"/>
            <w:tcBorders>
              <w:tl2br w:val="nil"/>
              <w:tr2bl w:val="nil"/>
            </w:tcBorders>
            <w:noWrap w:val="0"/>
            <w:vAlign w:val="center"/>
          </w:tcPr>
          <w:p w14:paraId="711B4D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氢气</w:t>
            </w:r>
          </w:p>
        </w:tc>
        <w:tc>
          <w:tcPr>
            <w:tcW w:w="628" w:type="dxa"/>
            <w:tcBorders>
              <w:tl2br w:val="nil"/>
              <w:tr2bl w:val="nil"/>
            </w:tcBorders>
            <w:noWrap w:val="0"/>
            <w:vAlign w:val="center"/>
          </w:tcPr>
          <w:p w14:paraId="774B72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气</w:t>
            </w:r>
          </w:p>
        </w:tc>
        <w:tc>
          <w:tcPr>
            <w:tcW w:w="630" w:type="dxa"/>
            <w:tcBorders>
              <w:tl2br w:val="nil"/>
              <w:tr2bl w:val="nil"/>
            </w:tcBorders>
            <w:noWrap w:val="0"/>
            <w:vAlign w:val="center"/>
          </w:tcPr>
          <w:p w14:paraId="329A13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795" w:type="dxa"/>
            <w:tcBorders>
              <w:tl2br w:val="nil"/>
              <w:tr2bl w:val="nil"/>
            </w:tcBorders>
            <w:noWrap w:val="0"/>
            <w:vAlign w:val="center"/>
          </w:tcPr>
          <w:p w14:paraId="4C90E8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-253</w:t>
            </w:r>
          </w:p>
        </w:tc>
        <w:tc>
          <w:tcPr>
            <w:tcW w:w="990" w:type="dxa"/>
            <w:tcBorders>
              <w:tl2br w:val="nil"/>
              <w:tr2bl w:val="nil"/>
            </w:tcBorders>
            <w:noWrap w:val="0"/>
            <w:vAlign w:val="center"/>
          </w:tcPr>
          <w:p w14:paraId="2C4C72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500-574</w:t>
            </w:r>
          </w:p>
        </w:tc>
        <w:tc>
          <w:tcPr>
            <w:tcW w:w="1202" w:type="dxa"/>
            <w:tcBorders>
              <w:tl2br w:val="nil"/>
              <w:tr2bl w:val="nil"/>
            </w:tcBorders>
            <w:noWrap w:val="0"/>
            <w:vAlign w:val="center"/>
          </w:tcPr>
          <w:p w14:paraId="1F539BD3">
            <w:pPr>
              <w:keepNext w:val="0"/>
              <w:keepLines w:val="0"/>
              <w:widowControl/>
              <w:suppressLineNumbers w:val="0"/>
              <w:jc w:val="center"/>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color w:val="auto"/>
                <w:kern w:val="0"/>
                <w:sz w:val="21"/>
                <w:szCs w:val="21"/>
                <w:highlight w:val="none"/>
                <w:lang w:val="en-US" w:eastAsia="zh-CN" w:bidi="ar"/>
              </w:rPr>
              <w:t>4%～75</w:t>
            </w:r>
          </w:p>
        </w:tc>
        <w:tc>
          <w:tcPr>
            <w:tcW w:w="1590" w:type="dxa"/>
            <w:tcBorders>
              <w:tl2br w:val="nil"/>
              <w:tr2bl w:val="nil"/>
            </w:tcBorders>
            <w:noWrap w:val="0"/>
            <w:vAlign w:val="center"/>
          </w:tcPr>
          <w:p w14:paraId="61AF51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无毒</w:t>
            </w:r>
          </w:p>
        </w:tc>
        <w:tc>
          <w:tcPr>
            <w:tcW w:w="1138" w:type="dxa"/>
            <w:tcBorders>
              <w:tl2br w:val="nil"/>
              <w:tr2bl w:val="nil"/>
            </w:tcBorders>
            <w:noWrap w:val="0"/>
            <w:vAlign w:val="center"/>
          </w:tcPr>
          <w:p w14:paraId="33AE9D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易燃气体</w:t>
            </w:r>
          </w:p>
        </w:tc>
        <w:tc>
          <w:tcPr>
            <w:tcW w:w="900" w:type="dxa"/>
            <w:tcBorders>
              <w:tl2br w:val="nil"/>
              <w:tr2bl w:val="nil"/>
            </w:tcBorders>
            <w:noWrap w:val="0"/>
            <w:vAlign w:val="center"/>
          </w:tcPr>
          <w:p w14:paraId="4AEB8B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甲类</w:t>
            </w:r>
          </w:p>
        </w:tc>
      </w:tr>
      <w:tr w14:paraId="05AC05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7" w:type="dxa"/>
            <w:tcBorders>
              <w:tl2br w:val="nil"/>
              <w:tr2bl w:val="nil"/>
            </w:tcBorders>
            <w:noWrap w:val="0"/>
            <w:vAlign w:val="center"/>
          </w:tcPr>
          <w:p w14:paraId="0E73FF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富一氧化碳气（</w:t>
            </w:r>
            <w:r>
              <w:rPr>
                <w:rFonts w:hint="default" w:ascii="Times New Roman" w:hAnsi="Times New Roman" w:eastAsia="宋体" w:cs="Times New Roman"/>
                <w:b w:val="0"/>
                <w:bCs/>
                <w:color w:val="auto"/>
                <w:sz w:val="21"/>
                <w:szCs w:val="21"/>
                <w:highlight w:val="none"/>
                <w:vertAlign w:val="baseline"/>
                <w:lang w:val="en-US" w:eastAsia="zh-CN"/>
              </w:rPr>
              <w:t>CO</w:t>
            </w:r>
            <w:r>
              <w:rPr>
                <w:rFonts w:hint="eastAsia" w:ascii="Times New Roman" w:hAnsi="Times New Roman" w:eastAsia="宋体" w:cs="Times New Roman"/>
                <w:b w:val="0"/>
                <w:bCs/>
                <w:color w:val="auto"/>
                <w:sz w:val="21"/>
                <w:szCs w:val="21"/>
                <w:highlight w:val="none"/>
                <w:vertAlign w:val="baseline"/>
                <w:lang w:val="en-US" w:eastAsia="zh-CN"/>
              </w:rPr>
              <w:t>）</w:t>
            </w:r>
          </w:p>
        </w:tc>
        <w:tc>
          <w:tcPr>
            <w:tcW w:w="628" w:type="dxa"/>
            <w:tcBorders>
              <w:tl2br w:val="nil"/>
              <w:tr2bl w:val="nil"/>
            </w:tcBorders>
            <w:noWrap w:val="0"/>
            <w:vAlign w:val="center"/>
          </w:tcPr>
          <w:p w14:paraId="54C8B5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气</w:t>
            </w:r>
          </w:p>
        </w:tc>
        <w:tc>
          <w:tcPr>
            <w:tcW w:w="630" w:type="dxa"/>
            <w:tcBorders>
              <w:tl2br w:val="nil"/>
              <w:tr2bl w:val="nil"/>
            </w:tcBorders>
            <w:noWrap w:val="0"/>
            <w:vAlign w:val="center"/>
          </w:tcPr>
          <w:p w14:paraId="3FBD77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color w:val="auto"/>
                <w:kern w:val="0"/>
                <w:sz w:val="21"/>
                <w:szCs w:val="21"/>
                <w:highlight w:val="none"/>
              </w:rPr>
              <w:t>&lt;-50</w:t>
            </w:r>
          </w:p>
        </w:tc>
        <w:tc>
          <w:tcPr>
            <w:tcW w:w="795" w:type="dxa"/>
            <w:tcBorders>
              <w:tl2br w:val="nil"/>
              <w:tr2bl w:val="nil"/>
            </w:tcBorders>
            <w:noWrap w:val="0"/>
            <w:vAlign w:val="center"/>
          </w:tcPr>
          <w:p w14:paraId="705415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color w:val="auto"/>
                <w:kern w:val="0"/>
                <w:sz w:val="21"/>
                <w:szCs w:val="21"/>
                <w:highlight w:val="none"/>
                <w:lang w:eastAsia="en-US"/>
              </w:rPr>
              <w:t>-191.4</w:t>
            </w:r>
          </w:p>
        </w:tc>
        <w:tc>
          <w:tcPr>
            <w:tcW w:w="990" w:type="dxa"/>
            <w:tcBorders>
              <w:tl2br w:val="nil"/>
              <w:tr2bl w:val="nil"/>
            </w:tcBorders>
            <w:noWrap w:val="0"/>
            <w:vAlign w:val="center"/>
          </w:tcPr>
          <w:p w14:paraId="416B5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600-610</w:t>
            </w:r>
          </w:p>
        </w:tc>
        <w:tc>
          <w:tcPr>
            <w:tcW w:w="1202" w:type="dxa"/>
            <w:tcBorders>
              <w:tl2br w:val="nil"/>
              <w:tr2bl w:val="nil"/>
            </w:tcBorders>
            <w:noWrap w:val="0"/>
            <w:vAlign w:val="center"/>
          </w:tcPr>
          <w:p w14:paraId="3887995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color w:val="auto"/>
                <w:kern w:val="0"/>
                <w:sz w:val="21"/>
                <w:szCs w:val="21"/>
                <w:highlight w:val="none"/>
                <w:lang w:val="en-US" w:eastAsia="zh-CN" w:bidi="ar"/>
              </w:rPr>
              <w:t>12.5～74.2</w:t>
            </w:r>
          </w:p>
        </w:tc>
        <w:tc>
          <w:tcPr>
            <w:tcW w:w="1590" w:type="dxa"/>
            <w:tcBorders>
              <w:tl2br w:val="nil"/>
              <w:tr2bl w:val="nil"/>
            </w:tcBorders>
            <w:noWrap w:val="0"/>
            <w:vAlign w:val="center"/>
          </w:tcPr>
          <w:p w14:paraId="7792FED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color w:val="auto"/>
                <w:sz w:val="21"/>
                <w:szCs w:val="21"/>
                <w:highlight w:val="none"/>
                <w:vertAlign w:val="baseline"/>
                <w:lang w:val="en-US"/>
              </w:rPr>
            </w:pPr>
            <w:r>
              <w:rPr>
                <w:rFonts w:hint="default" w:ascii="Times New Roman" w:hAnsi="Times New Roman" w:eastAsia="宋体" w:cs="Times New Roman"/>
                <w:color w:val="auto"/>
                <w:kern w:val="0"/>
                <w:sz w:val="21"/>
                <w:szCs w:val="21"/>
                <w:highlight w:val="none"/>
                <w:lang w:val="en-US" w:eastAsia="zh-CN" w:bidi="ar"/>
              </w:rPr>
              <w:t>LC₅₀（3125–6250 mg/m³）</w:t>
            </w:r>
            <w:r>
              <w:rPr>
                <w:rFonts w:hint="eastAsia" w:ascii="Times New Roman" w:hAnsi="Times New Roman" w:eastAsia="宋体" w:cs="Times New Roman"/>
                <w:color w:val="auto"/>
                <w:kern w:val="0"/>
                <w:sz w:val="21"/>
                <w:szCs w:val="21"/>
                <w:highlight w:val="none"/>
                <w:lang w:val="en-US" w:eastAsia="zh-CN" w:bidi="ar"/>
              </w:rPr>
              <w:t>，类别3</w:t>
            </w:r>
          </w:p>
        </w:tc>
        <w:tc>
          <w:tcPr>
            <w:tcW w:w="1138" w:type="dxa"/>
            <w:tcBorders>
              <w:tl2br w:val="nil"/>
              <w:tr2bl w:val="nil"/>
            </w:tcBorders>
            <w:noWrap w:val="0"/>
            <w:vAlign w:val="center"/>
          </w:tcPr>
          <w:p w14:paraId="143BE8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易燃气体</w:t>
            </w:r>
          </w:p>
        </w:tc>
        <w:tc>
          <w:tcPr>
            <w:tcW w:w="900" w:type="dxa"/>
            <w:tcBorders>
              <w:tl2br w:val="nil"/>
              <w:tr2bl w:val="nil"/>
            </w:tcBorders>
            <w:noWrap w:val="0"/>
            <w:vAlign w:val="center"/>
          </w:tcPr>
          <w:p w14:paraId="29149C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甲类</w:t>
            </w:r>
          </w:p>
        </w:tc>
      </w:tr>
      <w:tr w14:paraId="27BD6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7" w:type="dxa"/>
            <w:tcBorders>
              <w:tl2br w:val="nil"/>
              <w:tr2bl w:val="nil"/>
            </w:tcBorders>
            <w:noWrap w:val="0"/>
            <w:vAlign w:val="center"/>
          </w:tcPr>
          <w:p w14:paraId="454D6B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天然气</w:t>
            </w:r>
          </w:p>
        </w:tc>
        <w:tc>
          <w:tcPr>
            <w:tcW w:w="628" w:type="dxa"/>
            <w:tcBorders>
              <w:tl2br w:val="nil"/>
              <w:tr2bl w:val="nil"/>
            </w:tcBorders>
            <w:noWrap w:val="0"/>
            <w:vAlign w:val="center"/>
          </w:tcPr>
          <w:p w14:paraId="7A6895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气</w:t>
            </w:r>
          </w:p>
        </w:tc>
        <w:tc>
          <w:tcPr>
            <w:tcW w:w="630" w:type="dxa"/>
            <w:tcBorders>
              <w:tl2br w:val="nil"/>
              <w:tr2bl w:val="nil"/>
            </w:tcBorders>
            <w:noWrap w:val="0"/>
            <w:vAlign w:val="center"/>
          </w:tcPr>
          <w:p w14:paraId="41A7B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color w:val="auto"/>
                <w:kern w:val="0"/>
                <w:sz w:val="21"/>
                <w:szCs w:val="21"/>
                <w:highlight w:val="none"/>
                <w:lang w:eastAsia="en-US"/>
              </w:rPr>
              <w:t>-188</w:t>
            </w:r>
          </w:p>
        </w:tc>
        <w:tc>
          <w:tcPr>
            <w:tcW w:w="795" w:type="dxa"/>
            <w:tcBorders>
              <w:tl2br w:val="nil"/>
              <w:tr2bl w:val="nil"/>
            </w:tcBorders>
            <w:noWrap w:val="0"/>
            <w:vAlign w:val="center"/>
          </w:tcPr>
          <w:p w14:paraId="6869EA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color w:val="auto"/>
                <w:kern w:val="0"/>
                <w:sz w:val="21"/>
                <w:szCs w:val="21"/>
                <w:highlight w:val="none"/>
                <w:lang w:eastAsia="en-US"/>
              </w:rPr>
              <w:t>-161.5</w:t>
            </w:r>
          </w:p>
        </w:tc>
        <w:tc>
          <w:tcPr>
            <w:tcW w:w="990" w:type="dxa"/>
            <w:tcBorders>
              <w:tl2br w:val="nil"/>
              <w:tr2bl w:val="nil"/>
            </w:tcBorders>
            <w:noWrap w:val="0"/>
            <w:vAlign w:val="center"/>
          </w:tcPr>
          <w:p w14:paraId="764EC8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color w:val="auto"/>
                <w:kern w:val="0"/>
                <w:sz w:val="21"/>
                <w:szCs w:val="21"/>
                <w:highlight w:val="none"/>
                <w:lang w:eastAsia="en-US"/>
              </w:rPr>
              <w:t>538</w:t>
            </w:r>
          </w:p>
        </w:tc>
        <w:tc>
          <w:tcPr>
            <w:tcW w:w="1202" w:type="dxa"/>
            <w:tcBorders>
              <w:tl2br w:val="nil"/>
              <w:tr2bl w:val="nil"/>
            </w:tcBorders>
            <w:noWrap w:val="0"/>
            <w:vAlign w:val="center"/>
          </w:tcPr>
          <w:p w14:paraId="193B0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5.3～15</w:t>
            </w:r>
          </w:p>
        </w:tc>
        <w:tc>
          <w:tcPr>
            <w:tcW w:w="1590" w:type="dxa"/>
            <w:tcBorders>
              <w:tl2br w:val="nil"/>
              <w:tr2bl w:val="nil"/>
            </w:tcBorders>
            <w:noWrap w:val="0"/>
            <w:vAlign w:val="center"/>
          </w:tcPr>
          <w:p w14:paraId="2511CB20">
            <w:pPr>
              <w:keepNext w:val="0"/>
              <w:keepLines w:val="0"/>
              <w:widowControl/>
              <w:suppressLineNumbers w:val="0"/>
              <w:jc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LC₅₀≥200000mg/m³</w:t>
            </w:r>
            <w:r>
              <w:rPr>
                <w:rFonts w:hint="default"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kern w:val="0"/>
                <w:sz w:val="21"/>
                <w:szCs w:val="21"/>
                <w:highlight w:val="none"/>
                <w:lang w:val="en-US" w:eastAsia="zh-CN" w:bidi="ar"/>
              </w:rPr>
              <w:t>类别5</w:t>
            </w:r>
          </w:p>
        </w:tc>
        <w:tc>
          <w:tcPr>
            <w:tcW w:w="1138" w:type="dxa"/>
            <w:tcBorders>
              <w:tl2br w:val="nil"/>
              <w:tr2bl w:val="nil"/>
            </w:tcBorders>
            <w:noWrap w:val="0"/>
            <w:vAlign w:val="center"/>
          </w:tcPr>
          <w:p w14:paraId="7D21A6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rPr>
            </w:pPr>
            <w:r>
              <w:rPr>
                <w:rFonts w:hint="default" w:ascii="Times New Roman" w:hAnsi="Times New Roman" w:eastAsia="宋体" w:cs="Times New Roman"/>
                <w:b w:val="0"/>
                <w:bCs/>
                <w:color w:val="auto"/>
                <w:sz w:val="21"/>
                <w:szCs w:val="21"/>
                <w:highlight w:val="none"/>
                <w:vertAlign w:val="baseline"/>
                <w:lang w:val="en-US" w:eastAsia="zh-CN"/>
              </w:rPr>
              <w:t>易燃气体</w:t>
            </w:r>
          </w:p>
        </w:tc>
        <w:tc>
          <w:tcPr>
            <w:tcW w:w="900" w:type="dxa"/>
            <w:tcBorders>
              <w:tl2br w:val="nil"/>
              <w:tr2bl w:val="nil"/>
            </w:tcBorders>
            <w:noWrap w:val="0"/>
            <w:vAlign w:val="center"/>
          </w:tcPr>
          <w:p w14:paraId="128AB9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甲类</w:t>
            </w:r>
          </w:p>
        </w:tc>
      </w:tr>
      <w:tr w14:paraId="54678E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7" w:type="dxa"/>
            <w:tcBorders>
              <w:tl2br w:val="nil"/>
              <w:tr2bl w:val="nil"/>
            </w:tcBorders>
            <w:noWrap w:val="0"/>
            <w:vAlign w:val="center"/>
          </w:tcPr>
          <w:p w14:paraId="604FB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危险废物</w:t>
            </w:r>
          </w:p>
        </w:tc>
        <w:tc>
          <w:tcPr>
            <w:tcW w:w="628" w:type="dxa"/>
            <w:tcBorders>
              <w:tl2br w:val="nil"/>
              <w:tr2bl w:val="nil"/>
            </w:tcBorders>
            <w:noWrap w:val="0"/>
            <w:vAlign w:val="center"/>
          </w:tcPr>
          <w:p w14:paraId="57D306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固</w:t>
            </w:r>
          </w:p>
        </w:tc>
        <w:tc>
          <w:tcPr>
            <w:tcW w:w="630" w:type="dxa"/>
            <w:tcBorders>
              <w:tl2br w:val="nil"/>
              <w:tr2bl w:val="nil"/>
            </w:tcBorders>
            <w:noWrap w:val="0"/>
            <w:vAlign w:val="center"/>
          </w:tcPr>
          <w:p w14:paraId="62BB98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795" w:type="dxa"/>
            <w:tcBorders>
              <w:tl2br w:val="nil"/>
              <w:tr2bl w:val="nil"/>
            </w:tcBorders>
            <w:noWrap w:val="0"/>
            <w:vAlign w:val="center"/>
          </w:tcPr>
          <w:p w14:paraId="2D5FDB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990" w:type="dxa"/>
            <w:tcBorders>
              <w:tl2br w:val="nil"/>
              <w:tr2bl w:val="nil"/>
            </w:tcBorders>
            <w:noWrap w:val="0"/>
            <w:vAlign w:val="center"/>
          </w:tcPr>
          <w:p w14:paraId="360377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1202" w:type="dxa"/>
            <w:tcBorders>
              <w:tl2br w:val="nil"/>
              <w:tr2bl w:val="nil"/>
            </w:tcBorders>
            <w:noWrap w:val="0"/>
            <w:vAlign w:val="center"/>
          </w:tcPr>
          <w:p w14:paraId="099D2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c>
          <w:tcPr>
            <w:tcW w:w="1590" w:type="dxa"/>
            <w:tcBorders>
              <w:tl2br w:val="nil"/>
              <w:tr2bl w:val="nil"/>
            </w:tcBorders>
            <w:noWrap w:val="0"/>
            <w:vAlign w:val="center"/>
          </w:tcPr>
          <w:p w14:paraId="648AC7EE">
            <w:pPr>
              <w:keepNext w:val="0"/>
              <w:keepLines w:val="0"/>
              <w:widowControl/>
              <w:suppressLineNumbers w:val="0"/>
              <w:jc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w:t>
            </w:r>
          </w:p>
        </w:tc>
        <w:tc>
          <w:tcPr>
            <w:tcW w:w="1138" w:type="dxa"/>
            <w:tcBorders>
              <w:tl2br w:val="nil"/>
              <w:tr2bl w:val="nil"/>
            </w:tcBorders>
            <w:noWrap w:val="0"/>
            <w:vAlign w:val="center"/>
          </w:tcPr>
          <w:p w14:paraId="7A9BB5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有毒物质</w:t>
            </w:r>
          </w:p>
        </w:tc>
        <w:tc>
          <w:tcPr>
            <w:tcW w:w="900" w:type="dxa"/>
            <w:tcBorders>
              <w:tl2br w:val="nil"/>
              <w:tr2bl w:val="nil"/>
            </w:tcBorders>
            <w:noWrap w:val="0"/>
            <w:vAlign w:val="center"/>
          </w:tcPr>
          <w:p w14:paraId="1C3DC0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w:t>
            </w:r>
          </w:p>
        </w:tc>
      </w:tr>
      <w:tr w14:paraId="677E6F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0" w:type="dxa"/>
            <w:gridSpan w:val="9"/>
            <w:tcBorders>
              <w:tl2br w:val="nil"/>
              <w:tr2bl w:val="nil"/>
            </w:tcBorders>
            <w:noWrap w:val="0"/>
            <w:vAlign w:val="center"/>
          </w:tcPr>
          <w:p w14:paraId="27FF50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ascii="Times New Roman" w:hAnsi="Times New Roman" w:eastAsia="宋体" w:cs="Times New Roman"/>
                <w:b w:val="0"/>
                <w:bCs/>
                <w:color w:val="auto"/>
                <w:sz w:val="21"/>
                <w:szCs w:val="21"/>
                <w:highlight w:val="none"/>
                <w:vertAlign w:val="baseline"/>
                <w:lang w:val="en-US" w:eastAsia="zh-CN"/>
              </w:rPr>
              <w:t>急性毒性对照GB30000.18的分类。</w:t>
            </w:r>
          </w:p>
        </w:tc>
      </w:tr>
    </w:tbl>
    <w:p w14:paraId="08DDEE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color w:val="auto"/>
          <w:sz w:val="24"/>
          <w:highlight w:val="none"/>
          <w:lang w:val="en-US" w:eastAsia="zh-CN"/>
        </w:rPr>
      </w:pPr>
      <w:r>
        <w:rPr>
          <w:rFonts w:hint="default" w:ascii="Times New Roman" w:hAnsi="Times New Roman" w:eastAsia="宋体" w:cs="Times New Roman"/>
          <w:color w:val="auto"/>
          <w:sz w:val="24"/>
          <w:szCs w:val="24"/>
          <w:highlight w:val="none"/>
        </w:rPr>
        <w:t>根据《建设项目环境风险评价技术导则》（HJ/T169-2018）规定，本项目</w:t>
      </w:r>
      <w:r>
        <w:rPr>
          <w:rFonts w:hint="default" w:ascii="Times New Roman" w:hAnsi="Times New Roman" w:eastAsia="宋体" w:cs="Times New Roman"/>
          <w:color w:val="auto"/>
          <w:sz w:val="24"/>
          <w:szCs w:val="24"/>
          <w:highlight w:val="none"/>
          <w:lang w:val="en-US" w:eastAsia="zh-CN"/>
        </w:rPr>
        <w:t>输气管道涉及的氢气、富一氧化碳气、天然气均属于易燃易爆危险物质，富一氧化碳气</w:t>
      </w:r>
      <w:r>
        <w:rPr>
          <w:rFonts w:hint="eastAsia" w:ascii="Times New Roman" w:hAnsi="Times New Roman" w:eastAsia="宋体" w:cs="Times New Roman"/>
          <w:color w:val="auto"/>
          <w:sz w:val="24"/>
          <w:szCs w:val="24"/>
          <w:highlight w:val="none"/>
          <w:lang w:val="en-US" w:eastAsia="zh-CN"/>
        </w:rPr>
        <w:t>、天然气同时</w:t>
      </w:r>
      <w:r>
        <w:rPr>
          <w:rFonts w:hint="default" w:ascii="Times New Roman" w:hAnsi="Times New Roman" w:eastAsia="宋体" w:cs="Times New Roman"/>
          <w:color w:val="auto"/>
          <w:sz w:val="24"/>
          <w:szCs w:val="24"/>
          <w:highlight w:val="none"/>
          <w:lang w:val="en-US" w:eastAsia="zh-CN"/>
        </w:rPr>
        <w:t>还属于有毒有害危险物质</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伴生次生危险物质主要由天然气发生火灾或爆炸事故时不完全燃烧产生，伴生次生污染物为CO。</w:t>
      </w:r>
    </w:p>
    <w:p w14:paraId="2A1A6079">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0"/>
          <w:szCs w:val="30"/>
          <w:highlight w:val="none"/>
          <w:lang w:val="en-US" w:eastAsia="zh-CN"/>
        </w:rPr>
      </w:pPr>
      <w:bookmarkStart w:id="26" w:name="_Toc21175"/>
      <w:r>
        <w:rPr>
          <w:rFonts w:hint="eastAsia" w:ascii="宋体" w:hAnsi="宋体" w:eastAsia="宋体" w:cs="宋体"/>
          <w:b/>
          <w:bCs/>
          <w:color w:val="auto"/>
          <w:sz w:val="30"/>
          <w:szCs w:val="30"/>
          <w:highlight w:val="none"/>
          <w:lang w:val="en-US" w:eastAsia="zh-CN"/>
        </w:rPr>
        <w:t>4.2生产系统危险性识别</w:t>
      </w:r>
      <w:bookmarkEnd w:id="26"/>
    </w:p>
    <w:p w14:paraId="09A8D18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本项目危险物质氢气、富一氧化碳气、天然气均分布于专用的输气管道内，工程管道输送过程，由于以上危险性气体本身对管道的承压、密封和耐腐蚀要求较高，存在因管道破裂发生物料泄漏及着火爆炸的可能。 </w:t>
      </w:r>
    </w:p>
    <w:p w14:paraId="04305E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本工程管线由</w:t>
      </w:r>
      <w:r>
        <w:rPr>
          <w:rFonts w:hint="eastAsia" w:ascii="Times New Roman" w:hAnsi="Times New Roman" w:eastAsia="宋体" w:cs="Times New Roman"/>
          <w:color w:val="auto"/>
          <w:kern w:val="0"/>
          <w:sz w:val="24"/>
          <w:szCs w:val="24"/>
          <w:highlight w:val="none"/>
          <w:lang w:val="en-US" w:eastAsia="zh-CN" w:bidi="ar"/>
        </w:rPr>
        <w:t>基地</w:t>
      </w:r>
      <w:r>
        <w:rPr>
          <w:rFonts w:hint="default" w:ascii="Times New Roman" w:hAnsi="Times New Roman" w:eastAsia="宋体" w:cs="Times New Roman"/>
          <w:color w:val="auto"/>
          <w:kern w:val="0"/>
          <w:sz w:val="24"/>
          <w:szCs w:val="24"/>
          <w:highlight w:val="none"/>
          <w:lang w:val="en-US" w:eastAsia="zh-CN" w:bidi="ar"/>
        </w:rPr>
        <w:t>外输送管道与</w:t>
      </w:r>
      <w:r>
        <w:rPr>
          <w:rFonts w:hint="eastAsia" w:ascii="Times New Roman" w:hAnsi="Times New Roman" w:eastAsia="宋体" w:cs="Times New Roman"/>
          <w:color w:val="auto"/>
          <w:kern w:val="0"/>
          <w:sz w:val="24"/>
          <w:szCs w:val="24"/>
          <w:highlight w:val="none"/>
          <w:lang w:val="en-US" w:eastAsia="zh-CN" w:bidi="ar"/>
        </w:rPr>
        <w:t>基地</w:t>
      </w:r>
      <w:r>
        <w:rPr>
          <w:rFonts w:hint="default" w:ascii="Times New Roman" w:hAnsi="Times New Roman" w:eastAsia="宋体" w:cs="Times New Roman"/>
          <w:color w:val="auto"/>
          <w:kern w:val="0"/>
          <w:sz w:val="24"/>
          <w:szCs w:val="24"/>
          <w:highlight w:val="none"/>
          <w:lang w:val="en-US" w:eastAsia="zh-CN" w:bidi="ar"/>
        </w:rPr>
        <w:t xml:space="preserve">内输送管道组成，输送的介质具有易燃、易爆和有毒有害危险性。在设计、施工、运行管理过程中，可能存在设计不合理、施工质量问题、腐蚀、疲劳等因素，可能造成阀门、仪器仪表、管线等设备设施及连接部位泄漏而引起火灾、爆炸事故。 </w:t>
      </w:r>
    </w:p>
    <w:p w14:paraId="0010984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（1）材料与制造缺陷 </w:t>
      </w:r>
    </w:p>
    <w:p w14:paraId="3496060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 xml:space="preserve">①在确定管子、管件、法兰、阀门、仪器仪表材料时，未充分考虑材料的强度以及输送介质的物理特性，若管线的选材不能满足强度要求，管道存在应力腐蚀开裂危险。 </w:t>
      </w:r>
    </w:p>
    <w:p w14:paraId="676FC74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②</w:t>
      </w:r>
      <w:r>
        <w:rPr>
          <w:rFonts w:hint="default" w:ascii="Times New Roman" w:hAnsi="Times New Roman" w:eastAsia="宋体" w:cs="Times New Roman"/>
          <w:b w:val="0"/>
          <w:bCs w:val="0"/>
          <w:color w:val="auto"/>
          <w:kern w:val="0"/>
          <w:sz w:val="24"/>
          <w:szCs w:val="24"/>
          <w:highlight w:val="none"/>
          <w:lang w:val="en-US" w:eastAsia="zh-CN" w:bidi="ar"/>
        </w:rPr>
        <w:t>架空管道虽避免埋地土壤腐蚀，但长期暴露于大气环境中，若防腐层老化、脱落或局部破损，会引发</w:t>
      </w:r>
      <w:r>
        <w:rPr>
          <w:rStyle w:val="27"/>
          <w:rFonts w:hint="default" w:ascii="Times New Roman" w:hAnsi="Times New Roman" w:eastAsia="宋体" w:cs="Times New Roman"/>
          <w:b w:val="0"/>
          <w:bCs w:val="0"/>
          <w:color w:val="auto"/>
          <w:kern w:val="0"/>
          <w:sz w:val="24"/>
          <w:szCs w:val="24"/>
          <w:highlight w:val="none"/>
          <w:lang w:val="en-US" w:eastAsia="zh-CN" w:bidi="ar"/>
        </w:rPr>
        <w:t>电化学腐蚀</w:t>
      </w:r>
      <w:r>
        <w:rPr>
          <w:rFonts w:hint="default" w:ascii="Times New Roman" w:hAnsi="Times New Roman" w:eastAsia="宋体" w:cs="Times New Roman"/>
          <w:b w:val="0"/>
          <w:bCs w:val="0"/>
          <w:color w:val="auto"/>
          <w:kern w:val="0"/>
          <w:sz w:val="24"/>
          <w:szCs w:val="24"/>
          <w:highlight w:val="none"/>
          <w:lang w:val="en-US" w:eastAsia="zh-CN" w:bidi="ar"/>
        </w:rPr>
        <w:t>（尤其在焊缝、法兰等薄弱部位）。</w:t>
      </w:r>
    </w:p>
    <w:p w14:paraId="17179C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（2）设计问题</w:t>
      </w:r>
    </w:p>
    <w:p w14:paraId="27CA295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①应力设计不合理：未充分考虑管道热胀冷缩（如氢气、天然气温度变化大）、振动载荷（如附近压缩机、风机）或机械应力（如风力、积雪），导致支架间距过大、补偿器（如波纹膨胀节）选型错误，管道因过度拉伸/压缩产生裂纹。</w:t>
      </w:r>
    </w:p>
    <w:p w14:paraId="1AC3DA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Style w:val="27"/>
          <w:rFonts w:hint="default" w:ascii="Times New Roman" w:hAnsi="Times New Roman" w:eastAsia="宋体" w:cs="Times New Roman"/>
          <w:b w:val="0"/>
          <w:bCs w:val="0"/>
          <w:color w:val="auto"/>
          <w:kern w:val="2"/>
          <w:sz w:val="24"/>
          <w:szCs w:val="24"/>
          <w:highlight w:val="none"/>
          <w:lang w:val="en-US" w:eastAsia="zh-CN" w:bidi="ar-SA"/>
        </w:rPr>
        <w:t>②支架设计缺陷</w:t>
      </w:r>
      <w:r>
        <w:rPr>
          <w:rFonts w:hint="default" w:ascii="Times New Roman" w:hAnsi="Times New Roman" w:eastAsia="宋体" w:cs="Times New Roman"/>
          <w:b w:val="0"/>
          <w:bCs w:val="0"/>
          <w:color w:val="auto"/>
          <w:kern w:val="0"/>
          <w:sz w:val="24"/>
          <w:szCs w:val="24"/>
          <w:highlight w:val="none"/>
          <w:lang w:val="en-US" w:eastAsia="zh-CN" w:bidi="ar-SA"/>
        </w:rPr>
        <w:t>​：支架强度不足或形式不当（如刚性支架无法吸收振动），可能导致管道悬空、偏移或局部应力集中。</w:t>
      </w:r>
    </w:p>
    <w:p w14:paraId="2F5F9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Style w:val="27"/>
          <w:rFonts w:hint="default" w:ascii="Times New Roman" w:hAnsi="Times New Roman" w:eastAsia="宋体" w:cs="Times New Roman"/>
          <w:b w:val="0"/>
          <w:bCs w:val="0"/>
          <w:color w:val="auto"/>
          <w:kern w:val="2"/>
          <w:sz w:val="24"/>
          <w:szCs w:val="24"/>
          <w:highlight w:val="none"/>
          <w:lang w:val="en-US" w:eastAsia="zh-CN" w:bidi="ar-SA"/>
        </w:rPr>
        <w:t>③密封设计疏漏</w:t>
      </w:r>
      <w:r>
        <w:rPr>
          <w:rFonts w:hint="default" w:ascii="Times New Roman" w:hAnsi="Times New Roman" w:eastAsia="宋体" w:cs="Times New Roman"/>
          <w:b w:val="0"/>
          <w:bCs w:val="0"/>
          <w:color w:val="auto"/>
          <w:kern w:val="0"/>
          <w:sz w:val="24"/>
          <w:szCs w:val="24"/>
          <w:highlight w:val="none"/>
          <w:lang w:val="en-US" w:eastAsia="zh-CN" w:bidi="ar-SA"/>
        </w:rPr>
        <w:t>​：法兰、阀门等连接部位的密封垫片选型错误（如耐温、耐压等级不足），或未考虑介质特性（如氢气分子小，普通垫片易渗透）。</w:t>
      </w:r>
    </w:p>
    <w:p w14:paraId="3D83A2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（3）</w:t>
      </w:r>
      <w:r>
        <w:rPr>
          <w:rFonts w:hint="default" w:ascii="Times New Roman" w:hAnsi="Times New Roman" w:eastAsia="宋体" w:cs="Times New Roman"/>
          <w:color w:val="auto"/>
          <w:sz w:val="24"/>
          <w:szCs w:val="24"/>
          <w:highlight w:val="none"/>
          <w:lang w:val="en-US" w:eastAsia="zh-CN"/>
        </w:rPr>
        <w:t>施工安装问题</w:t>
      </w:r>
    </w:p>
    <w:p w14:paraId="5B928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①焊接缺陷：未按规范进行焊接工艺评定，导致焊缝存在未焊透、夹渣、裂纹等隐患，运行中受应力或腐蚀扩展。</w:t>
      </w:r>
    </w:p>
    <w:p w14:paraId="5FF9D3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②安装偏差：管道对口错边量超标、法兰螺栓紧固不均（如氢气管道法兰未对称紧固），导致局部应力集中或密封不严。</w:t>
      </w:r>
    </w:p>
    <w:p w14:paraId="7B11124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③吊装损伤：安装时管道被尖锐物划伤、碰撞变形，或防腐层在运输/吊装中破损未修复。</w:t>
      </w:r>
    </w:p>
    <w:p w14:paraId="51273BD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kern w:val="0"/>
          <w:sz w:val="24"/>
          <w:szCs w:val="24"/>
          <w:highlight w:val="none"/>
          <w:lang w:val="en-US" w:eastAsia="zh-CN" w:bidi="ar"/>
        </w:rPr>
        <w:t xml:space="preserve">（4）运行维护不当 </w:t>
      </w:r>
    </w:p>
    <w:p w14:paraId="0CFEA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Style w:val="27"/>
          <w:rFonts w:hint="default" w:ascii="Times New Roman" w:hAnsi="Times New Roman" w:eastAsia="宋体" w:cs="Times New Roman"/>
          <w:b w:val="0"/>
          <w:bCs w:val="0"/>
          <w:color w:val="auto"/>
          <w:kern w:val="2"/>
          <w:sz w:val="24"/>
          <w:szCs w:val="24"/>
          <w:highlight w:val="none"/>
          <w:lang w:val="en-US" w:eastAsia="zh-CN" w:bidi="ar-SA"/>
        </w:rPr>
        <w:t>①日常巡检缺失：</w:t>
      </w:r>
      <w:r>
        <w:rPr>
          <w:rFonts w:hint="default" w:ascii="Times New Roman" w:hAnsi="Times New Roman" w:eastAsia="宋体" w:cs="Times New Roman"/>
          <w:b w:val="0"/>
          <w:bCs w:val="0"/>
          <w:color w:val="auto"/>
          <w:kern w:val="0"/>
          <w:sz w:val="24"/>
          <w:szCs w:val="24"/>
          <w:highlight w:val="none"/>
          <w:lang w:val="en-US" w:eastAsia="zh-CN" w:bidi="ar-SA"/>
        </w:rPr>
        <w:t>未定期检查防腐层完整性、支架稳定性（如螺栓松动、支架变形）或管道壁厚减薄（如腐蚀导致的局部减薄），隐患积累至泄漏。忽视泄漏早期信号（如氢气泄漏的“嘶嘶”声、天然气浓度异常、一氧化碳检测报警），未及时处理。</w:t>
      </w:r>
    </w:p>
    <w:p w14:paraId="0B147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Style w:val="27"/>
          <w:rFonts w:hint="default" w:ascii="Times New Roman" w:hAnsi="Times New Roman" w:eastAsia="宋体" w:cs="Times New Roman"/>
          <w:b w:val="0"/>
          <w:bCs w:val="0"/>
          <w:color w:val="auto"/>
          <w:kern w:val="2"/>
          <w:sz w:val="24"/>
          <w:szCs w:val="24"/>
          <w:highlight w:val="none"/>
          <w:lang w:val="en-US" w:eastAsia="zh-CN" w:bidi="ar-SA"/>
        </w:rPr>
        <w:t>②超压或介质异常：</w:t>
      </w:r>
      <w:r>
        <w:rPr>
          <w:rFonts w:hint="default" w:ascii="Times New Roman" w:hAnsi="Times New Roman" w:eastAsia="宋体" w:cs="Times New Roman"/>
          <w:b w:val="0"/>
          <w:bCs w:val="0"/>
          <w:color w:val="auto"/>
          <w:kern w:val="0"/>
          <w:sz w:val="24"/>
          <w:szCs w:val="24"/>
          <w:highlight w:val="none"/>
          <w:lang w:val="en-US" w:eastAsia="zh-CN" w:bidi="ar-SA"/>
        </w:rPr>
        <w:t>长期超设计压力运行（如调压器故障导致下游压力骤升），超过管材许用应力，引发破裂。介质含杂质（如天然气中的H₂S、水分，一氧化碳中的酸性气体）加速腐蚀，或氢气中含氧量超标引发氢氧反应放热，导致局部高温损伤。</w:t>
      </w:r>
    </w:p>
    <w:p w14:paraId="0B1D2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Style w:val="27"/>
          <w:rFonts w:hint="default" w:ascii="Times New Roman" w:hAnsi="Times New Roman" w:eastAsia="宋体" w:cs="Times New Roman"/>
          <w:b w:val="0"/>
          <w:bCs w:val="0"/>
          <w:color w:val="auto"/>
          <w:kern w:val="2"/>
          <w:sz w:val="24"/>
          <w:szCs w:val="24"/>
          <w:highlight w:val="none"/>
          <w:lang w:val="en-US" w:eastAsia="zh-CN" w:bidi="ar-SA"/>
        </w:rPr>
        <w:t>③振动与疲劳</w:t>
      </w:r>
      <w:r>
        <w:rPr>
          <w:rFonts w:hint="default" w:ascii="Times New Roman" w:hAnsi="Times New Roman" w:eastAsia="宋体" w:cs="Times New Roman"/>
          <w:b w:val="0"/>
          <w:bCs w:val="0"/>
          <w:color w:val="auto"/>
          <w:kern w:val="0"/>
          <w:sz w:val="24"/>
          <w:szCs w:val="24"/>
          <w:highlight w:val="none"/>
          <w:lang w:val="en-US" w:eastAsia="zh-CN" w:bidi="ar-SA"/>
        </w:rPr>
        <w:t>：管道附近设备（如泵、压缩机）振动传递，或气流脉动（如压缩机启停）引发管道共振，长期疲劳导致焊缝、弯头等部位开裂。</w:t>
      </w:r>
    </w:p>
    <w:p w14:paraId="29FB23AB">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0"/>
          <w:szCs w:val="30"/>
          <w:highlight w:val="none"/>
          <w:lang w:val="en-US" w:eastAsia="zh-CN"/>
        </w:rPr>
      </w:pPr>
      <w:bookmarkStart w:id="27" w:name="_Toc14641"/>
      <w:r>
        <w:rPr>
          <w:rFonts w:hint="eastAsia" w:ascii="宋体" w:hAnsi="宋体" w:eastAsia="宋体" w:cs="宋体"/>
          <w:b/>
          <w:bCs/>
          <w:color w:val="auto"/>
          <w:sz w:val="30"/>
          <w:szCs w:val="30"/>
          <w:highlight w:val="none"/>
          <w:lang w:val="en-US" w:eastAsia="zh-CN"/>
        </w:rPr>
        <w:t>4.3扩散途径识别</w:t>
      </w:r>
      <w:bookmarkEnd w:id="27"/>
    </w:p>
    <w:p w14:paraId="079D6AB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bCs/>
          <w:color w:val="auto"/>
          <w:sz w:val="21"/>
          <w:szCs w:val="21"/>
          <w:highlight w:val="none"/>
          <w:lang w:val="en-US" w:eastAsia="zh-CN"/>
        </w:rPr>
      </w:pPr>
      <w:r>
        <w:rPr>
          <w:rFonts w:hint="eastAsia" w:ascii="宋体" w:hAnsi="宋体" w:eastAsia="宋体" w:cs="宋体"/>
          <w:color w:val="auto"/>
          <w:kern w:val="0"/>
          <w:sz w:val="24"/>
          <w:szCs w:val="24"/>
          <w:highlight w:val="none"/>
          <w:lang w:val="en-US" w:eastAsia="zh-CN" w:bidi="ar"/>
        </w:rPr>
        <w:t>本工程管道泄漏氢气、富一氧化碳气、天然气均为气态污染物，进入大气环境，通过大气扩散对项目周围大气环境造成危害；且管道均为架空管廊铺设，管道泄漏各气态危险物质不会与土壤、地下水、地表水直接接触发生溶解等情况，不涉及下渗、漫流等污染途径；危废库贮存的危险废物可能发生泄漏或火灾，对环境的影响表现为火灾伴生污染物通过大气扩散或泄漏下渗污染地下水。</w:t>
      </w:r>
    </w:p>
    <w:p w14:paraId="53F71EDC">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30"/>
          <w:szCs w:val="30"/>
          <w:highlight w:val="none"/>
          <w:lang w:val="en-US" w:eastAsia="zh-CN"/>
        </w:rPr>
      </w:pPr>
      <w:bookmarkStart w:id="28" w:name="_Toc8233956"/>
      <w:bookmarkStart w:id="29" w:name="_Toc26803"/>
      <w:bookmarkStart w:id="30" w:name="_Toc12383790"/>
      <w:r>
        <w:rPr>
          <w:rFonts w:hint="eastAsia" w:ascii="宋体" w:hAnsi="宋体" w:eastAsia="宋体" w:cs="宋体"/>
          <w:b/>
          <w:bCs/>
          <w:color w:val="auto"/>
          <w:sz w:val="30"/>
          <w:szCs w:val="30"/>
          <w:highlight w:val="none"/>
          <w:lang w:val="en-US" w:eastAsia="zh-CN"/>
        </w:rPr>
        <w:t>4.4风险识别结果</w:t>
      </w:r>
      <w:bookmarkEnd w:id="28"/>
      <w:bookmarkEnd w:id="29"/>
      <w:bookmarkEnd w:id="30"/>
    </w:p>
    <w:p w14:paraId="6AE63F50">
      <w:pPr>
        <w:spacing w:line="480" w:lineRule="exact"/>
        <w:ind w:firstLine="480"/>
        <w:rPr>
          <w:rFonts w:ascii="Times New Roman" w:hAnsi="Times New Roman" w:eastAsia="宋体" w:cs="Times New Roman"/>
          <w:color w:val="auto"/>
          <w:kern w:val="0"/>
          <w:sz w:val="24"/>
          <w:highlight w:val="none"/>
        </w:rPr>
      </w:pPr>
      <w:r>
        <w:rPr>
          <w:rFonts w:ascii="Times New Roman" w:hAnsi="Times New Roman" w:eastAsia="宋体" w:cs="Times New Roman"/>
          <w:color w:val="auto"/>
          <w:kern w:val="0"/>
          <w:sz w:val="24"/>
          <w:highlight w:val="none"/>
        </w:rPr>
        <w:t>本项目环境风险识别汇总情况见表</w:t>
      </w:r>
      <w:r>
        <w:rPr>
          <w:rFonts w:hint="eastAsia" w:ascii="Times New Roman" w:hAnsi="Times New Roman" w:eastAsia="宋体" w:cs="Times New Roman"/>
          <w:color w:val="auto"/>
          <w:kern w:val="0"/>
          <w:sz w:val="24"/>
          <w:highlight w:val="none"/>
          <w:lang w:val="en-US" w:eastAsia="zh-CN"/>
        </w:rPr>
        <w:t>4-2</w:t>
      </w:r>
      <w:r>
        <w:rPr>
          <w:rFonts w:ascii="Times New Roman" w:hAnsi="Times New Roman" w:eastAsia="宋体" w:cs="Times New Roman"/>
          <w:color w:val="auto"/>
          <w:kern w:val="0"/>
          <w:sz w:val="24"/>
          <w:highlight w:val="none"/>
        </w:rPr>
        <w:t>。</w:t>
      </w:r>
    </w:p>
    <w:p w14:paraId="0A94CDD6">
      <w:pPr>
        <w:spacing w:line="480" w:lineRule="exact"/>
        <w:jc w:val="center"/>
        <w:rPr>
          <w:rFonts w:ascii="Times New Roman" w:hAnsi="Times New Roman" w:eastAsia="宋体" w:cs="Times New Roman"/>
          <w:b/>
          <w:color w:val="auto"/>
          <w:sz w:val="24"/>
          <w:highlight w:val="none"/>
        </w:rPr>
      </w:pPr>
      <w:r>
        <w:rPr>
          <w:rFonts w:ascii="Times New Roman" w:hAnsi="Times New Roman" w:eastAsia="宋体" w:cs="Times New Roman"/>
          <w:b/>
          <w:color w:val="auto"/>
          <w:sz w:val="24"/>
          <w:highlight w:val="none"/>
        </w:rPr>
        <w:t>表</w:t>
      </w:r>
      <w:r>
        <w:rPr>
          <w:rFonts w:hint="eastAsia" w:ascii="Times New Roman" w:hAnsi="Times New Roman" w:eastAsia="宋体" w:cs="Times New Roman"/>
          <w:b/>
          <w:color w:val="auto"/>
          <w:sz w:val="24"/>
          <w:highlight w:val="none"/>
          <w:lang w:val="en-US" w:eastAsia="zh-CN"/>
        </w:rPr>
        <w:t>4-2</w:t>
      </w:r>
      <w:r>
        <w:rPr>
          <w:rFonts w:ascii="Times New Roman" w:hAnsi="Times New Roman" w:eastAsia="宋体" w:cs="Times New Roman"/>
          <w:b/>
          <w:color w:val="auto"/>
          <w:sz w:val="24"/>
          <w:highlight w:val="none"/>
        </w:rPr>
        <w:t xml:space="preserve">    项目环境风险识别汇总表</w:t>
      </w:r>
    </w:p>
    <w:tbl>
      <w:tblPr>
        <w:tblStyle w:val="2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56" w:type="dxa"/>
          <w:left w:w="96" w:type="dxa"/>
          <w:bottom w:w="56" w:type="dxa"/>
          <w:right w:w="96" w:type="dxa"/>
        </w:tblCellMar>
      </w:tblPr>
      <w:tblGrid>
        <w:gridCol w:w="539"/>
        <w:gridCol w:w="1045"/>
        <w:gridCol w:w="1186"/>
        <w:gridCol w:w="1186"/>
        <w:gridCol w:w="1581"/>
        <w:gridCol w:w="1327"/>
        <w:gridCol w:w="1629"/>
      </w:tblGrid>
      <w:tr w14:paraId="3370E1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318" w:type="pct"/>
            <w:tcBorders>
              <w:tl2br w:val="nil"/>
              <w:tr2bl w:val="nil"/>
            </w:tcBorders>
            <w:noWrap w:val="0"/>
            <w:vAlign w:val="center"/>
          </w:tcPr>
          <w:p w14:paraId="75C6DA5B">
            <w:pPr>
              <w:snapToGrid w:val="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序号</w:t>
            </w:r>
          </w:p>
        </w:tc>
        <w:tc>
          <w:tcPr>
            <w:tcW w:w="615" w:type="pct"/>
            <w:tcBorders>
              <w:tl2br w:val="nil"/>
              <w:tr2bl w:val="nil"/>
            </w:tcBorders>
            <w:noWrap w:val="0"/>
            <w:vAlign w:val="center"/>
          </w:tcPr>
          <w:p w14:paraId="084A72E6">
            <w:pPr>
              <w:snapToGrid w:val="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危险单元</w:t>
            </w:r>
          </w:p>
        </w:tc>
        <w:tc>
          <w:tcPr>
            <w:tcW w:w="698" w:type="pct"/>
            <w:tcBorders>
              <w:tl2br w:val="nil"/>
              <w:tr2bl w:val="nil"/>
            </w:tcBorders>
            <w:noWrap w:val="0"/>
            <w:vAlign w:val="center"/>
          </w:tcPr>
          <w:p w14:paraId="278A794B">
            <w:pPr>
              <w:snapToGrid w:val="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风险源</w:t>
            </w:r>
          </w:p>
        </w:tc>
        <w:tc>
          <w:tcPr>
            <w:tcW w:w="698" w:type="pct"/>
            <w:tcBorders>
              <w:tl2br w:val="nil"/>
              <w:tr2bl w:val="nil"/>
            </w:tcBorders>
            <w:noWrap w:val="0"/>
            <w:vAlign w:val="center"/>
          </w:tcPr>
          <w:p w14:paraId="5DE59F43">
            <w:pPr>
              <w:snapToGrid w:val="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主要危险物质</w:t>
            </w:r>
          </w:p>
        </w:tc>
        <w:tc>
          <w:tcPr>
            <w:tcW w:w="931" w:type="pct"/>
            <w:tcBorders>
              <w:tl2br w:val="nil"/>
              <w:tr2bl w:val="nil"/>
            </w:tcBorders>
            <w:noWrap w:val="0"/>
            <w:vAlign w:val="center"/>
          </w:tcPr>
          <w:p w14:paraId="7A1C62FB">
            <w:pPr>
              <w:snapToGrid w:val="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环境风险类型</w:t>
            </w:r>
          </w:p>
        </w:tc>
        <w:tc>
          <w:tcPr>
            <w:tcW w:w="781" w:type="pct"/>
            <w:tcBorders>
              <w:tl2br w:val="nil"/>
              <w:tr2bl w:val="nil"/>
            </w:tcBorders>
            <w:noWrap w:val="0"/>
            <w:vAlign w:val="center"/>
          </w:tcPr>
          <w:p w14:paraId="6643655F">
            <w:pPr>
              <w:snapToGrid w:val="0"/>
              <w:jc w:val="center"/>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环境影响途径</w:t>
            </w:r>
          </w:p>
        </w:tc>
        <w:tc>
          <w:tcPr>
            <w:tcW w:w="957" w:type="pct"/>
            <w:tcBorders>
              <w:tl2br w:val="nil"/>
              <w:tr2bl w:val="nil"/>
            </w:tcBorders>
            <w:noWrap w:val="0"/>
            <w:vAlign w:val="center"/>
          </w:tcPr>
          <w:p w14:paraId="1C36ABB9">
            <w:pPr>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可能受影响的环境敏感目标</w:t>
            </w:r>
          </w:p>
        </w:tc>
      </w:tr>
      <w:tr w14:paraId="238184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96" w:type="dxa"/>
            <w:bottom w:w="56" w:type="dxa"/>
            <w:right w:w="96" w:type="dxa"/>
          </w:tblCellMar>
        </w:tblPrEx>
        <w:trPr>
          <w:trHeight w:val="331" w:hRule="atLeast"/>
          <w:tblHeader/>
          <w:jc w:val="center"/>
        </w:trPr>
        <w:tc>
          <w:tcPr>
            <w:tcW w:w="318" w:type="pct"/>
            <w:tcBorders>
              <w:tl2br w:val="nil"/>
              <w:tr2bl w:val="nil"/>
            </w:tcBorders>
            <w:noWrap w:val="0"/>
            <w:vAlign w:val="center"/>
          </w:tcPr>
          <w:p w14:paraId="6EEED3FB">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1</w:t>
            </w:r>
          </w:p>
        </w:tc>
        <w:tc>
          <w:tcPr>
            <w:tcW w:w="615" w:type="pct"/>
            <w:tcBorders>
              <w:tl2br w:val="nil"/>
              <w:tr2bl w:val="nil"/>
            </w:tcBorders>
            <w:noWrap w:val="0"/>
            <w:vAlign w:val="center"/>
          </w:tcPr>
          <w:p w14:paraId="34440EAC">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外部管廊</w:t>
            </w:r>
          </w:p>
        </w:tc>
        <w:tc>
          <w:tcPr>
            <w:tcW w:w="698" w:type="pct"/>
            <w:tcBorders>
              <w:tl2br w:val="nil"/>
              <w:tr2bl w:val="nil"/>
            </w:tcBorders>
            <w:noWrap w:val="0"/>
            <w:vAlign w:val="center"/>
          </w:tcPr>
          <w:p w14:paraId="1CD5C47C">
            <w:pPr>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富一氧化碳气</w:t>
            </w:r>
          </w:p>
        </w:tc>
        <w:tc>
          <w:tcPr>
            <w:tcW w:w="698" w:type="pct"/>
            <w:tcBorders>
              <w:tl2br w:val="nil"/>
              <w:tr2bl w:val="nil"/>
            </w:tcBorders>
            <w:noWrap w:val="0"/>
            <w:vAlign w:val="center"/>
          </w:tcPr>
          <w:p w14:paraId="3E3797E0">
            <w:pPr>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CO</w:t>
            </w:r>
          </w:p>
        </w:tc>
        <w:tc>
          <w:tcPr>
            <w:tcW w:w="931" w:type="pct"/>
            <w:tcBorders>
              <w:tl2br w:val="nil"/>
              <w:tr2bl w:val="nil"/>
            </w:tcBorders>
            <w:noWrap w:val="0"/>
            <w:vAlign w:val="center"/>
          </w:tcPr>
          <w:p w14:paraId="65102E48">
            <w:pPr>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Cs w:val="21"/>
                <w:highlight w:val="none"/>
                <w:lang w:val="en-US" w:eastAsia="zh-CN"/>
              </w:rPr>
              <w:t>泄漏</w:t>
            </w:r>
          </w:p>
        </w:tc>
        <w:tc>
          <w:tcPr>
            <w:tcW w:w="781" w:type="pct"/>
            <w:tcBorders>
              <w:tl2br w:val="nil"/>
              <w:tr2bl w:val="nil"/>
            </w:tcBorders>
            <w:noWrap w:val="0"/>
            <w:vAlign w:val="center"/>
          </w:tcPr>
          <w:p w14:paraId="7359754A">
            <w:pPr>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大气扩散</w:t>
            </w:r>
          </w:p>
        </w:tc>
        <w:tc>
          <w:tcPr>
            <w:tcW w:w="957" w:type="pct"/>
            <w:tcBorders>
              <w:tl2br w:val="nil"/>
              <w:tr2bl w:val="nil"/>
            </w:tcBorders>
            <w:noWrap w:val="0"/>
            <w:vAlign w:val="center"/>
          </w:tcPr>
          <w:p w14:paraId="6FD75A58">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园区人群</w:t>
            </w:r>
          </w:p>
        </w:tc>
      </w:tr>
      <w:tr w14:paraId="22C34A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318" w:type="pct"/>
            <w:tcBorders>
              <w:tl2br w:val="nil"/>
              <w:tr2bl w:val="nil"/>
            </w:tcBorders>
            <w:noWrap w:val="0"/>
            <w:vAlign w:val="center"/>
          </w:tcPr>
          <w:p w14:paraId="2A6365A0">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2</w:t>
            </w:r>
          </w:p>
        </w:tc>
        <w:tc>
          <w:tcPr>
            <w:tcW w:w="615" w:type="pct"/>
            <w:vMerge w:val="restart"/>
            <w:tcBorders>
              <w:tl2br w:val="nil"/>
              <w:tr2bl w:val="nil"/>
            </w:tcBorders>
            <w:noWrap w:val="0"/>
            <w:vAlign w:val="center"/>
          </w:tcPr>
          <w:p w14:paraId="7F7B7978">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基地内部</w:t>
            </w:r>
          </w:p>
        </w:tc>
        <w:tc>
          <w:tcPr>
            <w:tcW w:w="698" w:type="pct"/>
            <w:tcBorders>
              <w:tl2br w:val="nil"/>
              <w:tr2bl w:val="nil"/>
            </w:tcBorders>
            <w:noWrap w:val="0"/>
            <w:vAlign w:val="center"/>
          </w:tcPr>
          <w:p w14:paraId="0DA2E34B">
            <w:pPr>
              <w:snapToGrid w:val="0"/>
              <w:jc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lang w:val="en-US" w:eastAsia="zh-CN"/>
              </w:rPr>
              <w:t>富一氧化碳气</w:t>
            </w:r>
          </w:p>
        </w:tc>
        <w:tc>
          <w:tcPr>
            <w:tcW w:w="698" w:type="pct"/>
            <w:tcBorders>
              <w:tl2br w:val="nil"/>
              <w:tr2bl w:val="nil"/>
            </w:tcBorders>
            <w:noWrap w:val="0"/>
            <w:vAlign w:val="center"/>
          </w:tcPr>
          <w:p w14:paraId="3F03CDCC">
            <w:pPr>
              <w:keepNext w:val="0"/>
              <w:keepLines w:val="0"/>
              <w:widowControl/>
              <w:suppressLineNumbers w:val="0"/>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CO</w:t>
            </w:r>
          </w:p>
        </w:tc>
        <w:tc>
          <w:tcPr>
            <w:tcW w:w="931" w:type="pct"/>
            <w:tcBorders>
              <w:tl2br w:val="nil"/>
              <w:tr2bl w:val="nil"/>
            </w:tcBorders>
            <w:noWrap w:val="0"/>
            <w:vAlign w:val="center"/>
          </w:tcPr>
          <w:p w14:paraId="3CA5D2BC">
            <w:pPr>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泄漏</w:t>
            </w:r>
          </w:p>
        </w:tc>
        <w:tc>
          <w:tcPr>
            <w:tcW w:w="781" w:type="pct"/>
            <w:tcBorders>
              <w:tl2br w:val="nil"/>
              <w:tr2bl w:val="nil"/>
            </w:tcBorders>
            <w:noWrap w:val="0"/>
            <w:vAlign w:val="center"/>
          </w:tcPr>
          <w:p w14:paraId="41E4AE35">
            <w:pPr>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大气扩散</w:t>
            </w:r>
          </w:p>
        </w:tc>
        <w:tc>
          <w:tcPr>
            <w:tcW w:w="957" w:type="pct"/>
            <w:tcBorders>
              <w:tl2br w:val="nil"/>
              <w:tr2bl w:val="nil"/>
            </w:tcBorders>
            <w:noWrap w:val="0"/>
            <w:vAlign w:val="center"/>
          </w:tcPr>
          <w:p w14:paraId="5E43292D">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园区人群</w:t>
            </w:r>
          </w:p>
        </w:tc>
      </w:tr>
      <w:tr w14:paraId="6D446B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318" w:type="pct"/>
            <w:tcBorders>
              <w:tl2br w:val="nil"/>
              <w:tr2bl w:val="nil"/>
            </w:tcBorders>
            <w:noWrap w:val="0"/>
            <w:vAlign w:val="center"/>
          </w:tcPr>
          <w:p w14:paraId="621920ED">
            <w:pPr>
              <w:snapToGrid w:val="0"/>
              <w:jc w:val="center"/>
              <w:rPr>
                <w:rFonts w:hint="default" w:ascii="Times New Roman" w:hAnsi="Times New Roman" w:eastAsia="宋体" w:cs="Times New Roman"/>
                <w:b w:val="0"/>
                <w:bCs/>
                <w:color w:val="auto"/>
                <w:szCs w:val="21"/>
                <w:highlight w:val="none"/>
                <w:lang w:val="en-US" w:eastAsia="zh-CN"/>
              </w:rPr>
            </w:pPr>
            <w:r>
              <w:rPr>
                <w:rFonts w:hint="eastAsia" w:ascii="Times New Roman" w:hAnsi="Times New Roman" w:eastAsia="宋体" w:cs="Times New Roman"/>
                <w:b w:val="0"/>
                <w:bCs/>
                <w:color w:val="auto"/>
                <w:szCs w:val="21"/>
                <w:highlight w:val="none"/>
                <w:lang w:val="en-US" w:eastAsia="zh-CN"/>
              </w:rPr>
              <w:t>3</w:t>
            </w:r>
          </w:p>
        </w:tc>
        <w:tc>
          <w:tcPr>
            <w:tcW w:w="615" w:type="pct"/>
            <w:vMerge w:val="continue"/>
            <w:tcBorders>
              <w:tl2br w:val="nil"/>
              <w:tr2bl w:val="nil"/>
            </w:tcBorders>
            <w:noWrap w:val="0"/>
            <w:vAlign w:val="center"/>
          </w:tcPr>
          <w:p w14:paraId="4D57F63F">
            <w:pPr>
              <w:snapToGrid w:val="0"/>
              <w:jc w:val="center"/>
              <w:rPr>
                <w:rFonts w:hint="default" w:ascii="Times New Roman" w:hAnsi="Times New Roman" w:eastAsia="宋体" w:cs="Times New Roman"/>
                <w:b w:val="0"/>
                <w:bCs/>
                <w:color w:val="auto"/>
                <w:szCs w:val="21"/>
                <w:highlight w:val="none"/>
                <w:lang w:val="en-US" w:eastAsia="zh-CN"/>
              </w:rPr>
            </w:pPr>
          </w:p>
        </w:tc>
        <w:tc>
          <w:tcPr>
            <w:tcW w:w="698" w:type="pct"/>
            <w:tcBorders>
              <w:tl2br w:val="nil"/>
              <w:tr2bl w:val="nil"/>
            </w:tcBorders>
            <w:noWrap w:val="0"/>
            <w:vAlign w:val="center"/>
          </w:tcPr>
          <w:p w14:paraId="3AA2E190">
            <w:pPr>
              <w:snapToGrid w:val="0"/>
              <w:jc w:val="center"/>
              <w:rPr>
                <w:rFonts w:hint="default" w:ascii="Times New Roman" w:hAnsi="Times New Roman" w:eastAsia="宋体" w:cs="Times New Roman"/>
                <w:b w:val="0"/>
                <w:bCs/>
                <w:color w:val="auto"/>
                <w:szCs w:val="21"/>
                <w:highlight w:val="none"/>
                <w:lang w:val="en-US" w:eastAsia="zh-CN"/>
              </w:rPr>
            </w:pPr>
            <w:r>
              <w:rPr>
                <w:rFonts w:hint="default" w:ascii="Times New Roman" w:hAnsi="Times New Roman" w:eastAsia="宋体" w:cs="Times New Roman"/>
                <w:b w:val="0"/>
                <w:bCs/>
                <w:color w:val="auto"/>
                <w:szCs w:val="21"/>
                <w:highlight w:val="none"/>
                <w:lang w:val="en-US" w:eastAsia="zh-CN"/>
              </w:rPr>
              <w:t>天然气</w:t>
            </w:r>
          </w:p>
        </w:tc>
        <w:tc>
          <w:tcPr>
            <w:tcW w:w="698" w:type="pct"/>
            <w:tcBorders>
              <w:tl2br w:val="nil"/>
              <w:tr2bl w:val="nil"/>
            </w:tcBorders>
            <w:noWrap w:val="0"/>
            <w:vAlign w:val="center"/>
          </w:tcPr>
          <w:p w14:paraId="479FDBF2">
            <w:pPr>
              <w:keepNext w:val="0"/>
              <w:keepLines w:val="0"/>
              <w:widowControl/>
              <w:suppressLineNumbers w:val="0"/>
              <w:snapToGrid w:val="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甲烷</w:t>
            </w:r>
          </w:p>
        </w:tc>
        <w:tc>
          <w:tcPr>
            <w:tcW w:w="931" w:type="pct"/>
            <w:tcBorders>
              <w:tl2br w:val="nil"/>
              <w:tr2bl w:val="nil"/>
            </w:tcBorders>
            <w:noWrap w:val="0"/>
            <w:vAlign w:val="center"/>
          </w:tcPr>
          <w:p w14:paraId="1B85D60E">
            <w:pPr>
              <w:snapToGrid w:val="0"/>
              <w:jc w:val="center"/>
              <w:rPr>
                <w:rFonts w:hint="default" w:ascii="Times New Roman" w:hAnsi="Times New Roman" w:eastAsia="宋体" w:cs="Times New Roman"/>
                <w:b w:val="0"/>
                <w:bCs/>
                <w:color w:val="auto"/>
                <w:szCs w:val="21"/>
                <w:highlight w:val="none"/>
                <w:lang w:val="en-US" w:eastAsia="zh-CN"/>
              </w:rPr>
            </w:pPr>
            <w:r>
              <w:rPr>
                <w:rFonts w:hint="default" w:ascii="Times New Roman" w:hAnsi="Times New Roman" w:eastAsia="宋体" w:cs="Times New Roman"/>
                <w:b w:val="0"/>
                <w:bCs/>
                <w:color w:val="auto"/>
                <w:szCs w:val="21"/>
                <w:highlight w:val="none"/>
                <w:lang w:val="en-US" w:eastAsia="zh-CN"/>
              </w:rPr>
              <w:t>泄漏/火灾爆炸伴生污染物排放</w:t>
            </w:r>
          </w:p>
        </w:tc>
        <w:tc>
          <w:tcPr>
            <w:tcW w:w="781" w:type="pct"/>
            <w:tcBorders>
              <w:tl2br w:val="nil"/>
              <w:tr2bl w:val="nil"/>
            </w:tcBorders>
            <w:noWrap w:val="0"/>
            <w:vAlign w:val="center"/>
          </w:tcPr>
          <w:p w14:paraId="535DC328">
            <w:pPr>
              <w:snapToGrid w:val="0"/>
              <w:jc w:val="center"/>
              <w:rPr>
                <w:rFonts w:hint="default" w:ascii="Times New Roman" w:hAnsi="Times New Roman" w:eastAsia="宋体" w:cs="Times New Roman"/>
                <w:b w:val="0"/>
                <w:bCs/>
                <w:color w:val="auto"/>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大气扩散</w:t>
            </w:r>
          </w:p>
        </w:tc>
        <w:tc>
          <w:tcPr>
            <w:tcW w:w="957" w:type="pct"/>
            <w:tcBorders>
              <w:tl2br w:val="nil"/>
              <w:tr2bl w:val="nil"/>
            </w:tcBorders>
            <w:noWrap w:val="0"/>
            <w:vAlign w:val="center"/>
          </w:tcPr>
          <w:p w14:paraId="1314360B">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园区人群</w:t>
            </w:r>
          </w:p>
        </w:tc>
      </w:tr>
      <w:tr w14:paraId="046485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318" w:type="pct"/>
            <w:tcBorders>
              <w:tl2br w:val="nil"/>
              <w:tr2bl w:val="nil"/>
            </w:tcBorders>
            <w:noWrap w:val="0"/>
            <w:vAlign w:val="center"/>
          </w:tcPr>
          <w:p w14:paraId="663B232E">
            <w:pPr>
              <w:snapToGrid w:val="0"/>
              <w:jc w:val="center"/>
              <w:rPr>
                <w:rFonts w:hint="default" w:ascii="Times New Roman" w:hAnsi="Times New Roman" w:eastAsia="宋体" w:cs="Times New Roman"/>
                <w:b w:val="0"/>
                <w:bCs/>
                <w:color w:val="auto"/>
                <w:szCs w:val="21"/>
                <w:highlight w:val="none"/>
                <w:lang w:val="en-US" w:eastAsia="zh-CN"/>
              </w:rPr>
            </w:pPr>
            <w:r>
              <w:rPr>
                <w:rFonts w:hint="eastAsia" w:ascii="Times New Roman" w:hAnsi="Times New Roman" w:eastAsia="宋体" w:cs="Times New Roman"/>
                <w:b w:val="0"/>
                <w:bCs/>
                <w:color w:val="auto"/>
                <w:szCs w:val="21"/>
                <w:highlight w:val="none"/>
                <w:lang w:val="en-US" w:eastAsia="zh-CN"/>
              </w:rPr>
              <w:t>4</w:t>
            </w:r>
          </w:p>
        </w:tc>
        <w:tc>
          <w:tcPr>
            <w:tcW w:w="615" w:type="pct"/>
            <w:vMerge w:val="continue"/>
            <w:tcBorders>
              <w:tl2br w:val="nil"/>
              <w:tr2bl w:val="nil"/>
            </w:tcBorders>
            <w:noWrap w:val="0"/>
            <w:vAlign w:val="center"/>
          </w:tcPr>
          <w:p w14:paraId="384B0FDF">
            <w:pPr>
              <w:snapToGrid w:val="0"/>
              <w:jc w:val="center"/>
              <w:rPr>
                <w:rFonts w:hint="default" w:ascii="Times New Roman" w:hAnsi="Times New Roman" w:eastAsia="宋体" w:cs="Times New Roman"/>
                <w:b w:val="0"/>
                <w:bCs/>
                <w:color w:val="auto"/>
                <w:szCs w:val="21"/>
                <w:highlight w:val="none"/>
                <w:lang w:val="en-US" w:eastAsia="zh-CN"/>
              </w:rPr>
            </w:pPr>
          </w:p>
        </w:tc>
        <w:tc>
          <w:tcPr>
            <w:tcW w:w="698" w:type="pct"/>
            <w:tcBorders>
              <w:tl2br w:val="nil"/>
              <w:tr2bl w:val="nil"/>
            </w:tcBorders>
            <w:noWrap w:val="0"/>
            <w:vAlign w:val="center"/>
          </w:tcPr>
          <w:p w14:paraId="65676BD6">
            <w:pPr>
              <w:snapToGrid w:val="0"/>
              <w:jc w:val="center"/>
              <w:rPr>
                <w:rFonts w:hint="default" w:ascii="Times New Roman" w:hAnsi="Times New Roman" w:eastAsia="宋体" w:cs="Times New Roman"/>
                <w:b w:val="0"/>
                <w:bCs/>
                <w:color w:val="auto"/>
                <w:szCs w:val="21"/>
                <w:highlight w:val="none"/>
                <w:lang w:val="en-US" w:eastAsia="zh-CN"/>
              </w:rPr>
            </w:pPr>
            <w:r>
              <w:rPr>
                <w:rFonts w:hint="eastAsia" w:ascii="Times New Roman" w:hAnsi="Times New Roman" w:eastAsia="宋体" w:cs="Times New Roman"/>
                <w:b w:val="0"/>
                <w:bCs/>
                <w:color w:val="auto"/>
                <w:szCs w:val="21"/>
                <w:highlight w:val="none"/>
                <w:lang w:val="en-US" w:eastAsia="zh-CN"/>
              </w:rPr>
              <w:t>危废库</w:t>
            </w:r>
          </w:p>
        </w:tc>
        <w:tc>
          <w:tcPr>
            <w:tcW w:w="698" w:type="pct"/>
            <w:tcBorders>
              <w:tl2br w:val="nil"/>
              <w:tr2bl w:val="nil"/>
            </w:tcBorders>
            <w:noWrap w:val="0"/>
            <w:vAlign w:val="center"/>
          </w:tcPr>
          <w:p w14:paraId="62909169">
            <w:pPr>
              <w:keepNext w:val="0"/>
              <w:keepLines w:val="0"/>
              <w:widowControl/>
              <w:suppressLineNumbers w:val="0"/>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危险废物</w:t>
            </w:r>
          </w:p>
        </w:tc>
        <w:tc>
          <w:tcPr>
            <w:tcW w:w="931" w:type="pct"/>
            <w:tcBorders>
              <w:tl2br w:val="nil"/>
              <w:tr2bl w:val="nil"/>
            </w:tcBorders>
            <w:noWrap w:val="0"/>
            <w:vAlign w:val="center"/>
          </w:tcPr>
          <w:p w14:paraId="601837D7">
            <w:pPr>
              <w:snapToGrid w:val="0"/>
              <w:jc w:val="center"/>
              <w:rPr>
                <w:rFonts w:hint="default" w:ascii="Times New Roman" w:hAnsi="Times New Roman" w:eastAsia="宋体" w:cs="Times New Roman"/>
                <w:b w:val="0"/>
                <w:bCs/>
                <w:color w:val="auto"/>
                <w:szCs w:val="21"/>
                <w:highlight w:val="none"/>
                <w:lang w:val="en-US" w:eastAsia="zh-CN"/>
              </w:rPr>
            </w:pPr>
            <w:r>
              <w:rPr>
                <w:rFonts w:hint="default" w:ascii="Times New Roman" w:hAnsi="Times New Roman" w:eastAsia="宋体" w:cs="Times New Roman"/>
                <w:b w:val="0"/>
                <w:bCs/>
                <w:color w:val="auto"/>
                <w:szCs w:val="21"/>
                <w:highlight w:val="none"/>
                <w:lang w:val="en-US" w:eastAsia="zh-CN"/>
              </w:rPr>
              <w:t>泄漏/火灾爆炸伴生污染物排放</w:t>
            </w:r>
          </w:p>
        </w:tc>
        <w:tc>
          <w:tcPr>
            <w:tcW w:w="781" w:type="pct"/>
            <w:tcBorders>
              <w:tl2br w:val="nil"/>
              <w:tr2bl w:val="nil"/>
            </w:tcBorders>
            <w:noWrap w:val="0"/>
            <w:vAlign w:val="center"/>
          </w:tcPr>
          <w:p w14:paraId="38DBA5B6">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大气扩散/下渗</w:t>
            </w:r>
          </w:p>
        </w:tc>
        <w:tc>
          <w:tcPr>
            <w:tcW w:w="957" w:type="pct"/>
            <w:tcBorders>
              <w:tl2br w:val="nil"/>
              <w:tr2bl w:val="nil"/>
            </w:tcBorders>
            <w:noWrap w:val="0"/>
            <w:vAlign w:val="center"/>
          </w:tcPr>
          <w:p w14:paraId="7840902C">
            <w:pPr>
              <w:snapToGrid w:val="0"/>
              <w:jc w:val="center"/>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园区人群/地下水</w:t>
            </w:r>
          </w:p>
        </w:tc>
      </w:tr>
      <w:tr w14:paraId="42DF9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96" w:type="dxa"/>
            <w:bottom w:w="56" w:type="dxa"/>
            <w:right w:w="96" w:type="dxa"/>
          </w:tblCellMar>
        </w:tblPrEx>
        <w:trPr>
          <w:trHeight w:val="0" w:hRule="atLeast"/>
          <w:tblHeader/>
          <w:jc w:val="center"/>
        </w:trPr>
        <w:tc>
          <w:tcPr>
            <w:tcW w:w="5000" w:type="pct"/>
            <w:gridSpan w:val="7"/>
            <w:tcBorders>
              <w:tl2br w:val="nil"/>
              <w:tr2bl w:val="nil"/>
            </w:tcBorders>
            <w:noWrap w:val="0"/>
            <w:vAlign w:val="center"/>
          </w:tcPr>
          <w:p w14:paraId="57004077">
            <w:pPr>
              <w:snapToGrid w:val="0"/>
              <w:jc w:val="both"/>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bCs w:val="0"/>
                <w:color w:val="auto"/>
                <w:sz w:val="18"/>
                <w:szCs w:val="18"/>
                <w:highlight w:val="none"/>
                <w:lang w:val="en-US" w:eastAsia="zh-CN"/>
              </w:rPr>
              <w:t>说明：由于氢气本身无毒，且其燃烧的生成物为水，不属于环境污染物，因此氢气泄漏或火灾爆炸事故主要表现为能量释放造成的安全事故，故本次评价仅对氢气进行危险性识别，不开展环境风险分析。</w:t>
            </w:r>
          </w:p>
        </w:tc>
      </w:tr>
    </w:tbl>
    <w:p w14:paraId="71E21818">
      <w:pPr>
        <w:pStyle w:val="2"/>
        <w:bidi w:val="0"/>
        <w:rPr>
          <w:rFonts w:hint="eastAsia" w:ascii="宋体" w:hAnsi="宋体" w:eastAsia="宋体" w:cs="宋体"/>
          <w:b/>
          <w:bCs/>
          <w:color w:val="auto"/>
          <w:sz w:val="32"/>
          <w:szCs w:val="32"/>
          <w:highlight w:val="none"/>
          <w:lang w:val="en-US" w:eastAsia="zh-CN"/>
        </w:rPr>
      </w:pPr>
      <w:bookmarkStart w:id="31" w:name="_Toc30351"/>
      <w:r>
        <w:rPr>
          <w:rFonts w:hint="eastAsia" w:ascii="宋体" w:hAnsi="宋体" w:eastAsia="宋体" w:cs="宋体"/>
          <w:b/>
          <w:bCs/>
          <w:color w:val="auto"/>
          <w:sz w:val="32"/>
          <w:szCs w:val="32"/>
          <w:highlight w:val="none"/>
          <w:lang w:val="en-US" w:eastAsia="zh-CN"/>
        </w:rPr>
        <w:t>5.环境风险分析</w:t>
      </w:r>
      <w:bookmarkEnd w:id="31"/>
    </w:p>
    <w:p w14:paraId="69BB70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本项目环境风险源为管廊上的富一氧化碳管道、天然气管道，管道不与地面接触，且气体泄漏后以大气扩散为主，因此发生环境风险事故后，主要环境风险影响为对大气环境的影响，基本不会对地表水、地下水产生影响。</w:t>
      </w:r>
    </w:p>
    <w:p w14:paraId="037F3B3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鉴于富一氧化碳管道外部管廊部分两截断阀间的气体量相对基地内管道阀间气体量为最大，故富一氧化碳气泄漏主要考虑外部管廊部分；天然气管道全部位于基地内管廊，因此风险源为基地内管道部分。</w:t>
      </w:r>
    </w:p>
    <w:p w14:paraId="212E4F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综上，本次评价最大可信事故为外部管廊富一氧化碳管道发生泄漏或火灾爆炸事故伴生污染物的排放；基地内天然气管道泄漏或火灾爆炸事故伴生污染物的排放。</w:t>
      </w:r>
    </w:p>
    <w:p w14:paraId="18A5732A">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30"/>
          <w:szCs w:val="30"/>
          <w:highlight w:val="none"/>
          <w:lang w:val="en-US" w:eastAsia="zh-CN"/>
        </w:rPr>
      </w:pPr>
      <w:bookmarkStart w:id="32" w:name="_Toc26693"/>
      <w:r>
        <w:rPr>
          <w:rFonts w:hint="eastAsia" w:ascii="宋体" w:hAnsi="宋体" w:eastAsia="宋体" w:cs="宋体"/>
          <w:b/>
          <w:bCs/>
          <w:color w:val="auto"/>
          <w:sz w:val="30"/>
          <w:szCs w:val="30"/>
          <w:highlight w:val="none"/>
          <w:lang w:val="en-US" w:eastAsia="zh-CN"/>
        </w:rPr>
        <w:t>5.1大气环境风险分析</w:t>
      </w:r>
      <w:bookmarkEnd w:id="32"/>
    </w:p>
    <w:p w14:paraId="59959DC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firstLine="482" w:firstLineChars="200"/>
        <w:jc w:val="both"/>
        <w:textAlignment w:val="auto"/>
        <w:rPr>
          <w:rFonts w:hint="default"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bCs/>
          <w:color w:val="auto"/>
          <w:kern w:val="0"/>
          <w:sz w:val="24"/>
          <w:szCs w:val="24"/>
          <w:highlight w:val="none"/>
          <w:lang w:val="en-US" w:eastAsia="zh-CN" w:bidi="ar-SA"/>
        </w:rPr>
        <w:t>（1）富一氧化碳管线泄漏</w:t>
      </w:r>
    </w:p>
    <w:p w14:paraId="4A1BD2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b w:val="0"/>
          <w:bCs w:val="0"/>
          <w:color w:val="auto"/>
          <w:sz w:val="24"/>
          <w:szCs w:val="24"/>
          <w:highlight w:val="none"/>
          <w:lang w:val="en-US" w:eastAsia="zh-CN"/>
        </w:rPr>
        <w:t>外部管廊富一氧化碳管线一旦发生泄漏，释放出的富一氧化碳气体主要成分包括85%的CO、6.9%的氢气、2.43%的甲烷以及少量氮气等，发生泄漏后，CO为主要的风险物质，因其属于剧毒物质，</w:t>
      </w:r>
      <w:r>
        <w:rPr>
          <w:rFonts w:hint="default" w:ascii="Times New Roman" w:hAnsi="Times New Roman" w:eastAsia="宋体" w:cs="Times New Roman"/>
          <w:color w:val="auto"/>
          <w:kern w:val="0"/>
          <w:sz w:val="24"/>
          <w:szCs w:val="24"/>
          <w:highlight w:val="none"/>
          <w:lang w:val="en-US" w:eastAsia="zh-CN" w:bidi="ar"/>
        </w:rPr>
        <w:t>可致人短时间内昏迷甚至死亡</w:t>
      </w:r>
      <w:r>
        <w:rPr>
          <w:rFonts w:hint="eastAsia" w:ascii="Times New Roman" w:hAnsi="Times New Roman" w:eastAsia="宋体" w:cs="Times New Roman"/>
          <w:color w:val="auto"/>
          <w:kern w:val="0"/>
          <w:sz w:val="24"/>
          <w:szCs w:val="24"/>
          <w:highlight w:val="none"/>
          <w:lang w:val="en-US" w:eastAsia="zh-CN" w:bidi="ar"/>
        </w:rPr>
        <w:t>；泄漏气体一旦发生火灾爆炸，产生的伴生污染物主要为CO</w:t>
      </w:r>
      <w:r>
        <w:rPr>
          <w:rFonts w:hint="eastAsia" w:ascii="Times New Roman" w:hAnsi="Times New Roman" w:eastAsia="宋体" w:cs="Times New Roman"/>
          <w:color w:val="auto"/>
          <w:kern w:val="0"/>
          <w:sz w:val="24"/>
          <w:szCs w:val="24"/>
          <w:highlight w:val="none"/>
          <w:vertAlign w:val="subscript"/>
          <w:lang w:val="en-US" w:eastAsia="zh-CN" w:bidi="ar"/>
        </w:rPr>
        <w:t>2</w:t>
      </w:r>
      <w:r>
        <w:rPr>
          <w:rFonts w:hint="eastAsia" w:ascii="Times New Roman" w:hAnsi="Times New Roman" w:eastAsia="宋体" w:cs="Times New Roman"/>
          <w:color w:val="auto"/>
          <w:kern w:val="0"/>
          <w:sz w:val="24"/>
          <w:szCs w:val="24"/>
          <w:highlight w:val="none"/>
          <w:vertAlign w:val="baseline"/>
          <w:lang w:val="en-US" w:eastAsia="zh-CN" w:bidi="ar"/>
        </w:rPr>
        <w:t>，不会对环境造成影响，主要影响为能量释放造成的安全事故</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因此富一氧化碳气管道环境风险事故主要考虑泄漏事故。</w:t>
      </w:r>
      <w:r>
        <w:rPr>
          <w:rFonts w:hint="default" w:ascii="Times New Roman" w:hAnsi="Times New Roman" w:eastAsia="宋体" w:cs="Times New Roman"/>
          <w:color w:val="auto"/>
          <w:kern w:val="0"/>
          <w:sz w:val="24"/>
          <w:szCs w:val="24"/>
          <w:highlight w:val="none"/>
          <w:lang w:val="en-US" w:eastAsia="zh-CN" w:bidi="ar"/>
        </w:rPr>
        <w:t>本项目管线两侧200m范围内无敏感目标分布，主要影响对象为中试基地或</w:t>
      </w:r>
      <w:r>
        <w:rPr>
          <w:rFonts w:hint="eastAsia" w:ascii="Times New Roman" w:hAnsi="Times New Roman" w:cs="Times New Roman"/>
          <w:color w:val="auto"/>
          <w:szCs w:val="21"/>
          <w:highlight w:val="none"/>
          <w:u w:val="none"/>
          <w:lang w:val="en-US" w:eastAsia="zh-CN"/>
        </w:rPr>
        <w:t>中煤鄂尔多斯能源化工有限公司</w:t>
      </w:r>
      <w:r>
        <w:rPr>
          <w:rFonts w:hint="default" w:ascii="Times New Roman" w:hAnsi="Times New Roman" w:eastAsia="宋体" w:cs="Times New Roman"/>
          <w:color w:val="auto"/>
          <w:kern w:val="0"/>
          <w:sz w:val="24"/>
          <w:szCs w:val="24"/>
          <w:highlight w:val="none"/>
          <w:lang w:val="en-US" w:eastAsia="zh-CN" w:bidi="ar"/>
        </w:rPr>
        <w:t>的作业工人。</w:t>
      </w:r>
    </w:p>
    <w:p w14:paraId="71FA770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Fonts w:hint="eastAsia" w:ascii="Times New Roman" w:hAnsi="Times New Roman" w:eastAsia="宋体" w:cs="Times New Roman"/>
          <w:b w:val="0"/>
          <w:bCs w:val="0"/>
          <w:color w:val="auto"/>
          <w:kern w:val="0"/>
          <w:sz w:val="24"/>
          <w:szCs w:val="24"/>
          <w:highlight w:val="none"/>
          <w:lang w:val="en-US" w:eastAsia="zh-CN" w:bidi="ar-SA"/>
        </w:rPr>
        <w:t>富一氧化碳气体来源于</w:t>
      </w:r>
      <w:r>
        <w:rPr>
          <w:rFonts w:hint="eastAsia" w:ascii="Times New Roman" w:hAnsi="Times New Roman" w:cs="Times New Roman"/>
          <w:color w:val="auto"/>
          <w:szCs w:val="21"/>
          <w:highlight w:val="none"/>
          <w:u w:val="none"/>
          <w:lang w:val="en-US" w:eastAsia="zh-CN"/>
        </w:rPr>
        <w:t>中煤鄂尔多斯能源化工有限公司</w:t>
      </w:r>
      <w:r>
        <w:rPr>
          <w:rFonts w:hint="eastAsia" w:ascii="Times New Roman" w:hAnsi="Times New Roman" w:eastAsia="宋体" w:cs="Times New Roman"/>
          <w:b w:val="0"/>
          <w:bCs w:val="0"/>
          <w:color w:val="auto"/>
          <w:kern w:val="0"/>
          <w:sz w:val="24"/>
          <w:szCs w:val="24"/>
          <w:highlight w:val="none"/>
          <w:lang w:val="en-US" w:eastAsia="zh-CN" w:bidi="ar-SA"/>
        </w:rPr>
        <w:t>，一旦发生泄漏事故，及时切断管道起点阀门，管道最大泄漏量为</w:t>
      </w:r>
      <w:r>
        <w:rPr>
          <w:rFonts w:hint="eastAsia" w:ascii="Times New Roman" w:hAnsi="Times New Roman" w:eastAsia="宋体" w:cs="Times New Roman"/>
          <w:color w:val="auto"/>
          <w:kern w:val="0"/>
          <w:sz w:val="24"/>
          <w:szCs w:val="24"/>
          <w:highlight w:val="none"/>
          <w:lang w:val="en-US" w:eastAsia="zh-CN" w:bidi="ar-SA"/>
        </w:rPr>
        <w:t>0.0069t/h，泄漏量相对较小，且管道位于架空管廊上，气体泄漏后直接排入大气中被稀释，周边无敏感目标分布，因此管道泄漏后环境风险影响可接受。</w:t>
      </w:r>
    </w:p>
    <w:p w14:paraId="22AFE10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jc w:val="both"/>
        <w:textAlignment w:val="auto"/>
        <w:rPr>
          <w:rFonts w:hint="eastAsia" w:ascii="宋体" w:hAnsi="宋体" w:eastAsia="宋体" w:cs="Times New Roman"/>
          <w:b/>
          <w:bCs/>
          <w:color w:val="auto"/>
          <w:kern w:val="0"/>
          <w:sz w:val="24"/>
          <w:szCs w:val="24"/>
          <w:highlight w:val="none"/>
          <w:lang w:val="en-US" w:eastAsia="zh-CN" w:bidi="ar-SA"/>
        </w:rPr>
      </w:pPr>
      <w:r>
        <w:rPr>
          <w:rFonts w:hint="eastAsia" w:ascii="宋体" w:hAnsi="宋体" w:eastAsia="宋体" w:cs="Times New Roman"/>
          <w:b/>
          <w:bCs/>
          <w:color w:val="auto"/>
          <w:kern w:val="0"/>
          <w:sz w:val="24"/>
          <w:szCs w:val="24"/>
          <w:highlight w:val="none"/>
          <w:lang w:val="en-US" w:eastAsia="zh-CN" w:bidi="ar-SA"/>
        </w:rPr>
        <w:t>（2）天然气管线泄漏</w:t>
      </w:r>
    </w:p>
    <w:p w14:paraId="7C62C3D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Fonts w:hint="default" w:ascii="Times New Roman" w:hAnsi="Times New Roman" w:eastAsia="宋体" w:cs="Times New Roman"/>
          <w:b w:val="0"/>
          <w:bCs w:val="0"/>
          <w:color w:val="auto"/>
          <w:kern w:val="0"/>
          <w:sz w:val="24"/>
          <w:szCs w:val="24"/>
          <w:highlight w:val="none"/>
          <w:lang w:val="en-US" w:eastAsia="zh-CN" w:bidi="ar-SA"/>
        </w:rPr>
        <w:t>本项目天然气管线由园区市政管道直接接入</w:t>
      </w:r>
      <w:r>
        <w:rPr>
          <w:rFonts w:hint="eastAsia" w:ascii="Times New Roman" w:hAnsi="Times New Roman" w:eastAsia="宋体" w:cs="Times New Roman"/>
          <w:b w:val="0"/>
          <w:bCs w:val="0"/>
          <w:color w:val="auto"/>
          <w:kern w:val="0"/>
          <w:sz w:val="24"/>
          <w:szCs w:val="24"/>
          <w:highlight w:val="none"/>
          <w:lang w:val="en-US" w:eastAsia="zh-CN" w:bidi="ar-SA"/>
        </w:rPr>
        <w:t>基地</w:t>
      </w:r>
      <w:r>
        <w:rPr>
          <w:rFonts w:hint="default" w:ascii="Times New Roman" w:hAnsi="Times New Roman" w:eastAsia="宋体" w:cs="Times New Roman"/>
          <w:b w:val="0"/>
          <w:bCs w:val="0"/>
          <w:color w:val="auto"/>
          <w:kern w:val="0"/>
          <w:sz w:val="24"/>
          <w:szCs w:val="24"/>
          <w:highlight w:val="none"/>
          <w:lang w:val="en-US" w:eastAsia="zh-CN" w:bidi="ar-SA"/>
        </w:rPr>
        <w:t>内管廊，天然气基本不含硫化氢气体。天然气管线由管廊接入各用气车间，均设置截断阀控制。</w:t>
      </w:r>
    </w:p>
    <w:p w14:paraId="22352EA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在管道运行过程中，若管线发生破损，天然气外泄将造成泄漏区周边局部区域的甲烷浓度急剧上升，则可能引起区域内的操作人员发生中毒事故。但由于厂内管廊天然气管道设置有多道切断阀，通过及时关闭最近的切断阀，可有效减少天然气泄漏量，避免中毒的发生。且管道泄漏时间短，泄漏的天然气直接排入高空，经稀释扩散，不会对环境空气造成长时间污染影响。</w:t>
      </w:r>
    </w:p>
    <w:p w14:paraId="0320692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天然气泄漏并发生火灾爆炸时，其燃烧主要产生CO</w:t>
      </w:r>
      <w:r>
        <w:rPr>
          <w:rFonts w:hint="default" w:ascii="Times New Roman" w:hAnsi="Times New Roman" w:eastAsia="宋体" w:cs="Times New Roman"/>
          <w:color w:val="auto"/>
          <w:kern w:val="0"/>
          <w:sz w:val="24"/>
          <w:szCs w:val="24"/>
          <w:highlight w:val="none"/>
          <w:vertAlign w:val="subscript"/>
          <w:lang w:val="en-US" w:eastAsia="zh-CN" w:bidi="ar"/>
        </w:rPr>
        <w:t>2</w:t>
      </w:r>
      <w:r>
        <w:rPr>
          <w:rFonts w:hint="default" w:ascii="Times New Roman" w:hAnsi="Times New Roman" w:eastAsia="宋体" w:cs="Times New Roman"/>
          <w:color w:val="auto"/>
          <w:kern w:val="0"/>
          <w:sz w:val="24"/>
          <w:szCs w:val="24"/>
          <w:highlight w:val="none"/>
          <w:lang w:val="en-US" w:eastAsia="zh-CN" w:bidi="ar"/>
        </w:rPr>
        <w:t>和水，同时产生少量的CO和氮氧化物。人体吸入一氧化碳会首先与血红蛋白结合，导致氧气不能和血红蛋白结合，人可能会因为缺氧而窒息死亡。管道火灾或爆炸事故发生区域一般在开阔地段，发生爆炸后利用于有害物质扩散，不会长期影响空气质量，对项目拟建地周围环境不会造成较大污染，对周边居民影响较小。</w:t>
      </w:r>
    </w:p>
    <w:p w14:paraId="6F7E96F0">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
        </w:rPr>
        <w:t>天然气燃烧爆炸的能量释放对周边环境的破坏属于安全事故，本次不予评价分析。</w:t>
      </w:r>
    </w:p>
    <w:p w14:paraId="7B642DDB">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30"/>
          <w:szCs w:val="30"/>
          <w:highlight w:val="none"/>
          <w:lang w:val="en-US" w:eastAsia="zh-CN"/>
        </w:rPr>
      </w:pPr>
      <w:bookmarkStart w:id="33" w:name="_Toc12272"/>
      <w:r>
        <w:rPr>
          <w:rFonts w:hint="default" w:ascii="宋体" w:hAnsi="宋体" w:eastAsia="宋体" w:cs="宋体"/>
          <w:b/>
          <w:bCs/>
          <w:color w:val="auto"/>
          <w:sz w:val="30"/>
          <w:szCs w:val="30"/>
          <w:highlight w:val="none"/>
          <w:lang w:val="en-US" w:eastAsia="zh-CN"/>
        </w:rPr>
        <w:t>5.2地表水及地下水环境风险分析</w:t>
      </w:r>
      <w:bookmarkEnd w:id="33"/>
    </w:p>
    <w:p w14:paraId="68C0E6A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本项目各危险物质管道均为架空管廊铺设，气体泄漏直接排入大气中被稀释扩散，且基本不会沉降至地面，因此不会对地表水造成污染；火灾爆炸事故产生的消防废水仅汇集于管道源有限区域内，且通过及时清运，不会造成地表漫流和下渗，基本不会对地表水、地下水造成影响。</w:t>
      </w:r>
    </w:p>
    <w:p w14:paraId="16A0EC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Times New Roman"/>
          <w:b w:val="0"/>
          <w:bCs w:val="0"/>
          <w:color w:val="auto"/>
          <w:kern w:val="0"/>
          <w:sz w:val="24"/>
          <w:szCs w:val="24"/>
          <w:highlight w:val="none"/>
          <w:lang w:val="en-US" w:eastAsia="zh-CN" w:bidi="ar-SA"/>
        </w:rPr>
      </w:pPr>
      <w:r>
        <w:rPr>
          <w:rFonts w:hint="eastAsia" w:ascii="宋体" w:hAnsi="宋体" w:eastAsia="宋体" w:cs="Times New Roman"/>
          <w:b w:val="0"/>
          <w:bCs w:val="0"/>
          <w:color w:val="auto"/>
          <w:kern w:val="0"/>
          <w:sz w:val="24"/>
          <w:szCs w:val="24"/>
          <w:highlight w:val="none"/>
          <w:lang w:val="en-US" w:eastAsia="zh-CN" w:bidi="ar-SA"/>
        </w:rPr>
        <w:t>危废库贮存的危险废物</w:t>
      </w:r>
      <w:r>
        <w:rPr>
          <w:rFonts w:ascii="宋体" w:hAnsi="宋体" w:eastAsia="宋体" w:cs="宋体"/>
          <w:color w:val="auto"/>
          <w:kern w:val="0"/>
          <w:sz w:val="24"/>
          <w:szCs w:val="24"/>
          <w:highlight w:val="none"/>
          <w:lang w:val="en-US" w:eastAsia="zh-CN" w:bidi="ar"/>
        </w:rPr>
        <w:t>选用合适的</w:t>
      </w:r>
      <w:r>
        <w:rPr>
          <w:rFonts w:hint="eastAsia" w:ascii="宋体" w:hAnsi="宋体" w:eastAsia="宋体" w:cs="宋体"/>
          <w:color w:val="auto"/>
          <w:kern w:val="0"/>
          <w:sz w:val="24"/>
          <w:szCs w:val="24"/>
          <w:highlight w:val="none"/>
          <w:lang w:val="en-US" w:eastAsia="zh-CN" w:bidi="ar"/>
        </w:rPr>
        <w:t>闭口</w:t>
      </w:r>
      <w:r>
        <w:rPr>
          <w:rFonts w:ascii="宋体" w:hAnsi="宋体" w:eastAsia="宋体" w:cs="宋体"/>
          <w:color w:val="auto"/>
          <w:kern w:val="0"/>
          <w:sz w:val="24"/>
          <w:szCs w:val="24"/>
          <w:highlight w:val="none"/>
          <w:lang w:val="en-US" w:eastAsia="zh-CN" w:bidi="ar"/>
        </w:rPr>
        <w:t>容器收集</w:t>
      </w:r>
      <w:r>
        <w:rPr>
          <w:rFonts w:hint="eastAsia" w:ascii="宋体" w:hAnsi="宋体" w:eastAsia="宋体" w:cs="宋体"/>
          <w:color w:val="auto"/>
          <w:kern w:val="0"/>
          <w:sz w:val="24"/>
          <w:szCs w:val="24"/>
          <w:highlight w:val="none"/>
          <w:lang w:val="en-US" w:eastAsia="zh-CN" w:bidi="ar"/>
        </w:rPr>
        <w:t>盛装</w:t>
      </w:r>
      <w:r>
        <w:rPr>
          <w:rFonts w:hint="eastAsia" w:ascii="宋体" w:hAnsi="宋体" w:eastAsia="宋体" w:cs="Times New Roman"/>
          <w:b w:val="0"/>
          <w:bCs w:val="0"/>
          <w:color w:val="auto"/>
          <w:kern w:val="0"/>
          <w:sz w:val="24"/>
          <w:szCs w:val="24"/>
          <w:highlight w:val="none"/>
          <w:lang w:val="en-US" w:eastAsia="zh-CN" w:bidi="ar-SA"/>
        </w:rPr>
        <w:t>，库房地面采取了严格的防渗和收集措施，一般的撒漏不会对地下水产生影响；火灾事故产生的消防废水被基地内的事故水池收集，不会产生漫流，不会造成地表水体污染。</w:t>
      </w:r>
    </w:p>
    <w:p w14:paraId="462AE5CA">
      <w:pPr>
        <w:pStyle w:val="2"/>
        <w:bidi w:val="0"/>
        <w:rPr>
          <w:rFonts w:hint="default" w:ascii="宋体" w:hAnsi="宋体" w:eastAsia="宋体" w:cs="宋体"/>
          <w:b/>
          <w:bCs/>
          <w:color w:val="auto"/>
          <w:sz w:val="32"/>
          <w:szCs w:val="32"/>
          <w:highlight w:val="none"/>
          <w:lang w:val="en-US" w:eastAsia="zh-CN"/>
        </w:rPr>
      </w:pPr>
      <w:bookmarkStart w:id="34" w:name="_Toc30332"/>
      <w:r>
        <w:rPr>
          <w:rFonts w:hint="eastAsia" w:ascii="宋体" w:hAnsi="宋体" w:eastAsia="宋体" w:cs="宋体"/>
          <w:b/>
          <w:bCs/>
          <w:color w:val="auto"/>
          <w:sz w:val="32"/>
          <w:szCs w:val="32"/>
          <w:highlight w:val="none"/>
          <w:lang w:val="en-US" w:eastAsia="zh-CN"/>
        </w:rPr>
        <w:t>6.环境风险防范措施及应急要求</w:t>
      </w:r>
      <w:bookmarkEnd w:id="34"/>
    </w:p>
    <w:p w14:paraId="746DD6AF">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30"/>
          <w:szCs w:val="30"/>
          <w:highlight w:val="none"/>
          <w:lang w:val="en-US" w:eastAsia="zh-CN"/>
        </w:rPr>
      </w:pPr>
      <w:bookmarkStart w:id="35" w:name="_Toc11878"/>
      <w:r>
        <w:rPr>
          <w:rFonts w:hint="default" w:ascii="宋体" w:hAnsi="宋体" w:eastAsia="宋体" w:cs="宋体"/>
          <w:b/>
          <w:bCs/>
          <w:color w:val="auto"/>
          <w:sz w:val="30"/>
          <w:szCs w:val="30"/>
          <w:highlight w:val="none"/>
          <w:lang w:val="en-US" w:eastAsia="zh-CN"/>
        </w:rPr>
        <w:t>6.1环境风险防范措施</w:t>
      </w:r>
      <w:bookmarkEnd w:id="35"/>
    </w:p>
    <w:p w14:paraId="1110B3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（1）各管道材料应严格按照设计要求选取，</w:t>
      </w:r>
      <w:r>
        <w:rPr>
          <w:rFonts w:hint="default" w:ascii="Times New Roman" w:hAnsi="Times New Roman" w:eastAsia="宋体" w:cs="Times New Roman"/>
          <w:b w:val="0"/>
          <w:bCs w:val="0"/>
          <w:color w:val="auto"/>
          <w:kern w:val="0"/>
          <w:sz w:val="24"/>
          <w:szCs w:val="24"/>
          <w:highlight w:val="none"/>
          <w:lang w:val="en-US" w:eastAsia="zh-CN" w:bidi="ar"/>
        </w:rPr>
        <w:t>如天然气管道常用X70/X80钢级钢管；富一氧化碳气管道需考虑耐腐蚀性；氢气管道需选用抗氢脆材料，避免氢渗透导致材料性能劣化。</w:t>
      </w:r>
    </w:p>
    <w:p w14:paraId="38DC411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（2）管道</w:t>
      </w:r>
      <w:r>
        <w:rPr>
          <w:rFonts w:hint="default" w:ascii="Times New Roman" w:hAnsi="Times New Roman" w:eastAsia="宋体" w:cs="Times New Roman"/>
          <w:b w:val="0"/>
          <w:bCs w:val="0"/>
          <w:color w:val="auto"/>
          <w:kern w:val="0"/>
          <w:sz w:val="24"/>
          <w:szCs w:val="24"/>
          <w:highlight w:val="none"/>
          <w:lang w:val="en-US" w:eastAsia="zh-CN" w:bidi="ar"/>
        </w:rPr>
        <w:t>设计压力、壁厚满足最大操作压力1.5倍以上的安全系数，设置冗余支撑结构（如支架、吊架），减少振动疲劳开裂风险。</w:t>
      </w:r>
    </w:p>
    <w:p w14:paraId="6507F02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kern w:val="0"/>
          <w:sz w:val="24"/>
          <w:szCs w:val="24"/>
          <w:highlight w:val="none"/>
          <w:lang w:val="en-US" w:eastAsia="zh-CN" w:bidi="ar"/>
        </w:rPr>
        <w:t>采用3PE（三层聚乙烯）或环氧粉末涂层，结合阴极保护（牺牲阳极或外加电流），定期检测防腐层完整性（如PCM检测、DCVG直流电压梯度法）。</w:t>
      </w:r>
    </w:p>
    <w:p w14:paraId="7339913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sz w:val="24"/>
          <w:szCs w:val="24"/>
          <w:highlight w:val="none"/>
          <w:lang w:val="en-US" w:eastAsia="zh-CN"/>
        </w:rPr>
        <w:t>（4）</w:t>
      </w:r>
      <w:r>
        <w:rPr>
          <w:rFonts w:hint="default" w:ascii="Times New Roman" w:hAnsi="Times New Roman" w:eastAsia="宋体" w:cs="Times New Roman"/>
          <w:b w:val="0"/>
          <w:bCs w:val="0"/>
          <w:color w:val="auto"/>
          <w:kern w:val="0"/>
          <w:sz w:val="24"/>
          <w:szCs w:val="24"/>
          <w:highlight w:val="none"/>
          <w:lang w:val="en-US" w:eastAsia="zh-CN" w:bidi="ar"/>
        </w:rPr>
        <w:t>安装在线监测设备；关键节点（阀门、焊缝、穿跨越段）设置可燃/有毒气体探测器及联动报警装置。</w:t>
      </w:r>
    </w:p>
    <w:p w14:paraId="667995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color w:val="auto"/>
          <w:kern w:val="0"/>
          <w:sz w:val="24"/>
          <w:szCs w:val="24"/>
          <w:highlight w:val="none"/>
          <w:lang w:val="en-US" w:eastAsia="zh-CN" w:bidi="ar"/>
        </w:rPr>
      </w:pPr>
      <w:r>
        <w:rPr>
          <w:rFonts w:hint="eastAsia" w:ascii="Times New Roman" w:hAnsi="Times New Roman" w:eastAsia="宋体" w:cs="Times New Roman"/>
          <w:b w:val="0"/>
          <w:bCs w:val="0"/>
          <w:color w:val="auto"/>
          <w:kern w:val="0"/>
          <w:sz w:val="24"/>
          <w:szCs w:val="24"/>
          <w:highlight w:val="none"/>
          <w:lang w:val="en-US" w:eastAsia="zh-CN" w:bidi="ar"/>
        </w:rPr>
        <w:t>（5）设置</w:t>
      </w:r>
      <w:r>
        <w:rPr>
          <w:rFonts w:ascii="宋体" w:hAnsi="宋体" w:eastAsia="宋体" w:cs="宋体"/>
          <w:color w:val="auto"/>
          <w:kern w:val="0"/>
          <w:sz w:val="24"/>
          <w:szCs w:val="24"/>
          <w:highlight w:val="none"/>
          <w:lang w:val="en-US" w:eastAsia="zh-CN" w:bidi="ar"/>
        </w:rPr>
        <w:t>管道跨接接地（接地电阻≤10Ω），避免静电积聚；周边禁止明火、高温作业。</w:t>
      </w:r>
    </w:p>
    <w:p w14:paraId="0F7C33D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highlight w:val="none"/>
          <w:lang w:val="en-US" w:eastAsia="zh-CN" w:bidi="ar"/>
        </w:rPr>
      </w:pPr>
      <w:r>
        <w:rPr>
          <w:rFonts w:hint="eastAsia" w:ascii="Times New Roman" w:hAnsi="Times New Roman" w:eastAsia="宋体" w:cs="Times New Roman"/>
          <w:b w:val="0"/>
          <w:bCs w:val="0"/>
          <w:color w:val="auto"/>
          <w:kern w:val="0"/>
          <w:sz w:val="24"/>
          <w:szCs w:val="24"/>
          <w:highlight w:val="none"/>
          <w:lang w:val="en-US" w:eastAsia="zh-CN" w:bidi="ar"/>
        </w:rPr>
        <w:t>（6）危废库作为重点防渗区，严格按照</w:t>
      </w:r>
      <w:r>
        <w:rPr>
          <w:rFonts w:hint="default" w:ascii="Times New Roman" w:hAnsi="Times New Roman" w:eastAsia="宋体" w:cs="Times New Roman"/>
          <w:b w:val="0"/>
          <w:bCs w:val="0"/>
          <w:color w:val="auto"/>
          <w:kern w:val="0"/>
          <w:sz w:val="24"/>
          <w:szCs w:val="24"/>
          <w:highlight w:val="none"/>
          <w:lang w:val="en-US" w:eastAsia="zh-CN" w:bidi="ar"/>
        </w:rPr>
        <w:t>《危险废物贮存污染控制标准》（GB18597-2023）要求</w:t>
      </w:r>
      <w:r>
        <w:rPr>
          <w:rFonts w:hint="eastAsia" w:ascii="Times New Roman" w:hAnsi="Times New Roman" w:eastAsia="宋体" w:cs="Times New Roman"/>
          <w:b w:val="0"/>
          <w:bCs w:val="0"/>
          <w:color w:val="auto"/>
          <w:kern w:val="0"/>
          <w:sz w:val="24"/>
          <w:szCs w:val="24"/>
          <w:highlight w:val="none"/>
          <w:lang w:val="en-US" w:eastAsia="zh-CN" w:bidi="ar"/>
        </w:rPr>
        <w:t>建设，满足防风、防晒、防雨、防渗要求。</w:t>
      </w:r>
    </w:p>
    <w:p w14:paraId="34CBE77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（7）建设事故应急水池用于环境风险事故状态下收集可能产生的消防废水，避免废水漫流影响地表水。</w:t>
      </w:r>
    </w:p>
    <w:p w14:paraId="57A43989">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30"/>
          <w:szCs w:val="30"/>
          <w:highlight w:val="none"/>
          <w:lang w:val="en-US" w:eastAsia="zh-CN"/>
        </w:rPr>
      </w:pPr>
      <w:bookmarkStart w:id="36" w:name="_Toc30573"/>
      <w:r>
        <w:rPr>
          <w:rFonts w:hint="default" w:ascii="宋体" w:hAnsi="宋体" w:eastAsia="宋体" w:cs="宋体"/>
          <w:b/>
          <w:bCs/>
          <w:color w:val="auto"/>
          <w:sz w:val="30"/>
          <w:szCs w:val="30"/>
          <w:highlight w:val="none"/>
          <w:lang w:val="en-US" w:eastAsia="zh-CN"/>
        </w:rPr>
        <w:t>6</w:t>
      </w:r>
      <w:r>
        <w:rPr>
          <w:rFonts w:hint="eastAsia" w:ascii="宋体" w:hAnsi="宋体" w:eastAsia="宋体" w:cs="宋体"/>
          <w:b/>
          <w:bCs/>
          <w:color w:val="auto"/>
          <w:sz w:val="30"/>
          <w:szCs w:val="30"/>
          <w:highlight w:val="none"/>
          <w:lang w:val="en-US" w:eastAsia="zh-CN"/>
        </w:rPr>
        <w:t>.2应急要求</w:t>
      </w:r>
      <w:bookmarkEnd w:id="36"/>
    </w:p>
    <w:p w14:paraId="236A46B4">
      <w:pPr>
        <w:keepNext w:val="0"/>
        <w:keepLines w:val="0"/>
        <w:pageBreakBefore w:val="0"/>
        <w:widowControl/>
        <w:suppressLineNumbers w:val="0"/>
        <w:kinsoku/>
        <w:wordWrap/>
        <w:overflowPunct/>
        <w:topLinePunct w:val="0"/>
        <w:autoSpaceDE/>
        <w:autoSpaceDN/>
        <w:bidi w:val="0"/>
        <w:adjustRightInd/>
        <w:snapToGrid/>
        <w:spacing w:line="360" w:lineRule="auto"/>
        <w:ind w:firstLine="500" w:firstLineChars="200"/>
        <w:jc w:val="left"/>
        <w:textAlignment w:val="auto"/>
        <w:rPr>
          <w:rFonts w:hint="eastAsia" w:ascii="宋体" w:hAnsi="宋体" w:eastAsia="宋体" w:cs="宋体"/>
          <w:color w:val="auto"/>
          <w:kern w:val="0"/>
          <w:sz w:val="25"/>
          <w:szCs w:val="25"/>
          <w:highlight w:val="none"/>
          <w:lang w:val="en-US" w:eastAsia="zh-CN" w:bidi="ar"/>
        </w:rPr>
      </w:pPr>
      <w:r>
        <w:rPr>
          <w:rFonts w:hint="eastAsia" w:ascii="宋体" w:hAnsi="宋体" w:eastAsia="宋体" w:cs="宋体"/>
          <w:color w:val="auto"/>
          <w:kern w:val="0"/>
          <w:sz w:val="25"/>
          <w:szCs w:val="25"/>
          <w:highlight w:val="none"/>
          <w:lang w:val="en-US" w:eastAsia="zh-CN" w:bidi="ar"/>
        </w:rPr>
        <w:t>本项目建成后，应配备充足应急物资，并及时编制企业突发环境事件应急预案，并要求后续入驻的中试项目编制独立的应急预案，与本项目应急预案形成联动。</w:t>
      </w:r>
    </w:p>
    <w:p w14:paraId="50D95660">
      <w:pPr>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
        </w:rPr>
        <w:t>（1）基地配备充足的应急物资，包括灭火器、消防沙、防毒面具、防护眼镜、防护服、防护手套、安全绳；便携式气体检测仪、检漏液（肥皂水等）；盲板、法兰、橡胶塞、防爆扳手、密封带等。</w:t>
      </w:r>
    </w:p>
    <w:p w14:paraId="1FA7614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（2）制定应急预案</w:t>
      </w:r>
    </w:p>
    <w:p w14:paraId="483C9E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kern w:val="0"/>
          <w:sz w:val="24"/>
          <w:szCs w:val="24"/>
          <w:highlight w:val="none"/>
          <w:lang w:val="en-US" w:eastAsia="zh-CN" w:bidi="ar"/>
        </w:rPr>
        <w:t>编制企业突发环境事件应急预案，应急预案应满足以下要求：</w:t>
      </w:r>
    </w:p>
    <w:p w14:paraId="259FB37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Ⅰ</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 xml:space="preserve">应急预案应包括但不限于以下内容： </w:t>
      </w:r>
    </w:p>
    <w:p w14:paraId="74E2082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①说明工程所处的地理位置及周边情况（占地面积、居民情况、气象状况等）、生产规模与现状、道路及运输情况等内容。 </w:t>
      </w:r>
    </w:p>
    <w:p w14:paraId="0C2AC80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②明确危险源的数量及分布。 </w:t>
      </w:r>
    </w:p>
    <w:p w14:paraId="65A5B93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③确定应急救援指挥机构的设置和职责，准备必要装备并确定通讯联络和联络方式，组织应急救援专业队伍，明确他们的任务；明确应急预案演练计划，并按照计划定期进行演练。 </w:t>
      </w:r>
    </w:p>
    <w:p w14:paraId="04CEFB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④对应急救援人员进行培训，对周边人员进行应急响应知识的宣传。 </w:t>
      </w:r>
    </w:p>
    <w:p w14:paraId="1B1D98D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⑤建设单位在造成或者可能造成突发环境事件时，应当立即启动突发环境事件应急预案，采取切断或者控制污染源以及其他防止危害扩大的必要措施，及时通报可能受到危害的单位和居民，并向事发地县级以上环境保护主管部门报告，接受调查处理。</w:t>
      </w:r>
    </w:p>
    <w:p w14:paraId="504B6F5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⑥发生事故后，对受伤人员进行及时有效的现场医疗救护，应立即与当地环境监测站取得联系，并对事故现场进行监测和流动监测；抢险人员应根据事先拟定的方案，在做好个人防护的技术基础上，以最快的速度及时堵漏排险、消灭事故。 </w:t>
      </w:r>
    </w:p>
    <w:p w14:paraId="37FE89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⑦发生重大事故可能对人群安全构成威胁时，必须在指挥部统一指挥下，紧急疏散与事故应急救援无关的人员，疏散方向、距离和集中地点，必须根据不同事故，作出具体规定。总的原则是疏散安全点处于当地当时的上风向。</w:t>
      </w:r>
    </w:p>
    <w:p w14:paraId="291B35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⑧一旦发生重大事故，建设单位抢险救援力量不足或有可能危及社会安全时，指挥部必须立即向上级和相邻单位通报，必要时请求社会力量援助。 </w:t>
      </w:r>
    </w:p>
    <w:p w14:paraId="454ED60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⑨应急处置工作结束后，确定事故应急救援工作结束，通知本单位相关部门、周边居民及人员，事故危险已解除。</w:t>
      </w:r>
    </w:p>
    <w:p w14:paraId="42605EE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Ⅱ</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 xml:space="preserve">应急预案执行要求： </w:t>
      </w:r>
    </w:p>
    <w:p w14:paraId="511B22F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①针对本工程实际情况，在修订事故应急预案时，应建立完善的事故救援通讯网络，加强与地方相关部门的联系，及时变更联系方式。 </w:t>
      </w:r>
    </w:p>
    <w:p w14:paraId="0662057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②建设单位在组织编制事故应急预案时，应将附近居民、单位纳入其中，在组织演练时，应召集附近居民进行配合演习；应定期开展应急演练，撰写演练评估报告，分析存在问题，并根据演练情况及时修改完善应急预案。 </w:t>
      </w:r>
    </w:p>
    <w:p w14:paraId="6A89300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③建设单位应当将突发环境事件应急培训纳入单位工作计划，对从业人员定期进行突发环境事件应急知识和技能培训，并建立培训档案，如实记录培训的时间、内容、参加人员等信息。</w:t>
      </w:r>
    </w:p>
    <w:p w14:paraId="5B9AA218">
      <w:pPr>
        <w:pStyle w:val="3"/>
        <w:keepNext/>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color w:val="auto"/>
          <w:sz w:val="30"/>
          <w:szCs w:val="30"/>
          <w:highlight w:val="none"/>
          <w:lang w:val="en-US" w:eastAsia="zh-CN"/>
        </w:rPr>
      </w:pPr>
      <w:r>
        <w:rPr>
          <w:rFonts w:hint="default" w:ascii="宋体" w:hAnsi="宋体" w:eastAsia="宋体" w:cs="宋体"/>
          <w:b/>
          <w:bCs/>
          <w:color w:val="auto"/>
          <w:sz w:val="30"/>
          <w:szCs w:val="30"/>
          <w:highlight w:val="none"/>
          <w:lang w:val="en-US" w:eastAsia="zh-CN"/>
        </w:rPr>
        <w:t>6</w:t>
      </w:r>
      <w:r>
        <w:rPr>
          <w:rFonts w:hint="eastAsia" w:ascii="宋体" w:hAnsi="宋体" w:eastAsia="宋体" w:cs="宋体"/>
          <w:b/>
          <w:bCs/>
          <w:color w:val="auto"/>
          <w:sz w:val="30"/>
          <w:szCs w:val="30"/>
          <w:highlight w:val="none"/>
          <w:lang w:val="en-US" w:eastAsia="zh-CN"/>
        </w:rPr>
        <w:t>.3应急监测计划</w:t>
      </w:r>
    </w:p>
    <w:p w14:paraId="7D9EE2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1）适用范围 </w:t>
      </w:r>
    </w:p>
    <w:p w14:paraId="5C031C0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适用项目范围内发生的环保事故和应急情况的监测。 </w:t>
      </w:r>
    </w:p>
    <w:p w14:paraId="667CF2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2）应急监测措施 </w:t>
      </w:r>
    </w:p>
    <w:p w14:paraId="209717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（1）环保监测站接到环保事故信息后，根据接报的情况判断可能的污染物质，进行应急准备，并立即组织有关人员，分别进行现场的监测采样和实验室的准备工作。 </w:t>
      </w:r>
    </w:p>
    <w:p w14:paraId="0262C5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①人员及采样容器准备。技术人员1名、实验室人员1名、采样人员2名，采样容器要备足。 </w:t>
      </w:r>
    </w:p>
    <w:p w14:paraId="212D7C9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②化验室分析人员取样后，应快速、准确的完成样品的分析，出具数据和保存，并保留样品。 </w:t>
      </w:r>
    </w:p>
    <w:p w14:paraId="2D2676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（2）化验室在接到环境事故信息后，必须在最短时间内到达目的地采样。 </w:t>
      </w:r>
    </w:p>
    <w:p w14:paraId="5E33671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（3）当对某种污染物缺少监测手段时，安全环保科负责对外请求支援的联系与协调。 </w:t>
      </w:r>
    </w:p>
    <w:p w14:paraId="3E85052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（4）监测数据可用电话或书面的形式以最快速度上报应急指挥中心。 </w:t>
      </w:r>
    </w:p>
    <w:p w14:paraId="34810F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（5）应急监测应做到当事故发生直到事故最终处理终结的全过程监测，其监测频次以满足较少损失和事故处理以及事故发生后的生产恢复的需求。</w:t>
      </w:r>
    </w:p>
    <w:p w14:paraId="4E0A84C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3）应急监测布点原则 </w:t>
      </w:r>
    </w:p>
    <w:p w14:paraId="3B2C7E8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根据《突发环境事件应急监测技术规范》（HJ 589-2021）中6.2.1布点原则，采样断面（点）的设置一般以突发环境事件发生地及可能受影响的环境区域为主，同时应注重人群和生活环境、事件发生地周围重要生态环境保护目标及环境敏感点，重点关注对饮用水水源地、人群活动区域的空气、农田土壤、自然保护区、风景名胜区及其他需要特殊保护的区域的影响，合理设置监测断面（点），判断污染团（带）位置、反映污染变化趋势、了解应急处置效果。 </w:t>
      </w:r>
    </w:p>
    <w:p w14:paraId="3C9414D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应根据突发环境事件应急处置情况动态及时更新调整布设点位。对被突发环境事件所污染的地表水、大气、土壤和地下水应设置对照断面（点）、控制断面（点），对地表水和地下水还应设置削减断面（点），布点要确保能够获取足够的有代表性的信息，同时应考虑采样的安全性和可行性。对突发环境事件固定污染源和移动污染源的应急监测，应根据现场的具体情况布设采样断面（点）。</w:t>
      </w:r>
    </w:p>
    <w:p w14:paraId="46BDD0B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4）应急监测方案</w:t>
      </w:r>
    </w:p>
    <w:p w14:paraId="2F3D297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本项目环境风险应急监测方案详见表6-1。</w:t>
      </w:r>
    </w:p>
    <w:p w14:paraId="3F6E1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kern w:val="0"/>
          <w:sz w:val="24"/>
          <w:szCs w:val="24"/>
          <w:highlight w:val="none"/>
          <w:lang w:val="en-US" w:eastAsia="zh-CN" w:bidi="ar"/>
        </w:rPr>
        <w:t>表6-1</w:t>
      </w:r>
      <w:r>
        <w:rPr>
          <w:rFonts w:hint="eastAsia" w:ascii="Times New Roman" w:hAnsi="Times New Roman" w:eastAsia="宋体" w:cs="Times New Roman"/>
          <w:b/>
          <w:bCs/>
          <w:color w:val="auto"/>
          <w:kern w:val="0"/>
          <w:sz w:val="24"/>
          <w:szCs w:val="24"/>
          <w:highlight w:val="none"/>
          <w:lang w:val="en-US" w:eastAsia="zh-CN" w:bidi="ar"/>
        </w:rPr>
        <w:t xml:space="preserve">    </w:t>
      </w:r>
      <w:r>
        <w:rPr>
          <w:rFonts w:hint="default" w:ascii="Times New Roman" w:hAnsi="Times New Roman" w:eastAsia="宋体" w:cs="Times New Roman"/>
          <w:b/>
          <w:bCs/>
          <w:color w:val="auto"/>
          <w:kern w:val="0"/>
          <w:sz w:val="24"/>
          <w:szCs w:val="24"/>
          <w:highlight w:val="none"/>
          <w:lang w:val="en-US" w:eastAsia="zh-CN" w:bidi="ar"/>
        </w:rPr>
        <w:t>风险事故情况下环境应急监测方案一览表</w:t>
      </w:r>
    </w:p>
    <w:tbl>
      <w:tblPr>
        <w:tblStyle w:val="25"/>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647"/>
        <w:gridCol w:w="677"/>
        <w:gridCol w:w="805"/>
        <w:gridCol w:w="1054"/>
        <w:gridCol w:w="1148"/>
        <w:gridCol w:w="2406"/>
        <w:gridCol w:w="1191"/>
      </w:tblGrid>
      <w:tr w14:paraId="59310F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tcBorders>
              <w:tl2br w:val="nil"/>
              <w:tr2bl w:val="nil"/>
            </w:tcBorders>
            <w:noWrap w:val="0"/>
            <w:vAlign w:val="center"/>
          </w:tcPr>
          <w:p w14:paraId="6346614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事件</w:t>
            </w:r>
          </w:p>
        </w:tc>
        <w:tc>
          <w:tcPr>
            <w:tcW w:w="684" w:type="dxa"/>
            <w:tcBorders>
              <w:tl2br w:val="nil"/>
              <w:tr2bl w:val="nil"/>
            </w:tcBorders>
            <w:noWrap w:val="0"/>
            <w:vAlign w:val="center"/>
          </w:tcPr>
          <w:p w14:paraId="7E8B8C6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监测要素</w:t>
            </w:r>
          </w:p>
        </w:tc>
        <w:tc>
          <w:tcPr>
            <w:tcW w:w="1590" w:type="dxa"/>
            <w:gridSpan w:val="2"/>
            <w:tcBorders>
              <w:tl2br w:val="nil"/>
              <w:tr2bl w:val="nil"/>
            </w:tcBorders>
            <w:noWrap w:val="0"/>
            <w:vAlign w:val="center"/>
          </w:tcPr>
          <w:p w14:paraId="6C9CB3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监测点位</w:t>
            </w:r>
          </w:p>
        </w:tc>
        <w:tc>
          <w:tcPr>
            <w:tcW w:w="1125" w:type="dxa"/>
            <w:tcBorders>
              <w:tl2br w:val="nil"/>
              <w:tr2bl w:val="nil"/>
            </w:tcBorders>
            <w:noWrap w:val="0"/>
            <w:vAlign w:val="center"/>
          </w:tcPr>
          <w:p w14:paraId="27A70D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监测项目</w:t>
            </w:r>
          </w:p>
        </w:tc>
        <w:tc>
          <w:tcPr>
            <w:tcW w:w="1215" w:type="dxa"/>
            <w:tcBorders>
              <w:tl2br w:val="nil"/>
              <w:tr2bl w:val="nil"/>
            </w:tcBorders>
            <w:noWrap w:val="0"/>
            <w:vAlign w:val="center"/>
          </w:tcPr>
          <w:p w14:paraId="0F7FF8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p>
        </w:tc>
        <w:tc>
          <w:tcPr>
            <w:tcW w:w="2503" w:type="dxa"/>
            <w:tcBorders>
              <w:tl2br w:val="nil"/>
              <w:tr2bl w:val="nil"/>
            </w:tcBorders>
            <w:noWrap w:val="0"/>
            <w:vAlign w:val="center"/>
          </w:tcPr>
          <w:p w14:paraId="49F2C1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执行标准</w:t>
            </w:r>
          </w:p>
        </w:tc>
        <w:tc>
          <w:tcPr>
            <w:tcW w:w="1320" w:type="dxa"/>
            <w:tcBorders>
              <w:tl2br w:val="nil"/>
              <w:tr2bl w:val="nil"/>
            </w:tcBorders>
            <w:noWrap w:val="0"/>
            <w:vAlign w:val="center"/>
          </w:tcPr>
          <w:p w14:paraId="4B5A79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监测方式</w:t>
            </w:r>
          </w:p>
        </w:tc>
      </w:tr>
      <w:tr w14:paraId="5A6CB1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vMerge w:val="restart"/>
            <w:tcBorders>
              <w:tl2br w:val="nil"/>
              <w:tr2bl w:val="nil"/>
            </w:tcBorders>
            <w:noWrap w:val="0"/>
            <w:vAlign w:val="center"/>
          </w:tcPr>
          <w:p w14:paraId="55B7679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环境风险事故</w:t>
            </w:r>
          </w:p>
        </w:tc>
        <w:tc>
          <w:tcPr>
            <w:tcW w:w="684" w:type="dxa"/>
            <w:vMerge w:val="restart"/>
            <w:tcBorders>
              <w:tl2br w:val="nil"/>
              <w:tr2bl w:val="nil"/>
            </w:tcBorders>
            <w:noWrap w:val="0"/>
            <w:vAlign w:val="center"/>
          </w:tcPr>
          <w:p w14:paraId="0865F5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大气</w:t>
            </w:r>
          </w:p>
          <w:p w14:paraId="159D0E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环境</w:t>
            </w:r>
          </w:p>
        </w:tc>
        <w:tc>
          <w:tcPr>
            <w:tcW w:w="720" w:type="dxa"/>
            <w:tcBorders>
              <w:tl2br w:val="nil"/>
              <w:tr2bl w:val="nil"/>
            </w:tcBorders>
            <w:noWrap w:val="0"/>
            <w:vAlign w:val="center"/>
          </w:tcPr>
          <w:p w14:paraId="0B4DEE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对照断面</w:t>
            </w:r>
          </w:p>
        </w:tc>
        <w:tc>
          <w:tcPr>
            <w:tcW w:w="870" w:type="dxa"/>
            <w:tcBorders>
              <w:tl2br w:val="nil"/>
              <w:tr2bl w:val="nil"/>
            </w:tcBorders>
            <w:noWrap w:val="0"/>
            <w:vAlign w:val="center"/>
          </w:tcPr>
          <w:p w14:paraId="45311F6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事故地点上风向</w:t>
            </w:r>
          </w:p>
        </w:tc>
        <w:tc>
          <w:tcPr>
            <w:tcW w:w="1125" w:type="dxa"/>
            <w:tcBorders>
              <w:tl2br w:val="nil"/>
              <w:tr2bl w:val="nil"/>
            </w:tcBorders>
            <w:noWrap w:val="0"/>
            <w:vAlign w:val="center"/>
          </w:tcPr>
          <w:p w14:paraId="23D86A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非甲烷总烃、一氧化碳</w:t>
            </w:r>
          </w:p>
        </w:tc>
        <w:tc>
          <w:tcPr>
            <w:tcW w:w="1215" w:type="dxa"/>
            <w:vMerge w:val="restart"/>
            <w:tcBorders>
              <w:tl2br w:val="nil"/>
              <w:tr2bl w:val="nil"/>
            </w:tcBorders>
            <w:noWrap w:val="0"/>
            <w:vAlign w:val="center"/>
          </w:tcPr>
          <w:p w14:paraId="603051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事故发生及处理过程中进行实时监测，过后30min一次直至应急结束</w:t>
            </w:r>
          </w:p>
        </w:tc>
        <w:tc>
          <w:tcPr>
            <w:tcW w:w="2503" w:type="dxa"/>
            <w:vMerge w:val="restart"/>
            <w:tcBorders>
              <w:tl2br w:val="nil"/>
              <w:tr2bl w:val="nil"/>
            </w:tcBorders>
            <w:noWrap w:val="0"/>
            <w:vAlign w:val="center"/>
          </w:tcPr>
          <w:p w14:paraId="63EB369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一氧化碳执行《环境空气质量标准》（GB3095-2012）及其修改单（生态环境部公告2018 年第29号）二级标准要求，非甲烷总烃执行《大气污染物综合排放标准详解》（1997年）中推荐值（2.0mg/m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default" w:ascii="Times New Roman" w:hAnsi="Times New Roman" w:eastAsia="宋体" w:cs="Times New Roman"/>
                <w:color w:val="auto"/>
                <w:kern w:val="0"/>
                <w:sz w:val="21"/>
                <w:szCs w:val="21"/>
                <w:highlight w:val="none"/>
                <w:lang w:val="en-US" w:eastAsia="zh-CN" w:bidi="ar"/>
              </w:rPr>
              <w:t>）</w:t>
            </w:r>
          </w:p>
        </w:tc>
        <w:tc>
          <w:tcPr>
            <w:tcW w:w="1320" w:type="dxa"/>
            <w:vMerge w:val="restart"/>
            <w:tcBorders>
              <w:tl2br w:val="nil"/>
              <w:tr2bl w:val="nil"/>
            </w:tcBorders>
            <w:noWrap w:val="0"/>
            <w:vAlign w:val="center"/>
          </w:tcPr>
          <w:p w14:paraId="700263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自行监测或委托检测</w:t>
            </w:r>
          </w:p>
        </w:tc>
      </w:tr>
      <w:tr w14:paraId="593781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3" w:type="dxa"/>
            <w:vMerge w:val="continue"/>
            <w:tcBorders>
              <w:tl2br w:val="nil"/>
              <w:tr2bl w:val="nil"/>
            </w:tcBorders>
            <w:noWrap w:val="0"/>
            <w:vAlign w:val="center"/>
          </w:tcPr>
          <w:p w14:paraId="3C826F1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p>
        </w:tc>
        <w:tc>
          <w:tcPr>
            <w:tcW w:w="684" w:type="dxa"/>
            <w:vMerge w:val="continue"/>
            <w:tcBorders>
              <w:tl2br w:val="nil"/>
              <w:tr2bl w:val="nil"/>
            </w:tcBorders>
            <w:noWrap w:val="0"/>
            <w:vAlign w:val="center"/>
          </w:tcPr>
          <w:p w14:paraId="4880595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p>
        </w:tc>
        <w:tc>
          <w:tcPr>
            <w:tcW w:w="720" w:type="dxa"/>
            <w:tcBorders>
              <w:tl2br w:val="nil"/>
              <w:tr2bl w:val="nil"/>
            </w:tcBorders>
            <w:noWrap w:val="0"/>
            <w:vAlign w:val="center"/>
          </w:tcPr>
          <w:p w14:paraId="42EBDBA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控制断面</w:t>
            </w:r>
          </w:p>
        </w:tc>
        <w:tc>
          <w:tcPr>
            <w:tcW w:w="870" w:type="dxa"/>
            <w:tcBorders>
              <w:tl2br w:val="nil"/>
              <w:tr2bl w:val="nil"/>
            </w:tcBorders>
            <w:noWrap w:val="0"/>
            <w:vAlign w:val="center"/>
          </w:tcPr>
          <w:p w14:paraId="3D84D3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下风向距离较近的敏感点</w:t>
            </w:r>
          </w:p>
        </w:tc>
        <w:tc>
          <w:tcPr>
            <w:tcW w:w="1125" w:type="dxa"/>
            <w:tcBorders>
              <w:tl2br w:val="nil"/>
              <w:tr2bl w:val="nil"/>
            </w:tcBorders>
            <w:noWrap w:val="0"/>
            <w:vAlign w:val="center"/>
          </w:tcPr>
          <w:p w14:paraId="0A0B49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r>
              <w:rPr>
                <w:rFonts w:hint="default" w:ascii="Times New Roman" w:hAnsi="Times New Roman" w:eastAsia="宋体" w:cs="Times New Roman"/>
                <w:color w:val="auto"/>
                <w:kern w:val="0"/>
                <w:sz w:val="21"/>
                <w:szCs w:val="21"/>
                <w:highlight w:val="none"/>
                <w:lang w:val="en-US" w:eastAsia="zh-CN" w:bidi="ar"/>
              </w:rPr>
              <w:t>非甲烷总烃、一氧化碳</w:t>
            </w:r>
          </w:p>
        </w:tc>
        <w:tc>
          <w:tcPr>
            <w:tcW w:w="1215" w:type="dxa"/>
            <w:vMerge w:val="continue"/>
            <w:tcBorders>
              <w:tl2br w:val="nil"/>
              <w:tr2bl w:val="nil"/>
            </w:tcBorders>
            <w:noWrap w:val="0"/>
            <w:vAlign w:val="center"/>
          </w:tcPr>
          <w:p w14:paraId="0E1271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p>
        </w:tc>
        <w:tc>
          <w:tcPr>
            <w:tcW w:w="2503" w:type="dxa"/>
            <w:vMerge w:val="continue"/>
            <w:tcBorders>
              <w:tl2br w:val="nil"/>
              <w:tr2bl w:val="nil"/>
            </w:tcBorders>
            <w:noWrap w:val="0"/>
            <w:vAlign w:val="center"/>
          </w:tcPr>
          <w:p w14:paraId="55579FA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p>
        </w:tc>
        <w:tc>
          <w:tcPr>
            <w:tcW w:w="1320" w:type="dxa"/>
            <w:vMerge w:val="continue"/>
            <w:tcBorders>
              <w:tl2br w:val="nil"/>
              <w:tr2bl w:val="nil"/>
            </w:tcBorders>
            <w:noWrap w:val="0"/>
            <w:vAlign w:val="center"/>
          </w:tcPr>
          <w:p w14:paraId="358444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vertAlign w:val="baseline"/>
                <w:lang w:val="en-US" w:eastAsia="zh-CN" w:bidi="ar"/>
              </w:rPr>
            </w:pPr>
          </w:p>
        </w:tc>
      </w:tr>
      <w:tr w14:paraId="64887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0" w:type="dxa"/>
            <w:gridSpan w:val="8"/>
            <w:tcBorders>
              <w:tl2br w:val="nil"/>
              <w:tr2bl w:val="nil"/>
            </w:tcBorders>
            <w:noWrap w:val="0"/>
            <w:vAlign w:val="center"/>
          </w:tcPr>
          <w:p w14:paraId="7C720D4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kern w:val="0"/>
                <w:sz w:val="21"/>
                <w:szCs w:val="21"/>
                <w:highlight w:val="none"/>
                <w:vertAlign w:val="baseline"/>
                <w:lang w:val="en-US" w:eastAsia="zh-CN" w:bidi="ar"/>
              </w:rPr>
            </w:pPr>
            <w:bookmarkStart w:id="37" w:name="_Toc20407"/>
            <w:r>
              <w:rPr>
                <w:rFonts w:hint="eastAsia" w:ascii="宋体" w:hAnsi="宋体" w:eastAsia="宋体" w:cs="宋体"/>
                <w:color w:val="auto"/>
                <w:kern w:val="0"/>
                <w:sz w:val="21"/>
                <w:szCs w:val="21"/>
                <w:highlight w:val="none"/>
                <w:lang w:val="en-US" w:eastAsia="zh-CN" w:bidi="ar"/>
              </w:rPr>
              <w:t>备注：监测频次主要根据现场污染状况确定。事件刚发生时，监测频次可适当增加，待摸清污染变化规律后，可适当减少监测频次。</w:t>
            </w:r>
          </w:p>
        </w:tc>
      </w:tr>
    </w:tbl>
    <w:p w14:paraId="730D0AC3">
      <w:pPr>
        <w:pStyle w:val="2"/>
        <w:bidi w:val="0"/>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7.结论</w:t>
      </w:r>
      <w:bookmarkEnd w:id="37"/>
    </w:p>
    <w:p w14:paraId="38A75198">
      <w:pPr>
        <w:keepNext w:val="0"/>
        <w:keepLines w:val="0"/>
        <w:pageBreakBefore w:val="0"/>
        <w:widowControl/>
        <w:suppressLineNumbers w:val="0"/>
        <w:kinsoku/>
        <w:wordWrap/>
        <w:overflowPunct/>
        <w:topLinePunct w:val="0"/>
        <w:autoSpaceDE/>
        <w:autoSpaceDN/>
        <w:bidi w:val="0"/>
        <w:adjustRightInd/>
        <w:snapToGrid/>
        <w:spacing w:line="360" w:lineRule="auto"/>
        <w:ind w:firstLine="500" w:firstLineChars="200"/>
        <w:jc w:val="left"/>
        <w:textAlignment w:val="auto"/>
        <w:rPr>
          <w:rFonts w:ascii="Times New Roman" w:hAnsi="Times New Roman" w:eastAsia="宋体" w:cs="Times New Roman"/>
          <w:color w:val="auto"/>
          <w:highlight w:val="none"/>
        </w:rPr>
      </w:pPr>
      <w:r>
        <w:rPr>
          <w:rFonts w:hint="eastAsia" w:ascii="宋体" w:hAnsi="宋体" w:eastAsia="宋体" w:cs="宋体"/>
          <w:color w:val="auto"/>
          <w:kern w:val="0"/>
          <w:sz w:val="25"/>
          <w:szCs w:val="25"/>
          <w:highlight w:val="none"/>
          <w:lang w:val="en-US" w:eastAsia="zh-CN" w:bidi="ar"/>
        </w:rPr>
        <w:t>本项目通过制定较为周全的风险事故防范措施和事故应急预案，当发生风险事故时立即启动事故应急预案，能确保事故不扩大，不会对周边环境造成较大危害。在采取有效风险防范措施和应急预案后，项目环境风险可控。</w:t>
      </w:r>
    </w:p>
    <w:p w14:paraId="2C77A916">
      <w:pPr>
        <w:keepNext w:val="0"/>
        <w:keepLines w:val="0"/>
        <w:pageBreakBefore w:val="0"/>
        <w:widowControl/>
        <w:suppressLineNumbers w:val="0"/>
        <w:kinsoku/>
        <w:wordWrap/>
        <w:overflowPunct/>
        <w:topLinePunct w:val="0"/>
        <w:autoSpaceDE/>
        <w:autoSpaceDN/>
        <w:bidi w:val="0"/>
        <w:adjustRightInd/>
        <w:snapToGrid/>
        <w:spacing w:line="360" w:lineRule="auto"/>
        <w:ind w:firstLine="500" w:firstLineChars="200"/>
        <w:jc w:val="left"/>
        <w:textAlignment w:val="auto"/>
        <w:rPr>
          <w:rFonts w:ascii="Times New Roman" w:hAnsi="Times New Roman" w:eastAsia="宋体" w:cs="Times New Roman"/>
          <w:color w:val="auto"/>
          <w:highlight w:val="none"/>
        </w:rPr>
      </w:pPr>
      <w:r>
        <w:rPr>
          <w:rFonts w:hint="eastAsia" w:ascii="宋体" w:hAnsi="宋体" w:eastAsia="宋体" w:cs="宋体"/>
          <w:color w:val="auto"/>
          <w:kern w:val="0"/>
          <w:sz w:val="25"/>
          <w:szCs w:val="25"/>
          <w:highlight w:val="none"/>
          <w:lang w:val="en-US" w:eastAsia="zh-CN" w:bidi="ar"/>
        </w:rPr>
        <w:t>项目环境风险简单分析内容表如下。</w:t>
      </w:r>
    </w:p>
    <w:p w14:paraId="3017500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2112A8B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2EA70D5C">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56FEE80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6E1E679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49A11F61">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3B9404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427E3B3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35819BD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45DF77E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077F63F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p>
    <w:p w14:paraId="489287B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宋体" w:cs="Times New Roman"/>
          <w:b/>
          <w:color w:val="auto"/>
          <w:kern w:val="0"/>
          <w:sz w:val="24"/>
          <w:szCs w:val="24"/>
          <w:highlight w:val="none"/>
        </w:rPr>
      </w:pPr>
      <w:r>
        <w:rPr>
          <w:rFonts w:ascii="Times New Roman" w:hAnsi="Times New Roman" w:eastAsia="宋体" w:cs="Times New Roman"/>
          <w:b/>
          <w:color w:val="auto"/>
          <w:kern w:val="0"/>
          <w:sz w:val="24"/>
          <w:szCs w:val="24"/>
          <w:highlight w:val="none"/>
        </w:rPr>
        <w:t>表</w:t>
      </w:r>
      <w:r>
        <w:rPr>
          <w:rFonts w:hint="eastAsia" w:ascii="Times New Roman" w:hAnsi="Times New Roman" w:eastAsia="宋体" w:cs="Times New Roman"/>
          <w:b/>
          <w:color w:val="auto"/>
          <w:kern w:val="0"/>
          <w:sz w:val="24"/>
          <w:szCs w:val="24"/>
          <w:highlight w:val="none"/>
          <w:lang w:val="en-US" w:eastAsia="zh-CN"/>
        </w:rPr>
        <w:t>7</w:t>
      </w:r>
      <w:r>
        <w:rPr>
          <w:rFonts w:ascii="Times New Roman" w:hAnsi="Times New Roman" w:eastAsia="宋体" w:cs="Times New Roman"/>
          <w:b/>
          <w:color w:val="auto"/>
          <w:kern w:val="0"/>
          <w:sz w:val="24"/>
          <w:szCs w:val="24"/>
          <w:highlight w:val="none"/>
        </w:rPr>
        <w:t>-1    建设项目环境风险简单分析内容表</w:t>
      </w:r>
    </w:p>
    <w:tbl>
      <w:tblPr>
        <w:tblStyle w:val="24"/>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555"/>
        <w:gridCol w:w="1221"/>
        <w:gridCol w:w="1322"/>
        <w:gridCol w:w="877"/>
        <w:gridCol w:w="1066"/>
        <w:gridCol w:w="1262"/>
      </w:tblGrid>
      <w:tr w14:paraId="35A425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538" w:type="pct"/>
            <w:tcBorders>
              <w:tl2br w:val="nil"/>
              <w:tr2bl w:val="nil"/>
            </w:tcBorders>
            <w:noWrap w:val="0"/>
            <w:vAlign w:val="center"/>
          </w:tcPr>
          <w:p w14:paraId="6AF91CEE">
            <w:pPr>
              <w:autoSpaceDE w:val="0"/>
              <w:autoSpaceDN w:val="0"/>
              <w:spacing w:line="221" w:lineRule="exact"/>
              <w:ind w:left="280" w:right="266"/>
              <w:jc w:val="center"/>
              <w:rPr>
                <w:rFonts w:ascii="宋体" w:hAnsi="宋体" w:eastAsia="Noto Sans CJK JP Regular" w:cs="宋体"/>
                <w:color w:val="auto"/>
                <w:kern w:val="0"/>
                <w:szCs w:val="21"/>
                <w:highlight w:val="none"/>
                <w:lang w:eastAsia="en-US"/>
              </w:rPr>
            </w:pPr>
            <w:r>
              <w:rPr>
                <w:rFonts w:hint="eastAsia" w:ascii="宋体" w:hAnsi="宋体" w:eastAsia="宋体" w:cs="宋体"/>
                <w:color w:val="auto"/>
                <w:kern w:val="0"/>
                <w:szCs w:val="21"/>
                <w:highlight w:val="none"/>
                <w:lang w:eastAsia="en-US"/>
              </w:rPr>
              <w:t>建设项目名称</w:t>
            </w:r>
          </w:p>
        </w:tc>
        <w:tc>
          <w:tcPr>
            <w:tcW w:w="3461" w:type="pct"/>
            <w:gridSpan w:val="5"/>
            <w:tcBorders>
              <w:tl2br w:val="nil"/>
              <w:tr2bl w:val="nil"/>
            </w:tcBorders>
            <w:noWrap w:val="0"/>
            <w:vAlign w:val="center"/>
          </w:tcPr>
          <w:p w14:paraId="4D8461F6">
            <w:pPr>
              <w:autoSpaceDE w:val="0"/>
              <w:autoSpaceDN w:val="0"/>
              <w:jc w:val="center"/>
              <w:rPr>
                <w:rFonts w:ascii="宋体" w:hAnsi="宋体" w:eastAsia="Noto Sans CJK JP Regular" w:cs="宋体"/>
                <w:color w:val="auto"/>
                <w:kern w:val="0"/>
                <w:szCs w:val="21"/>
                <w:highlight w:val="none"/>
              </w:rPr>
            </w:pPr>
            <w:r>
              <w:rPr>
                <w:rFonts w:hint="default" w:ascii="Times New Roman" w:hAnsi="Times New Roman" w:eastAsia="宋体" w:cs="Times New Roman"/>
                <w:b w:val="0"/>
                <w:bCs w:val="0"/>
                <w:color w:val="auto"/>
                <w:kern w:val="21"/>
                <w:sz w:val="21"/>
                <w:szCs w:val="21"/>
                <w:highlight w:val="none"/>
                <w:u w:val="none"/>
                <w:lang w:val="en-US" w:eastAsia="zh-CN"/>
              </w:rPr>
              <w:t>鄂尔多斯现代煤化工创新技术中试基地基础设施建设项目</w:t>
            </w:r>
          </w:p>
        </w:tc>
      </w:tr>
      <w:tr w14:paraId="424DBC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538" w:type="pct"/>
            <w:tcBorders>
              <w:tl2br w:val="nil"/>
              <w:tr2bl w:val="nil"/>
            </w:tcBorders>
            <w:noWrap w:val="0"/>
            <w:vAlign w:val="center"/>
          </w:tcPr>
          <w:p w14:paraId="1890D861">
            <w:pPr>
              <w:autoSpaceDE w:val="0"/>
              <w:autoSpaceDN w:val="0"/>
              <w:spacing w:line="220" w:lineRule="exact"/>
              <w:ind w:left="280" w:right="266"/>
              <w:jc w:val="center"/>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建设地点</w:t>
            </w:r>
          </w:p>
        </w:tc>
        <w:tc>
          <w:tcPr>
            <w:tcW w:w="735" w:type="pct"/>
            <w:tcBorders>
              <w:tl2br w:val="nil"/>
              <w:tr2bl w:val="nil"/>
            </w:tcBorders>
            <w:noWrap w:val="0"/>
            <w:vAlign w:val="center"/>
          </w:tcPr>
          <w:p w14:paraId="27378CED">
            <w:pPr>
              <w:tabs>
                <w:tab w:val="left" w:pos="470"/>
              </w:tabs>
              <w:autoSpaceDE w:val="0"/>
              <w:autoSpaceDN w:val="0"/>
              <w:spacing w:line="220" w:lineRule="exact"/>
              <w:ind w:left="20"/>
              <w:jc w:val="center"/>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w:t>
            </w:r>
            <w:r>
              <w:rPr>
                <w:rFonts w:hint="eastAsia" w:ascii="Noto Sans CJK JP Regular" w:hAnsi="Times New Roman" w:eastAsia="宋体" w:cs="Times New Roman"/>
                <w:color w:val="auto"/>
                <w:kern w:val="0"/>
                <w:szCs w:val="21"/>
                <w:highlight w:val="none"/>
              </w:rPr>
              <w:t>内蒙古</w:t>
            </w:r>
            <w:r>
              <w:rPr>
                <w:rFonts w:hint="eastAsia" w:ascii="宋体" w:hAnsi="宋体" w:eastAsia="宋体" w:cs="宋体"/>
                <w:color w:val="auto"/>
                <w:kern w:val="0"/>
                <w:szCs w:val="21"/>
                <w:highlight w:val="none"/>
                <w:lang w:eastAsia="en-US"/>
              </w:rPr>
              <w:t>）省</w:t>
            </w:r>
          </w:p>
        </w:tc>
        <w:tc>
          <w:tcPr>
            <w:tcW w:w="796" w:type="pct"/>
            <w:tcBorders>
              <w:tl2br w:val="nil"/>
              <w:tr2bl w:val="nil"/>
            </w:tcBorders>
            <w:noWrap w:val="0"/>
            <w:vAlign w:val="center"/>
          </w:tcPr>
          <w:p w14:paraId="130257D1">
            <w:pPr>
              <w:keepNext w:val="0"/>
              <w:keepLines w:val="0"/>
              <w:pageBreakBefore w:val="0"/>
              <w:widowControl w:val="0"/>
              <w:tabs>
                <w:tab w:val="left" w:pos="668"/>
              </w:tabs>
              <w:kinsoku/>
              <w:wordWrap/>
              <w:overflowPunct/>
              <w:topLinePunct w:val="0"/>
              <w:autoSpaceDE w:val="0"/>
              <w:autoSpaceDN w:val="0"/>
              <w:bidi w:val="0"/>
              <w:adjustRightInd/>
              <w:snapToGrid/>
              <w:spacing w:line="240" w:lineRule="auto"/>
              <w:jc w:val="center"/>
              <w:textAlignment w:val="auto"/>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w:t>
            </w:r>
            <w:r>
              <w:rPr>
                <w:rFonts w:hint="eastAsia" w:ascii="宋体" w:hAnsi="宋体" w:eastAsia="宋体" w:cs="宋体"/>
                <w:color w:val="auto"/>
                <w:kern w:val="0"/>
                <w:szCs w:val="21"/>
                <w:highlight w:val="none"/>
              </w:rPr>
              <w:t>鄂尔多斯</w:t>
            </w:r>
            <w:r>
              <w:rPr>
                <w:rFonts w:hint="eastAsia" w:ascii="宋体" w:hAnsi="宋体" w:eastAsia="宋体" w:cs="宋体"/>
                <w:color w:val="auto"/>
                <w:kern w:val="0"/>
                <w:szCs w:val="21"/>
                <w:highlight w:val="none"/>
                <w:lang w:eastAsia="en-US"/>
              </w:rPr>
              <w:t>）市</w:t>
            </w:r>
          </w:p>
        </w:tc>
        <w:tc>
          <w:tcPr>
            <w:tcW w:w="528" w:type="pct"/>
            <w:tcBorders>
              <w:tl2br w:val="nil"/>
              <w:tr2bl w:val="nil"/>
            </w:tcBorders>
            <w:noWrap w:val="0"/>
            <w:vAlign w:val="center"/>
          </w:tcPr>
          <w:p w14:paraId="39BC925B">
            <w:pPr>
              <w:keepNext w:val="0"/>
              <w:keepLines w:val="0"/>
              <w:pageBreakBefore w:val="0"/>
              <w:widowControl w:val="0"/>
              <w:tabs>
                <w:tab w:val="left" w:pos="473"/>
              </w:tabs>
              <w:kinsoku/>
              <w:wordWrap/>
              <w:overflowPunct/>
              <w:topLinePunct w:val="0"/>
              <w:autoSpaceDE w:val="0"/>
              <w:autoSpaceDN w:val="0"/>
              <w:bidi w:val="0"/>
              <w:adjustRightInd/>
              <w:snapToGrid/>
              <w:spacing w:line="240" w:lineRule="auto"/>
              <w:ind w:left="23"/>
              <w:jc w:val="center"/>
              <w:textAlignment w:val="auto"/>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en-US"/>
              </w:rPr>
              <w:t>）区</w:t>
            </w:r>
          </w:p>
        </w:tc>
        <w:tc>
          <w:tcPr>
            <w:tcW w:w="642" w:type="pct"/>
            <w:tcBorders>
              <w:tl2br w:val="nil"/>
              <w:tr2bl w:val="nil"/>
            </w:tcBorders>
            <w:noWrap w:val="0"/>
            <w:vAlign w:val="center"/>
          </w:tcPr>
          <w:p w14:paraId="0069FC44">
            <w:pPr>
              <w:keepNext w:val="0"/>
              <w:keepLines w:val="0"/>
              <w:pageBreakBefore w:val="0"/>
              <w:widowControl w:val="0"/>
              <w:tabs>
                <w:tab w:val="left" w:pos="644"/>
              </w:tabs>
              <w:kinsoku/>
              <w:wordWrap/>
              <w:overflowPunct/>
              <w:topLinePunct w:val="0"/>
              <w:autoSpaceDE w:val="0"/>
              <w:autoSpaceDN w:val="0"/>
              <w:bidi w:val="0"/>
              <w:adjustRightInd/>
              <w:snapToGrid/>
              <w:spacing w:line="240" w:lineRule="auto"/>
              <w:jc w:val="center"/>
              <w:textAlignment w:val="auto"/>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w:t>
            </w:r>
            <w:r>
              <w:rPr>
                <w:rFonts w:hint="eastAsia" w:ascii="宋体" w:hAnsi="宋体" w:eastAsia="宋体" w:cs="宋体"/>
                <w:color w:val="auto"/>
                <w:kern w:val="0"/>
                <w:szCs w:val="21"/>
                <w:highlight w:val="none"/>
              </w:rPr>
              <w:t>乌审旗</w:t>
            </w:r>
            <w:r>
              <w:rPr>
                <w:rFonts w:hint="eastAsia" w:ascii="宋体" w:hAnsi="宋体" w:eastAsia="宋体" w:cs="宋体"/>
                <w:color w:val="auto"/>
                <w:kern w:val="0"/>
                <w:szCs w:val="21"/>
                <w:highlight w:val="none"/>
                <w:lang w:eastAsia="en-US"/>
              </w:rPr>
              <w:t>）县</w:t>
            </w:r>
          </w:p>
        </w:tc>
        <w:tc>
          <w:tcPr>
            <w:tcW w:w="760" w:type="pct"/>
            <w:tcBorders>
              <w:tl2br w:val="nil"/>
              <w:tr2bl w:val="nil"/>
            </w:tcBorders>
            <w:noWrap w:val="0"/>
            <w:vAlign w:val="center"/>
          </w:tcPr>
          <w:p w14:paraId="0D7030A4">
            <w:pPr>
              <w:keepNext w:val="0"/>
              <w:keepLines w:val="0"/>
              <w:pageBreakBefore w:val="0"/>
              <w:widowControl w:val="0"/>
              <w:tabs>
                <w:tab w:val="left" w:pos="659"/>
              </w:tabs>
              <w:kinsoku/>
              <w:wordWrap/>
              <w:overflowPunct/>
              <w:topLinePunct w:val="0"/>
              <w:autoSpaceDE w:val="0"/>
              <w:autoSpaceDN w:val="0"/>
              <w:bidi w:val="0"/>
              <w:adjustRightInd/>
              <w:snapToGrid/>
              <w:spacing w:line="240" w:lineRule="auto"/>
              <w:jc w:val="center"/>
              <w:textAlignment w:val="auto"/>
              <w:rPr>
                <w:rFonts w:ascii="Noto Sans CJK JP Regular" w:hAnsi="Times New Roman" w:eastAsia="Noto Sans CJK JP Regular" w:cs="Times New Roman"/>
                <w:color w:val="auto"/>
                <w:kern w:val="0"/>
                <w:szCs w:val="21"/>
                <w:highlight w:val="none"/>
              </w:rPr>
            </w:pPr>
            <w:r>
              <w:rPr>
                <w:rFonts w:hint="eastAsia" w:ascii="Times New Roman" w:hAnsi="Times New Roman" w:eastAsia="宋体" w:cs="Times New Roman"/>
                <w:color w:val="auto"/>
                <w:kern w:val="21"/>
                <w:szCs w:val="21"/>
                <w:highlight w:val="none"/>
                <w:lang w:val="en-US" w:eastAsia="zh-CN"/>
              </w:rPr>
              <w:t>苏里格经济开发区图克工业项目区</w:t>
            </w:r>
          </w:p>
        </w:tc>
      </w:tr>
      <w:tr w14:paraId="6B8AD6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538" w:type="pct"/>
            <w:tcBorders>
              <w:tl2br w:val="nil"/>
              <w:tr2bl w:val="nil"/>
            </w:tcBorders>
            <w:noWrap w:val="0"/>
            <w:vAlign w:val="center"/>
          </w:tcPr>
          <w:p w14:paraId="0EB671A0">
            <w:pPr>
              <w:autoSpaceDE w:val="0"/>
              <w:autoSpaceDN w:val="0"/>
              <w:spacing w:line="220" w:lineRule="exact"/>
              <w:ind w:left="280" w:right="266"/>
              <w:jc w:val="center"/>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地理坐标</w:t>
            </w:r>
          </w:p>
        </w:tc>
        <w:tc>
          <w:tcPr>
            <w:tcW w:w="3461" w:type="pct"/>
            <w:gridSpan w:val="5"/>
            <w:tcBorders>
              <w:tl2br w:val="nil"/>
              <w:tr2bl w:val="nil"/>
            </w:tcBorders>
            <w:noWrap w:val="0"/>
            <w:vAlign w:val="center"/>
          </w:tcPr>
          <w:p w14:paraId="727CA3C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eastAsia" w:ascii="Times New Roman" w:hAnsi="Times New Roman" w:eastAsia="宋体" w:cs="Times New Roman"/>
                <w:color w:val="auto"/>
                <w:szCs w:val="21"/>
                <w:highlight w:val="none"/>
                <w:u w:val="none"/>
                <w:lang w:eastAsia="zh-CN"/>
              </w:rPr>
            </w:pPr>
            <w:r>
              <w:rPr>
                <w:rFonts w:hint="eastAsia" w:ascii="Times New Roman" w:hAnsi="Times New Roman" w:eastAsia="宋体" w:cs="Times New Roman"/>
                <w:color w:val="auto"/>
                <w:kern w:val="21"/>
                <w:szCs w:val="21"/>
                <w:highlight w:val="none"/>
                <w:u w:val="none"/>
                <w:lang w:val="en-US" w:eastAsia="zh-CN"/>
              </w:rPr>
              <w:t>中试基地厂址中心坐标为（</w:t>
            </w:r>
            <w:r>
              <w:rPr>
                <w:rFonts w:hint="eastAsia" w:ascii="Times New Roman" w:hAnsi="Times New Roman" w:eastAsia="宋体" w:cs="Times New Roman"/>
                <w:color w:val="auto"/>
                <w:szCs w:val="21"/>
                <w:highlight w:val="none"/>
                <w:u w:val="none"/>
                <w:lang w:val="en-US" w:eastAsia="zh-CN"/>
              </w:rPr>
              <w:t>东经</w:t>
            </w:r>
            <w:r>
              <w:rPr>
                <w:rFonts w:hint="default" w:ascii="Times New Roman" w:hAnsi="Times New Roman" w:eastAsia="宋体" w:cs="Times New Roman"/>
                <w:color w:val="auto"/>
                <w:szCs w:val="21"/>
                <w:highlight w:val="none"/>
                <w:u w:val="none"/>
              </w:rPr>
              <w:t>1</w:t>
            </w:r>
            <w:r>
              <w:rPr>
                <w:rFonts w:hint="default" w:ascii="Times New Roman" w:hAnsi="Times New Roman" w:eastAsia="宋体" w:cs="Times New Roman"/>
                <w:color w:val="auto"/>
                <w:szCs w:val="21"/>
                <w:highlight w:val="none"/>
                <w:u w:val="none"/>
                <w:lang w:val="en-US" w:eastAsia="zh-CN"/>
              </w:rPr>
              <w:t>09</w:t>
            </w:r>
            <w:r>
              <w:rPr>
                <w:rFonts w:hint="default" w:ascii="Times New Roman" w:hAnsi="Times New Roman" w:eastAsia="宋体" w:cs="Times New Roman"/>
                <w:color w:val="auto"/>
                <w:szCs w:val="21"/>
                <w:highlight w:val="none"/>
                <w:u w:val="none"/>
              </w:rPr>
              <w:t>度</w:t>
            </w:r>
            <w:r>
              <w:rPr>
                <w:rFonts w:hint="default" w:ascii="Times New Roman" w:hAnsi="Times New Roman" w:eastAsia="宋体" w:cs="Times New Roman"/>
                <w:color w:val="auto"/>
                <w:szCs w:val="21"/>
                <w:highlight w:val="none"/>
                <w:u w:val="none"/>
                <w:lang w:val="en-US" w:eastAsia="zh-CN"/>
              </w:rPr>
              <w:t>2</w:t>
            </w:r>
            <w:r>
              <w:rPr>
                <w:rFonts w:hint="eastAsia" w:ascii="Times New Roman" w:hAnsi="Times New Roman" w:eastAsia="宋体" w:cs="Times New Roman"/>
                <w:color w:val="auto"/>
                <w:szCs w:val="21"/>
                <w:highlight w:val="none"/>
                <w:u w:val="none"/>
                <w:lang w:val="en-US" w:eastAsia="zh-CN"/>
              </w:rPr>
              <w:t>9</w:t>
            </w:r>
            <w:r>
              <w:rPr>
                <w:rFonts w:hint="default" w:ascii="Times New Roman" w:hAnsi="Times New Roman" w:eastAsia="宋体" w:cs="Times New Roman"/>
                <w:color w:val="auto"/>
                <w:szCs w:val="21"/>
                <w:highlight w:val="none"/>
                <w:u w:val="none"/>
              </w:rPr>
              <w:t>分</w:t>
            </w:r>
            <w:r>
              <w:rPr>
                <w:rFonts w:hint="eastAsia" w:ascii="Times New Roman" w:hAnsi="Times New Roman" w:eastAsia="宋体" w:cs="Times New Roman"/>
                <w:color w:val="auto"/>
                <w:szCs w:val="21"/>
                <w:highlight w:val="none"/>
                <w:u w:val="none"/>
                <w:lang w:val="en-US" w:eastAsia="zh-CN"/>
              </w:rPr>
              <w:t>57.654</w:t>
            </w:r>
            <w:r>
              <w:rPr>
                <w:rFonts w:hint="default" w:ascii="Times New Roman" w:hAnsi="Times New Roman" w:eastAsia="宋体" w:cs="Times New Roman"/>
                <w:color w:val="auto"/>
                <w:szCs w:val="21"/>
                <w:highlight w:val="none"/>
                <w:u w:val="none"/>
              </w:rPr>
              <w:t>秒，</w:t>
            </w:r>
            <w:r>
              <w:rPr>
                <w:rFonts w:hint="eastAsia" w:ascii="Times New Roman" w:hAnsi="Times New Roman" w:eastAsia="宋体" w:cs="Times New Roman"/>
                <w:color w:val="auto"/>
                <w:szCs w:val="21"/>
                <w:highlight w:val="none"/>
                <w:u w:val="none"/>
                <w:lang w:val="en-US" w:eastAsia="zh-CN"/>
              </w:rPr>
              <w:t>北纬</w:t>
            </w:r>
            <w:r>
              <w:rPr>
                <w:rFonts w:hint="default" w:ascii="Times New Roman" w:hAnsi="Times New Roman" w:eastAsia="宋体" w:cs="Times New Roman"/>
                <w:color w:val="auto"/>
                <w:szCs w:val="21"/>
                <w:highlight w:val="none"/>
                <w:u w:val="none"/>
              </w:rPr>
              <w:t>3</w:t>
            </w:r>
            <w:r>
              <w:rPr>
                <w:rFonts w:hint="default" w:ascii="Times New Roman" w:hAnsi="Times New Roman" w:eastAsia="宋体" w:cs="Times New Roman"/>
                <w:color w:val="auto"/>
                <w:szCs w:val="21"/>
                <w:highlight w:val="none"/>
                <w:u w:val="none"/>
                <w:lang w:val="en-US" w:eastAsia="zh-CN"/>
              </w:rPr>
              <w:t>9</w:t>
            </w:r>
            <w:r>
              <w:rPr>
                <w:rFonts w:hint="default" w:ascii="Times New Roman" w:hAnsi="Times New Roman" w:eastAsia="宋体" w:cs="Times New Roman"/>
                <w:color w:val="auto"/>
                <w:szCs w:val="21"/>
                <w:highlight w:val="none"/>
                <w:u w:val="none"/>
              </w:rPr>
              <w:t>度</w:t>
            </w:r>
            <w:r>
              <w:rPr>
                <w:rFonts w:hint="eastAsia" w:ascii="Times New Roman" w:hAnsi="Times New Roman" w:eastAsia="宋体" w:cs="Times New Roman"/>
                <w:color w:val="auto"/>
                <w:szCs w:val="21"/>
                <w:highlight w:val="none"/>
                <w:u w:val="none"/>
                <w:lang w:val="en-US" w:eastAsia="zh-CN"/>
              </w:rPr>
              <w:t>5</w:t>
            </w:r>
            <w:r>
              <w:rPr>
                <w:rFonts w:hint="default" w:ascii="Times New Roman" w:hAnsi="Times New Roman" w:eastAsia="宋体" w:cs="Times New Roman"/>
                <w:color w:val="auto"/>
                <w:szCs w:val="21"/>
                <w:highlight w:val="none"/>
                <w:u w:val="none"/>
              </w:rPr>
              <w:t>分</w:t>
            </w:r>
            <w:r>
              <w:rPr>
                <w:rFonts w:hint="eastAsia" w:ascii="Times New Roman" w:hAnsi="Times New Roman" w:eastAsia="宋体" w:cs="Times New Roman"/>
                <w:color w:val="auto"/>
                <w:szCs w:val="21"/>
                <w:highlight w:val="none"/>
                <w:u w:val="none"/>
                <w:lang w:val="en-US" w:eastAsia="zh-CN"/>
              </w:rPr>
              <w:t>9.793</w:t>
            </w:r>
            <w:r>
              <w:rPr>
                <w:rFonts w:hint="default" w:ascii="Times New Roman" w:hAnsi="Times New Roman" w:eastAsia="宋体" w:cs="Times New Roman"/>
                <w:color w:val="auto"/>
                <w:szCs w:val="21"/>
                <w:highlight w:val="none"/>
                <w:u w:val="none"/>
              </w:rPr>
              <w:t>秒</w:t>
            </w:r>
            <w:r>
              <w:rPr>
                <w:rFonts w:hint="eastAsia" w:ascii="Times New Roman" w:hAnsi="Times New Roman" w:eastAsia="宋体" w:cs="Times New Roman"/>
                <w:color w:val="auto"/>
                <w:kern w:val="21"/>
                <w:szCs w:val="21"/>
                <w:highlight w:val="none"/>
                <w:u w:val="none"/>
                <w:lang w:val="en-US" w:eastAsia="zh-CN"/>
              </w:rPr>
              <w:t>）</w:t>
            </w:r>
            <w:r>
              <w:rPr>
                <w:rFonts w:hint="eastAsia" w:ascii="Times New Roman" w:hAnsi="Times New Roman" w:eastAsia="宋体" w:cs="Times New Roman"/>
                <w:color w:val="auto"/>
                <w:szCs w:val="21"/>
                <w:highlight w:val="none"/>
                <w:u w:val="none"/>
                <w:lang w:eastAsia="zh-CN"/>
              </w:rPr>
              <w:t>。</w:t>
            </w:r>
          </w:p>
          <w:p w14:paraId="047854AE">
            <w:pPr>
              <w:keepNext w:val="0"/>
              <w:keepLines w:val="0"/>
              <w:pageBreakBefore w:val="0"/>
              <w:widowControl w:val="0"/>
              <w:kinsoku/>
              <w:wordWrap/>
              <w:overflowPunct/>
              <w:topLinePunct w:val="0"/>
              <w:autoSpaceDE w:val="0"/>
              <w:autoSpaceDN w:val="0"/>
              <w:bidi w:val="0"/>
              <w:adjustRightInd/>
              <w:snapToGrid/>
              <w:ind w:firstLine="420" w:firstLineChars="200"/>
              <w:jc w:val="both"/>
              <w:textAlignment w:val="auto"/>
              <w:rPr>
                <w:rFonts w:hint="eastAsia" w:ascii="Times New Roman" w:hAnsi="Times New Roman" w:eastAsia="宋体" w:cs="Times New Roman"/>
                <w:color w:val="auto"/>
                <w:kern w:val="0"/>
                <w:szCs w:val="21"/>
                <w:highlight w:val="none"/>
              </w:rPr>
            </w:pPr>
            <w:r>
              <w:rPr>
                <w:rFonts w:hint="eastAsia" w:ascii="Times New Roman" w:hAnsi="Times New Roman" w:eastAsia="宋体" w:cs="Times New Roman"/>
                <w:color w:val="auto"/>
                <w:szCs w:val="21"/>
                <w:highlight w:val="none"/>
                <w:u w:val="none"/>
                <w:lang w:val="en-US" w:eastAsia="zh-CN"/>
              </w:rPr>
              <w:t>配套外部管廊工程全长215.5m，起点为中煤鄂尔多斯能源化工有限公司，坐标为（东经</w:t>
            </w:r>
            <w:r>
              <w:rPr>
                <w:rFonts w:hint="default" w:ascii="Times New Roman" w:hAnsi="Times New Roman" w:eastAsia="宋体" w:cs="Times New Roman"/>
                <w:color w:val="auto"/>
                <w:szCs w:val="21"/>
                <w:highlight w:val="none"/>
                <w:u w:val="none"/>
              </w:rPr>
              <w:t>1</w:t>
            </w:r>
            <w:r>
              <w:rPr>
                <w:rFonts w:hint="default" w:ascii="Times New Roman" w:hAnsi="Times New Roman" w:eastAsia="宋体" w:cs="Times New Roman"/>
                <w:color w:val="auto"/>
                <w:szCs w:val="21"/>
                <w:highlight w:val="none"/>
                <w:u w:val="none"/>
                <w:lang w:val="en-US" w:eastAsia="zh-CN"/>
              </w:rPr>
              <w:t>09</w:t>
            </w:r>
            <w:r>
              <w:rPr>
                <w:rFonts w:hint="default" w:ascii="Times New Roman" w:hAnsi="Times New Roman" w:eastAsia="宋体" w:cs="Times New Roman"/>
                <w:color w:val="auto"/>
                <w:szCs w:val="21"/>
                <w:highlight w:val="none"/>
                <w:u w:val="none"/>
              </w:rPr>
              <w:t>度</w:t>
            </w:r>
            <w:r>
              <w:rPr>
                <w:rFonts w:hint="default" w:ascii="Times New Roman" w:hAnsi="Times New Roman" w:eastAsia="宋体" w:cs="Times New Roman"/>
                <w:color w:val="auto"/>
                <w:szCs w:val="21"/>
                <w:highlight w:val="none"/>
                <w:u w:val="none"/>
                <w:lang w:val="en-US" w:eastAsia="zh-CN"/>
              </w:rPr>
              <w:t>2</w:t>
            </w:r>
            <w:r>
              <w:rPr>
                <w:rFonts w:hint="eastAsia" w:ascii="Times New Roman" w:hAnsi="Times New Roman" w:eastAsia="宋体" w:cs="Times New Roman"/>
                <w:color w:val="auto"/>
                <w:szCs w:val="21"/>
                <w:highlight w:val="none"/>
                <w:u w:val="none"/>
                <w:lang w:val="en-US" w:eastAsia="zh-CN"/>
              </w:rPr>
              <w:t>9</w:t>
            </w:r>
            <w:r>
              <w:rPr>
                <w:rFonts w:hint="default" w:ascii="Times New Roman" w:hAnsi="Times New Roman" w:eastAsia="宋体" w:cs="Times New Roman"/>
                <w:color w:val="auto"/>
                <w:szCs w:val="21"/>
                <w:highlight w:val="none"/>
                <w:u w:val="none"/>
              </w:rPr>
              <w:t>分</w:t>
            </w:r>
            <w:r>
              <w:rPr>
                <w:rFonts w:hint="eastAsia" w:ascii="Times New Roman" w:hAnsi="Times New Roman" w:eastAsia="宋体" w:cs="Times New Roman"/>
                <w:color w:val="auto"/>
                <w:szCs w:val="21"/>
                <w:highlight w:val="none"/>
                <w:u w:val="none"/>
                <w:lang w:val="en-US" w:eastAsia="zh-CN"/>
              </w:rPr>
              <w:t>38.683</w:t>
            </w:r>
            <w:r>
              <w:rPr>
                <w:rFonts w:hint="default" w:ascii="Times New Roman" w:hAnsi="Times New Roman" w:eastAsia="宋体" w:cs="Times New Roman"/>
                <w:color w:val="auto"/>
                <w:szCs w:val="21"/>
                <w:highlight w:val="none"/>
                <w:u w:val="none"/>
              </w:rPr>
              <w:t>秒，</w:t>
            </w:r>
            <w:r>
              <w:rPr>
                <w:rFonts w:hint="eastAsia" w:ascii="Times New Roman" w:hAnsi="Times New Roman" w:eastAsia="宋体" w:cs="Times New Roman"/>
                <w:color w:val="auto"/>
                <w:szCs w:val="21"/>
                <w:highlight w:val="none"/>
                <w:u w:val="none"/>
                <w:lang w:val="en-US" w:eastAsia="zh-CN"/>
              </w:rPr>
              <w:t>北纬</w:t>
            </w:r>
            <w:r>
              <w:rPr>
                <w:rFonts w:hint="default" w:ascii="Times New Roman" w:hAnsi="Times New Roman" w:eastAsia="宋体" w:cs="Times New Roman"/>
                <w:color w:val="auto"/>
                <w:szCs w:val="21"/>
                <w:highlight w:val="none"/>
                <w:u w:val="none"/>
              </w:rPr>
              <w:t>3</w:t>
            </w:r>
            <w:r>
              <w:rPr>
                <w:rFonts w:hint="default" w:ascii="Times New Roman" w:hAnsi="Times New Roman" w:eastAsia="宋体" w:cs="Times New Roman"/>
                <w:color w:val="auto"/>
                <w:szCs w:val="21"/>
                <w:highlight w:val="none"/>
                <w:u w:val="none"/>
                <w:lang w:val="en-US" w:eastAsia="zh-CN"/>
              </w:rPr>
              <w:t>9</w:t>
            </w:r>
            <w:r>
              <w:rPr>
                <w:rFonts w:hint="default" w:ascii="Times New Roman" w:hAnsi="Times New Roman" w:eastAsia="宋体" w:cs="Times New Roman"/>
                <w:color w:val="auto"/>
                <w:szCs w:val="21"/>
                <w:highlight w:val="none"/>
                <w:u w:val="none"/>
              </w:rPr>
              <w:t>度</w:t>
            </w:r>
            <w:r>
              <w:rPr>
                <w:rFonts w:hint="eastAsia" w:ascii="Times New Roman" w:hAnsi="Times New Roman" w:eastAsia="宋体" w:cs="Times New Roman"/>
                <w:color w:val="auto"/>
                <w:szCs w:val="21"/>
                <w:highlight w:val="none"/>
                <w:u w:val="none"/>
                <w:lang w:val="en-US" w:eastAsia="zh-CN"/>
              </w:rPr>
              <w:t>5</w:t>
            </w:r>
            <w:r>
              <w:rPr>
                <w:rFonts w:hint="default" w:ascii="Times New Roman" w:hAnsi="Times New Roman" w:eastAsia="宋体" w:cs="Times New Roman"/>
                <w:color w:val="auto"/>
                <w:szCs w:val="21"/>
                <w:highlight w:val="none"/>
                <w:u w:val="none"/>
              </w:rPr>
              <w:t>分</w:t>
            </w:r>
            <w:r>
              <w:rPr>
                <w:rFonts w:hint="eastAsia" w:ascii="Times New Roman" w:hAnsi="Times New Roman" w:eastAsia="宋体" w:cs="Times New Roman"/>
                <w:color w:val="auto"/>
                <w:szCs w:val="21"/>
                <w:highlight w:val="none"/>
                <w:u w:val="none"/>
                <w:lang w:val="en-US" w:eastAsia="zh-CN"/>
              </w:rPr>
              <w:t>9.632</w:t>
            </w:r>
            <w:r>
              <w:rPr>
                <w:rFonts w:hint="default" w:ascii="Times New Roman" w:hAnsi="Times New Roman" w:eastAsia="宋体" w:cs="Times New Roman"/>
                <w:color w:val="auto"/>
                <w:szCs w:val="21"/>
                <w:highlight w:val="none"/>
                <w:u w:val="none"/>
              </w:rPr>
              <w:t>秒</w:t>
            </w:r>
            <w:r>
              <w:rPr>
                <w:rFonts w:hint="eastAsia" w:ascii="Times New Roman" w:hAnsi="Times New Roman" w:eastAsia="宋体" w:cs="Times New Roman"/>
                <w:color w:val="auto"/>
                <w:szCs w:val="21"/>
                <w:highlight w:val="none"/>
                <w:u w:val="none"/>
                <w:lang w:val="en-US" w:eastAsia="zh-CN"/>
              </w:rPr>
              <w:t>），终点为本项目厂界西侧管廊对接点，坐标为（东经</w:t>
            </w:r>
            <w:r>
              <w:rPr>
                <w:rFonts w:hint="default" w:ascii="Times New Roman" w:hAnsi="Times New Roman" w:eastAsia="宋体" w:cs="Times New Roman"/>
                <w:color w:val="auto"/>
                <w:szCs w:val="21"/>
                <w:highlight w:val="none"/>
                <w:u w:val="none"/>
              </w:rPr>
              <w:t>1</w:t>
            </w:r>
            <w:r>
              <w:rPr>
                <w:rFonts w:hint="default" w:ascii="Times New Roman" w:hAnsi="Times New Roman" w:eastAsia="宋体" w:cs="Times New Roman"/>
                <w:color w:val="auto"/>
                <w:szCs w:val="21"/>
                <w:highlight w:val="none"/>
                <w:u w:val="none"/>
                <w:lang w:val="en-US" w:eastAsia="zh-CN"/>
              </w:rPr>
              <w:t>09</w:t>
            </w:r>
            <w:r>
              <w:rPr>
                <w:rFonts w:hint="default" w:ascii="Times New Roman" w:hAnsi="Times New Roman" w:eastAsia="宋体" w:cs="Times New Roman"/>
                <w:color w:val="auto"/>
                <w:szCs w:val="21"/>
                <w:highlight w:val="none"/>
                <w:u w:val="none"/>
              </w:rPr>
              <w:t>度</w:t>
            </w:r>
            <w:r>
              <w:rPr>
                <w:rFonts w:hint="default" w:ascii="Times New Roman" w:hAnsi="Times New Roman" w:eastAsia="宋体" w:cs="Times New Roman"/>
                <w:color w:val="auto"/>
                <w:szCs w:val="21"/>
                <w:highlight w:val="none"/>
                <w:u w:val="none"/>
                <w:lang w:val="en-US" w:eastAsia="zh-CN"/>
              </w:rPr>
              <w:t>2</w:t>
            </w:r>
            <w:r>
              <w:rPr>
                <w:rFonts w:hint="eastAsia" w:ascii="Times New Roman" w:hAnsi="Times New Roman" w:eastAsia="宋体" w:cs="Times New Roman"/>
                <w:color w:val="auto"/>
                <w:szCs w:val="21"/>
                <w:highlight w:val="none"/>
                <w:u w:val="none"/>
                <w:lang w:val="en-US" w:eastAsia="zh-CN"/>
              </w:rPr>
              <w:t>9</w:t>
            </w:r>
            <w:r>
              <w:rPr>
                <w:rFonts w:hint="default" w:ascii="Times New Roman" w:hAnsi="Times New Roman" w:eastAsia="宋体" w:cs="Times New Roman"/>
                <w:color w:val="auto"/>
                <w:szCs w:val="21"/>
                <w:highlight w:val="none"/>
                <w:u w:val="none"/>
              </w:rPr>
              <w:t>分</w:t>
            </w:r>
            <w:r>
              <w:rPr>
                <w:rFonts w:hint="eastAsia" w:ascii="Times New Roman" w:hAnsi="Times New Roman" w:eastAsia="宋体" w:cs="Times New Roman"/>
                <w:color w:val="auto"/>
                <w:szCs w:val="21"/>
                <w:highlight w:val="none"/>
                <w:u w:val="none"/>
                <w:lang w:val="en-US" w:eastAsia="zh-CN"/>
              </w:rPr>
              <w:t>47.943</w:t>
            </w:r>
            <w:r>
              <w:rPr>
                <w:rFonts w:hint="default" w:ascii="Times New Roman" w:hAnsi="Times New Roman" w:eastAsia="宋体" w:cs="Times New Roman"/>
                <w:color w:val="auto"/>
                <w:szCs w:val="21"/>
                <w:highlight w:val="none"/>
                <w:u w:val="none"/>
              </w:rPr>
              <w:t>秒，</w:t>
            </w:r>
            <w:r>
              <w:rPr>
                <w:rFonts w:hint="eastAsia" w:ascii="Times New Roman" w:hAnsi="Times New Roman" w:eastAsia="宋体" w:cs="Times New Roman"/>
                <w:color w:val="auto"/>
                <w:szCs w:val="21"/>
                <w:highlight w:val="none"/>
                <w:u w:val="none"/>
                <w:lang w:val="en-US" w:eastAsia="zh-CN"/>
              </w:rPr>
              <w:t>北纬</w:t>
            </w:r>
            <w:r>
              <w:rPr>
                <w:rFonts w:hint="default" w:ascii="Times New Roman" w:hAnsi="Times New Roman" w:eastAsia="宋体" w:cs="Times New Roman"/>
                <w:color w:val="auto"/>
                <w:szCs w:val="21"/>
                <w:highlight w:val="none"/>
                <w:u w:val="none"/>
              </w:rPr>
              <w:t>3</w:t>
            </w:r>
            <w:r>
              <w:rPr>
                <w:rFonts w:hint="default" w:ascii="Times New Roman" w:hAnsi="Times New Roman" w:eastAsia="宋体" w:cs="Times New Roman"/>
                <w:color w:val="auto"/>
                <w:szCs w:val="21"/>
                <w:highlight w:val="none"/>
                <w:u w:val="none"/>
                <w:lang w:val="en-US" w:eastAsia="zh-CN"/>
              </w:rPr>
              <w:t>9</w:t>
            </w:r>
            <w:r>
              <w:rPr>
                <w:rFonts w:hint="default" w:ascii="Times New Roman" w:hAnsi="Times New Roman" w:eastAsia="宋体" w:cs="Times New Roman"/>
                <w:color w:val="auto"/>
                <w:szCs w:val="21"/>
                <w:highlight w:val="none"/>
                <w:u w:val="none"/>
              </w:rPr>
              <w:t>度</w:t>
            </w:r>
            <w:r>
              <w:rPr>
                <w:rFonts w:hint="eastAsia" w:ascii="Times New Roman" w:hAnsi="Times New Roman" w:eastAsia="宋体" w:cs="Times New Roman"/>
                <w:color w:val="auto"/>
                <w:szCs w:val="21"/>
                <w:highlight w:val="none"/>
                <w:u w:val="none"/>
                <w:lang w:val="en-US" w:eastAsia="zh-CN"/>
              </w:rPr>
              <w:t>5</w:t>
            </w:r>
            <w:r>
              <w:rPr>
                <w:rFonts w:hint="default" w:ascii="Times New Roman" w:hAnsi="Times New Roman" w:eastAsia="宋体" w:cs="Times New Roman"/>
                <w:color w:val="auto"/>
                <w:szCs w:val="21"/>
                <w:highlight w:val="none"/>
                <w:u w:val="none"/>
              </w:rPr>
              <w:t>分</w:t>
            </w:r>
            <w:r>
              <w:rPr>
                <w:rFonts w:hint="eastAsia" w:ascii="Times New Roman" w:hAnsi="Times New Roman" w:eastAsia="宋体" w:cs="Times New Roman"/>
                <w:color w:val="auto"/>
                <w:szCs w:val="21"/>
                <w:highlight w:val="none"/>
                <w:u w:val="none"/>
                <w:lang w:val="en-US" w:eastAsia="zh-CN"/>
              </w:rPr>
              <w:t>9.819</w:t>
            </w:r>
            <w:r>
              <w:rPr>
                <w:rFonts w:hint="default" w:ascii="Times New Roman" w:hAnsi="Times New Roman" w:eastAsia="宋体" w:cs="Times New Roman"/>
                <w:color w:val="auto"/>
                <w:szCs w:val="21"/>
                <w:highlight w:val="none"/>
                <w:u w:val="none"/>
              </w:rPr>
              <w:t>秒</w:t>
            </w:r>
            <w:r>
              <w:rPr>
                <w:rFonts w:hint="eastAsia" w:ascii="Times New Roman" w:hAnsi="Times New Roman" w:eastAsia="宋体" w:cs="Times New Roman"/>
                <w:color w:val="auto"/>
                <w:szCs w:val="21"/>
                <w:highlight w:val="none"/>
                <w:u w:val="none"/>
                <w:lang w:val="en-US" w:eastAsia="zh-CN"/>
              </w:rPr>
              <w:t>）。</w:t>
            </w:r>
          </w:p>
        </w:tc>
      </w:tr>
      <w:tr w14:paraId="684775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538" w:type="pct"/>
            <w:tcBorders>
              <w:tl2br w:val="nil"/>
              <w:tr2bl w:val="nil"/>
            </w:tcBorders>
            <w:noWrap w:val="0"/>
            <w:vAlign w:val="center"/>
          </w:tcPr>
          <w:p w14:paraId="76F6E2B4">
            <w:pPr>
              <w:autoSpaceDE w:val="0"/>
              <w:autoSpaceDN w:val="0"/>
              <w:spacing w:before="46"/>
              <w:ind w:left="280" w:right="266"/>
              <w:jc w:val="center"/>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主要危险物质及分布</w:t>
            </w:r>
          </w:p>
        </w:tc>
        <w:tc>
          <w:tcPr>
            <w:tcW w:w="3461" w:type="pct"/>
            <w:gridSpan w:val="5"/>
            <w:tcBorders>
              <w:tl2br w:val="nil"/>
              <w:tr2bl w:val="nil"/>
            </w:tcBorders>
            <w:noWrap w:val="0"/>
            <w:vAlign w:val="center"/>
          </w:tcPr>
          <w:p w14:paraId="31A91706">
            <w:pPr>
              <w:autoSpaceDE w:val="0"/>
              <w:autoSpaceDN w:val="0"/>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外部管廊：氢气管道、富一氧化碳气管道；中试基地内管廊：氢气管道、富一氧化碳气管道和天然气管道；危废库</w:t>
            </w:r>
          </w:p>
        </w:tc>
      </w:tr>
      <w:tr w14:paraId="252E0F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538" w:type="pct"/>
            <w:tcBorders>
              <w:tl2br w:val="nil"/>
              <w:tr2bl w:val="nil"/>
            </w:tcBorders>
            <w:noWrap w:val="0"/>
            <w:vAlign w:val="center"/>
          </w:tcPr>
          <w:p w14:paraId="4466697C">
            <w:pPr>
              <w:autoSpaceDE w:val="0"/>
              <w:autoSpaceDN w:val="0"/>
              <w:spacing w:line="236" w:lineRule="exact"/>
              <w:ind w:left="280" w:right="266"/>
              <w:jc w:val="center"/>
              <w:rPr>
                <w:rFonts w:ascii="Noto Sans CJK JP Regular" w:hAnsi="Times New Roman" w:eastAsia="Noto Sans CJK JP Regular" w:cs="Times New Roman"/>
                <w:color w:val="auto"/>
                <w:kern w:val="0"/>
                <w:szCs w:val="21"/>
                <w:highlight w:val="none"/>
              </w:rPr>
            </w:pPr>
            <w:r>
              <w:rPr>
                <w:rFonts w:hint="eastAsia" w:ascii="宋体" w:hAnsi="宋体" w:eastAsia="宋体" w:cs="宋体"/>
                <w:color w:val="auto"/>
                <w:kern w:val="0"/>
                <w:szCs w:val="21"/>
                <w:highlight w:val="none"/>
              </w:rPr>
              <w:t>环境影响途径及危害后果</w:t>
            </w:r>
          </w:p>
          <w:p w14:paraId="06ADBE69">
            <w:pPr>
              <w:autoSpaceDE w:val="0"/>
              <w:autoSpaceDN w:val="0"/>
              <w:spacing w:line="223" w:lineRule="exact"/>
              <w:ind w:left="280" w:right="266"/>
              <w:jc w:val="center"/>
              <w:rPr>
                <w:rFonts w:ascii="Noto Sans CJK JP Regular" w:hAnsi="Times New Roman" w:eastAsia="Noto Sans CJK JP Regular" w:cs="Times New Roman"/>
                <w:color w:val="auto"/>
                <w:kern w:val="0"/>
                <w:szCs w:val="21"/>
                <w:highlight w:val="none"/>
                <w:lang w:eastAsia="en-US"/>
              </w:rPr>
            </w:pPr>
            <w:r>
              <w:rPr>
                <w:rFonts w:hint="eastAsia" w:ascii="宋体" w:hAnsi="宋体" w:eastAsia="宋体" w:cs="宋体"/>
                <w:color w:val="auto"/>
                <w:kern w:val="0"/>
                <w:szCs w:val="21"/>
                <w:highlight w:val="none"/>
                <w:lang w:eastAsia="en-US"/>
              </w:rPr>
              <w:t>（大气、地表水、地下水等）</w:t>
            </w:r>
          </w:p>
        </w:tc>
        <w:tc>
          <w:tcPr>
            <w:tcW w:w="3461" w:type="pct"/>
            <w:gridSpan w:val="5"/>
            <w:tcBorders>
              <w:tl2br w:val="nil"/>
              <w:tr2bl w:val="nil"/>
            </w:tcBorders>
            <w:noWrap w:val="0"/>
            <w:vAlign w:val="center"/>
          </w:tcPr>
          <w:p w14:paraId="6BDA6069">
            <w:pPr>
              <w:keepNext w:val="0"/>
              <w:keepLines w:val="0"/>
              <w:widowControl/>
              <w:suppressLineNumbers w:val="0"/>
              <w:jc w:val="left"/>
              <w:rPr>
                <w:rFonts w:hint="default" w:ascii="宋体" w:hAnsi="宋体" w:eastAsia="Noto Sans CJK JP Regular" w:cs="宋体"/>
                <w:color w:val="auto"/>
                <w:kern w:val="0"/>
                <w:szCs w:val="21"/>
                <w:highlight w:val="none"/>
                <w:lang w:val="en-US"/>
              </w:rPr>
            </w:pPr>
            <w:r>
              <w:rPr>
                <w:rFonts w:hint="eastAsia" w:ascii="宋体" w:hAnsi="宋体" w:eastAsia="宋体" w:cs="宋体"/>
                <w:color w:val="auto"/>
                <w:kern w:val="0"/>
                <w:sz w:val="22"/>
                <w:szCs w:val="22"/>
                <w:highlight w:val="none"/>
                <w:lang w:val="en-US" w:eastAsia="zh-CN" w:bidi="ar"/>
              </w:rPr>
              <w:t>大气：富一氧化碳气管道或天然气管道泄漏，CO、甲烷等有毒气体进入大气环境，造成污染；天然气管道泄漏气体燃烧、爆炸，伴生污染物排放进入大气。</w:t>
            </w:r>
          </w:p>
        </w:tc>
      </w:tr>
      <w:tr w14:paraId="28D451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1538" w:type="pct"/>
            <w:tcBorders>
              <w:tl2br w:val="nil"/>
              <w:tr2bl w:val="nil"/>
            </w:tcBorders>
            <w:noWrap w:val="0"/>
            <w:vAlign w:val="center"/>
          </w:tcPr>
          <w:p w14:paraId="7558E2F6">
            <w:pPr>
              <w:autoSpaceDE w:val="0"/>
              <w:autoSpaceDN w:val="0"/>
              <w:ind w:left="280" w:right="266"/>
              <w:jc w:val="center"/>
              <w:rPr>
                <w:rFonts w:ascii="Times New Roman" w:hAnsi="Times New Roman" w:eastAsia="Noto Sans CJK JP Regular" w:cs="Times New Roman"/>
                <w:color w:val="auto"/>
                <w:kern w:val="0"/>
                <w:szCs w:val="21"/>
                <w:highlight w:val="none"/>
                <w:lang w:eastAsia="en-US"/>
              </w:rPr>
            </w:pPr>
            <w:r>
              <w:rPr>
                <w:rFonts w:ascii="Times New Roman" w:hAnsi="Times New Roman" w:eastAsia="宋体" w:cs="Times New Roman"/>
                <w:color w:val="auto"/>
                <w:kern w:val="0"/>
                <w:szCs w:val="21"/>
                <w:highlight w:val="none"/>
                <w:lang w:eastAsia="en-US"/>
              </w:rPr>
              <w:t>风险防范措施要求</w:t>
            </w:r>
          </w:p>
        </w:tc>
        <w:tc>
          <w:tcPr>
            <w:tcW w:w="3461" w:type="pct"/>
            <w:gridSpan w:val="5"/>
            <w:tcBorders>
              <w:tl2br w:val="nil"/>
              <w:tr2bl w:val="nil"/>
            </w:tcBorders>
            <w:noWrap w:val="0"/>
            <w:vAlign w:val="center"/>
          </w:tcPr>
          <w:p w14:paraId="22992DBE">
            <w:pPr>
              <w:autoSpaceDE w:val="0"/>
              <w:autoSpaceDN w:val="0"/>
              <w:jc w:val="both"/>
              <w:rPr>
                <w:rFonts w:hint="default" w:ascii="Times New Roman" w:hAnsi="Times New Roman" w:eastAsia="宋体" w:cs="Times New Roman"/>
                <w:color w:val="auto"/>
                <w:kern w:val="0"/>
                <w:szCs w:val="21"/>
                <w:highlight w:val="none"/>
                <w:lang w:val="en-US" w:eastAsia="zh-CN"/>
              </w:rPr>
            </w:pPr>
            <w:r>
              <w:rPr>
                <w:rFonts w:hint="eastAsia" w:ascii="Times New Roman" w:hAnsi="Times New Roman" w:eastAsia="宋体" w:cs="Times New Roman"/>
                <w:color w:val="auto"/>
                <w:kern w:val="21"/>
                <w:sz w:val="21"/>
                <w:szCs w:val="21"/>
                <w:highlight w:val="none"/>
                <w:lang w:val="en-US" w:eastAsia="zh-CN"/>
              </w:rPr>
              <w:t>1.中试基地采取严格的分区防控措施；建设事故应急池及初期雨水收集池；配套建设消防泵站和消防水池。</w:t>
            </w:r>
            <w:r>
              <w:rPr>
                <w:rFonts w:hint="eastAsia" w:ascii="Times New Roman" w:hAnsi="Times New Roman" w:eastAsia="宋体" w:cs="Times New Roman"/>
                <w:color w:val="auto"/>
                <w:kern w:val="0"/>
                <w:szCs w:val="21"/>
                <w:highlight w:val="none"/>
                <w:lang w:val="en-US" w:eastAsia="zh-CN"/>
              </w:rPr>
              <w:t>2.严格管道管材的选择要求，加强防腐防渗措施；强化管廊支架结构；3.管道设置前后切断阀，设置易燃、有毒气体检测仪器及报警装置；4.设置跨地接地装置，明火高温作业远离管线；5.配备充足应急物资，制定应急预案。</w:t>
            </w:r>
          </w:p>
        </w:tc>
      </w:tr>
      <w:tr w14:paraId="1F562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1538" w:type="pct"/>
            <w:tcBorders>
              <w:tl2br w:val="nil"/>
              <w:tr2bl w:val="nil"/>
            </w:tcBorders>
            <w:noWrap w:val="0"/>
            <w:vAlign w:val="center"/>
          </w:tcPr>
          <w:p w14:paraId="18AB58D4">
            <w:pPr>
              <w:autoSpaceDE w:val="0"/>
              <w:autoSpaceDN w:val="0"/>
              <w:spacing w:line="308" w:lineRule="exact"/>
              <w:ind w:left="107"/>
              <w:jc w:val="center"/>
              <w:rPr>
                <w:rFonts w:ascii="Noto Sans CJK JP Regular" w:hAnsi="Times New Roman" w:eastAsia="Noto Sans CJK JP Regular" w:cs="Times New Roman"/>
                <w:color w:val="auto"/>
                <w:kern w:val="0"/>
                <w:szCs w:val="21"/>
                <w:highlight w:val="none"/>
              </w:rPr>
            </w:pPr>
            <w:r>
              <w:rPr>
                <w:rFonts w:hint="eastAsia" w:ascii="宋体" w:hAnsi="宋体" w:eastAsia="宋体" w:cs="宋体"/>
                <w:color w:val="auto"/>
                <w:kern w:val="0"/>
                <w:szCs w:val="21"/>
                <w:highlight w:val="none"/>
              </w:rPr>
              <w:t>填表说明（列出项目相关信息及评价说明</w:t>
            </w:r>
            <w:r>
              <w:rPr>
                <w:rFonts w:hint="eastAsia" w:ascii="宋体" w:hAnsi="宋体" w:eastAsia="宋体" w:cs="宋体"/>
                <w:color w:val="auto"/>
                <w:spacing w:val="-90"/>
                <w:kern w:val="0"/>
                <w:szCs w:val="21"/>
                <w:highlight w:val="none"/>
              </w:rPr>
              <w:t>）</w:t>
            </w:r>
            <w:r>
              <w:rPr>
                <w:rFonts w:hint="eastAsia" w:ascii="宋体" w:hAnsi="宋体" w:eastAsia="宋体" w:cs="宋体"/>
                <w:color w:val="auto"/>
                <w:kern w:val="0"/>
                <w:szCs w:val="21"/>
                <w:highlight w:val="none"/>
              </w:rPr>
              <w:t>：</w:t>
            </w:r>
          </w:p>
        </w:tc>
        <w:tc>
          <w:tcPr>
            <w:tcW w:w="3461" w:type="pct"/>
            <w:gridSpan w:val="5"/>
            <w:tcBorders>
              <w:tl2br w:val="nil"/>
              <w:tr2bl w:val="nil"/>
            </w:tcBorders>
            <w:noWrap w:val="0"/>
            <w:vAlign w:val="center"/>
          </w:tcPr>
          <w:p w14:paraId="14DEEDE9">
            <w:pPr>
              <w:autoSpaceDE w:val="0"/>
              <w:autoSpaceDN w:val="0"/>
              <w:spacing w:line="308" w:lineRule="exact"/>
              <w:ind w:left="107"/>
              <w:jc w:val="center"/>
              <w:rPr>
                <w:rFonts w:ascii="Times New Roman" w:hAnsi="Times New Roman" w:eastAsia="Noto Sans CJK JP Regular" w:cs="Times New Roman"/>
                <w:color w:val="auto"/>
                <w:kern w:val="0"/>
                <w:szCs w:val="21"/>
                <w:highlight w:val="none"/>
              </w:rPr>
            </w:pPr>
            <w:r>
              <w:rPr>
                <w:rFonts w:ascii="Times New Roman" w:hAnsi="Times New Roman" w:eastAsia="宋体" w:cs="Times New Roman"/>
                <w:color w:val="auto"/>
                <w:kern w:val="0"/>
                <w:szCs w:val="21"/>
                <w:highlight w:val="none"/>
              </w:rPr>
              <w:t>经</w:t>
            </w:r>
            <w:r>
              <w:rPr>
                <w:rFonts w:ascii="Times New Roman" w:hAnsi="Times New Roman" w:eastAsia="宋体" w:cs="Times New Roman"/>
                <w:color w:val="auto"/>
                <w:kern w:val="0"/>
                <w:sz w:val="21"/>
                <w:szCs w:val="21"/>
                <w:highlight w:val="none"/>
              </w:rPr>
              <w:t>计算本项目危险物质</w:t>
            </w:r>
            <w:r>
              <w:rPr>
                <w:rFonts w:ascii="Times New Roman" w:hAnsi="Times New Roman" w:eastAsia="Noto Sans CJK JP Regular" w:cs="Times New Roman"/>
                <w:color w:val="auto"/>
                <w:kern w:val="0"/>
                <w:sz w:val="21"/>
                <w:szCs w:val="21"/>
                <w:highlight w:val="none"/>
              </w:rPr>
              <w:t>Q</w:t>
            </w:r>
            <w:r>
              <w:rPr>
                <w:rFonts w:ascii="Times New Roman" w:hAnsi="Times New Roman" w:eastAsia="宋体" w:cs="Times New Roman"/>
                <w:color w:val="auto"/>
                <w:kern w:val="0"/>
                <w:sz w:val="21"/>
                <w:szCs w:val="21"/>
                <w:highlight w:val="none"/>
              </w:rPr>
              <w:t>值为</w:t>
            </w:r>
            <w:r>
              <w:rPr>
                <w:rFonts w:hint="eastAsia" w:ascii="Times New Roman" w:hAnsi="Times New Roman" w:eastAsia="宋体" w:cs="Times New Roman"/>
                <w:color w:val="auto"/>
                <w:kern w:val="0"/>
                <w:sz w:val="21"/>
                <w:szCs w:val="21"/>
                <w:highlight w:val="none"/>
                <w:lang w:val="en-US" w:eastAsia="zh-CN"/>
              </w:rPr>
              <w:t>0.030911</w:t>
            </w:r>
            <w:r>
              <w:rPr>
                <w:rFonts w:ascii="Times New Roman" w:hAnsi="Times New Roman" w:eastAsia="宋体" w:cs="Times New Roman"/>
                <w:color w:val="auto"/>
                <w:kern w:val="0"/>
                <w:sz w:val="21"/>
                <w:szCs w:val="21"/>
                <w:highlight w:val="none"/>
              </w:rPr>
              <w:t>，</w:t>
            </w:r>
            <w:r>
              <w:rPr>
                <w:rFonts w:ascii="Times New Roman" w:hAnsi="Times New Roman" w:eastAsia="Noto Sans CJK JP Regular" w:cs="Times New Roman"/>
                <w:color w:val="auto"/>
                <w:kern w:val="0"/>
                <w:sz w:val="21"/>
                <w:szCs w:val="21"/>
                <w:highlight w:val="none"/>
              </w:rPr>
              <w:t>Q</w:t>
            </w:r>
            <w:r>
              <w:rPr>
                <w:rFonts w:ascii="Times New Roman" w:hAnsi="Times New Roman" w:eastAsia="宋体" w:cs="Times New Roman"/>
                <w:color w:val="auto"/>
                <w:kern w:val="0"/>
                <w:sz w:val="21"/>
                <w:szCs w:val="21"/>
                <w:highlight w:val="none"/>
              </w:rPr>
              <w:t>＜</w:t>
            </w:r>
            <w:r>
              <w:rPr>
                <w:rFonts w:ascii="Times New Roman" w:hAnsi="Times New Roman" w:eastAsia="Noto Sans CJK JP Regular" w:cs="Times New Roman"/>
                <w:color w:val="auto"/>
                <w:kern w:val="0"/>
                <w:sz w:val="21"/>
                <w:szCs w:val="21"/>
                <w:highlight w:val="none"/>
              </w:rPr>
              <w:t>1</w:t>
            </w:r>
            <w:r>
              <w:rPr>
                <w:rFonts w:ascii="Times New Roman" w:hAnsi="Times New Roman" w:eastAsia="宋体" w:cs="Times New Roman"/>
                <w:color w:val="auto"/>
                <w:kern w:val="0"/>
                <w:sz w:val="21"/>
                <w:szCs w:val="21"/>
                <w:highlight w:val="none"/>
              </w:rPr>
              <w:t>，故该项目环境风险潜势为</w:t>
            </w:r>
            <w:r>
              <w:rPr>
                <w:rFonts w:hint="eastAsia" w:ascii="宋体" w:hAnsi="宋体" w:eastAsia="宋体" w:cs="宋体"/>
                <w:color w:val="auto"/>
                <w:kern w:val="0"/>
                <w:sz w:val="21"/>
                <w:szCs w:val="21"/>
                <w:highlight w:val="none"/>
              </w:rPr>
              <w:t>Ⅰ</w:t>
            </w:r>
            <w:r>
              <w:rPr>
                <w:rFonts w:ascii="Times New Roman" w:hAnsi="Times New Roman" w:eastAsia="宋体" w:cs="Times New Roman"/>
                <w:color w:val="auto"/>
                <w:kern w:val="0"/>
                <w:sz w:val="21"/>
                <w:szCs w:val="21"/>
                <w:highlight w:val="none"/>
              </w:rPr>
              <w:t>，评价等级为简单分析。</w:t>
            </w:r>
          </w:p>
        </w:tc>
      </w:tr>
    </w:tbl>
    <w:p w14:paraId="7349D2B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宋体" w:hAnsi="宋体" w:eastAsia="宋体" w:cs="Times New Roman"/>
          <w:b/>
          <w:bCs/>
          <w:color w:val="auto"/>
          <w:kern w:val="0"/>
          <w:sz w:val="21"/>
          <w:szCs w:val="21"/>
          <w:highlight w:val="none"/>
          <w:lang w:val="en-US" w:eastAsia="zh-CN" w:bidi="ar-SA"/>
        </w:rPr>
      </w:pPr>
    </w:p>
    <w:p w14:paraId="1AE56A2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宋体" w:hAnsi="宋体" w:eastAsia="宋体" w:cs="Times New Roman"/>
          <w:b/>
          <w:bCs/>
          <w:color w:val="auto"/>
          <w:kern w:val="0"/>
          <w:sz w:val="21"/>
          <w:szCs w:val="21"/>
          <w:highlight w:val="none"/>
          <w:lang w:val="en-US" w:eastAsia="zh-CN" w:bidi="ar-SA"/>
        </w:rPr>
      </w:pPr>
    </w:p>
    <w:p w14:paraId="04B1EB7A">
      <w:pPr>
        <w:widowControl/>
        <w:adjustRightInd w:val="0"/>
        <w:snapToGrid w:val="0"/>
        <w:spacing w:before="192" w:beforeLines="80"/>
        <w:jc w:val="left"/>
        <w:rPr>
          <w:rFonts w:ascii="宋体"/>
          <w:color w:val="auto"/>
          <w:highlight w:val="none"/>
        </w:rPr>
      </w:pPr>
    </w:p>
    <w:sectPr>
      <w:footerReference r:id="rId8" w:type="default"/>
      <w:pgSz w:w="11906" w:h="16838"/>
      <w:pgMar w:top="1440" w:right="1800" w:bottom="1440" w:left="1800" w:header="851" w:footer="1077" w:gutter="0"/>
      <w:pgBorders>
        <w:top w:val="none" w:sz="0" w:space="0"/>
        <w:left w:val="none" w:sz="0" w:space="0"/>
        <w:bottom w:val="none" w:sz="0" w:space="0"/>
        <w:right w:val="none" w:sz="0" w:space="0"/>
      </w:pgBorders>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akuyoxingshu7000">
    <w:altName w:val="SimSun-ExtB"/>
    <w:panose1 w:val="02000600000000000000"/>
    <w:charset w:val="00"/>
    <w:family w:val="auto"/>
    <w:pitch w:val="default"/>
    <w:sig w:usb0="00000000" w:usb1="00000000" w:usb2="0000003F" w:usb3="00000000" w:csb0="003F00FF" w:csb1="00000000"/>
  </w:font>
  <w:font w:name="SimSun-ExtB">
    <w:panose1 w:val="02010609060101010101"/>
    <w:charset w:val="86"/>
    <w:family w:val="auto"/>
    <w:pitch w:val="default"/>
    <w:sig w:usb0="00000001" w:usb1="02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TimesNewRomanPSMT">
    <w:altName w:val="Times New Roman"/>
    <w:panose1 w:val="00000000000000000000"/>
    <w:charset w:val="00"/>
    <w:family w:val="auto"/>
    <w:pitch w:val="default"/>
    <w:sig w:usb0="00000000" w:usb1="00000000" w:usb2="00000000" w:usb3="00000000" w:csb0="00040001" w:csb1="00000000"/>
  </w:font>
  <w:font w:name="Noto Sans CJK JP Regular">
    <w:altName w:val="Arial"/>
    <w:panose1 w:val="00000000000000000000"/>
    <w:charset w:val="00"/>
    <w:family w:val="swiss"/>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4F30">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669D3">
    <w:pPr>
      <w:pStyle w:val="14"/>
      <w:framePr w:wrap="around" w:vAnchor="text" w:hAnchor="margin" w:xAlign="outside" w:y="1"/>
      <w:rPr>
        <w:rStyle w:val="28"/>
        <w:rFonts w:ascii="宋体" w:hAnsi="宋体"/>
        <w:sz w:val="28"/>
        <w:szCs w:val="28"/>
      </w:rPr>
    </w:pPr>
    <w:r>
      <w:rPr>
        <w:rStyle w:val="28"/>
        <w:rFonts w:hint="eastAsia" w:ascii="宋体" w:hAnsi="宋体"/>
        <w:sz w:val="28"/>
        <w:szCs w:val="28"/>
      </w:rPr>
      <w:t>—</w:t>
    </w:r>
    <w:r>
      <w:rPr>
        <w:rStyle w:val="28"/>
        <w:rFonts w:hint="eastAsia" w:ascii="宋体" w:hAnsi="宋体"/>
        <w:sz w:val="20"/>
        <w:szCs w:val="20"/>
      </w:rPr>
      <w:t xml:space="preserve">  </w:t>
    </w:r>
    <w:r>
      <w:rPr>
        <w:rStyle w:val="28"/>
        <w:rFonts w:ascii="宋体" w:hAnsi="宋体"/>
        <w:sz w:val="26"/>
        <w:szCs w:val="26"/>
      </w:rPr>
      <w:fldChar w:fldCharType="begin"/>
    </w:r>
    <w:r>
      <w:rPr>
        <w:rStyle w:val="28"/>
        <w:rFonts w:ascii="宋体" w:hAnsi="宋体"/>
        <w:sz w:val="26"/>
        <w:szCs w:val="26"/>
      </w:rPr>
      <w:instrText xml:space="preserve">PAGE  </w:instrText>
    </w:r>
    <w:r>
      <w:rPr>
        <w:rStyle w:val="28"/>
        <w:rFonts w:ascii="宋体" w:hAnsi="宋体"/>
        <w:sz w:val="26"/>
        <w:szCs w:val="26"/>
      </w:rPr>
      <w:fldChar w:fldCharType="separate"/>
    </w:r>
    <w:r>
      <w:rPr>
        <w:rStyle w:val="28"/>
        <w:rFonts w:ascii="宋体" w:hAnsi="宋体"/>
        <w:sz w:val="26"/>
        <w:szCs w:val="26"/>
      </w:rPr>
      <w:t>22</w:t>
    </w:r>
    <w:r>
      <w:rPr>
        <w:rStyle w:val="28"/>
        <w:rFonts w:ascii="宋体" w:hAnsi="宋体"/>
        <w:sz w:val="26"/>
        <w:szCs w:val="26"/>
      </w:rPr>
      <w:fldChar w:fldCharType="end"/>
    </w:r>
    <w:r>
      <w:rPr>
        <w:rStyle w:val="28"/>
        <w:rFonts w:hint="eastAsia" w:ascii="宋体" w:hAnsi="宋体"/>
        <w:sz w:val="20"/>
        <w:szCs w:val="20"/>
      </w:rPr>
      <w:t xml:space="preserve">  </w:t>
    </w:r>
    <w:r>
      <w:rPr>
        <w:rStyle w:val="28"/>
        <w:rFonts w:hint="eastAsia" w:ascii="宋体" w:hAnsi="宋体"/>
        <w:sz w:val="28"/>
        <w:szCs w:val="28"/>
      </w:rPr>
      <w:t>—</w:t>
    </w:r>
  </w:p>
  <w:p w14:paraId="6EF05770">
    <w:pPr>
      <w:pStyle w:val="14"/>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27515">
    <w:pPr>
      <w:widowControl w:val="0"/>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73A031">
                          <w:pPr>
                            <w:widowControl w:val="0"/>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1</w:t>
                          </w:r>
                          <w:r>
                            <w:rPr>
                              <w:rFonts w:ascii="Times New Roman" w:hAnsi="Times New Roman" w:eastAsia="宋体" w:cs="Times New Roman"/>
                              <w:kern w:val="0"/>
                              <w:sz w:val="18"/>
                              <w:szCs w:val="20"/>
                              <w:lang w:val="en-US" w:eastAsia="zh-CN" w:bidi="ar-SA"/>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WmfV3yQEAAJoDAAAOAAAAAAAAAAEAIAAAAB4BAABkcnMvZTJvRG9j&#10;LnhtbFBLBQYAAAAABgAGAFkBAABZBQAAAAA=&#10;">
              <v:fill on="f" focussize="0,0"/>
              <v:stroke on="f"/>
              <v:imagedata o:title=""/>
              <o:lock v:ext="edit" aspectratio="f"/>
              <v:textbox inset="0mm,0mm,0mm,0mm" style="mso-fit-shape-to-text:t;">
                <w:txbxContent>
                  <w:p w14:paraId="4373A031">
                    <w:pPr>
                      <w:widowControl w:val="0"/>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0"/>
                        <w:sz w:val="18"/>
                        <w:szCs w:val="20"/>
                        <w:lang w:val="en-US" w:eastAsia="zh-CN" w:bidi="ar-SA"/>
                      </w:rPr>
                      <w:instrText xml:space="preserve"> PAGE  \* MERGEFORMAT </w:instrText>
                    </w:r>
                    <w:r>
                      <w:rPr>
                        <w:rFonts w:ascii="Times New Roman" w:hAnsi="Times New Roman" w:eastAsia="宋体" w:cs="Times New Roman"/>
                        <w:kern w:val="0"/>
                        <w:sz w:val="18"/>
                        <w:szCs w:val="20"/>
                        <w:lang w:val="en-US" w:eastAsia="zh-CN" w:bidi="ar-SA"/>
                      </w:rPr>
                      <w:fldChar w:fldCharType="separate"/>
                    </w:r>
                    <w:r>
                      <w:rPr>
                        <w:rFonts w:ascii="Times New Roman" w:hAnsi="Times New Roman" w:eastAsia="宋体" w:cs="Times New Roman"/>
                        <w:kern w:val="0"/>
                        <w:sz w:val="18"/>
                        <w:szCs w:val="20"/>
                        <w:lang w:val="en-US" w:eastAsia="zh-CN" w:bidi="ar-SA"/>
                      </w:rPr>
                      <w:t>1</w:t>
                    </w:r>
                    <w:r>
                      <w:rPr>
                        <w:rFonts w:ascii="Times New Roman" w:hAnsi="Times New Roman" w:eastAsia="宋体" w:cs="Times New Roman"/>
                        <w:kern w:val="0"/>
                        <w:sz w:val="18"/>
                        <w:szCs w:val="20"/>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941FF">
    <w:pPr>
      <w:widowControl w:val="0"/>
      <w:snapToGrid w:val="0"/>
      <w:jc w:val="left"/>
      <w:rPr>
        <w:rFonts w:ascii="Times New Roman" w:hAnsi="Times New Roman" w:eastAsia="宋体" w:cs="Times New Roman"/>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6E19B">
    <w:pPr>
      <w:widowControl w:val="0"/>
      <w:snapToGrid w:val="0"/>
      <w:jc w:val="left"/>
      <w:rPr>
        <w:rFonts w:ascii="Times New Roman" w:hAnsi="Times New Roman" w:eastAsia="宋体" w:cs="Times New Roman"/>
        <w:kern w:val="0"/>
        <w:sz w:val="18"/>
        <w:szCs w:val="20"/>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B6593">
    <w:pPr>
      <w:widowControl w:val="0"/>
      <w:snapToGrid w:val="0"/>
      <w:jc w:val="left"/>
      <w:rPr>
        <w:rFonts w:ascii="Times New Roman" w:hAnsi="Times New Roman" w:eastAsia="宋体" w:cs="Times New Roman"/>
        <w:kern w:val="0"/>
        <w:sz w:val="18"/>
        <w:szCs w:val="20"/>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E63AED">
                          <w:pPr>
                            <w:pStyle w:val="14"/>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u+udZ98BAAC/AwAADgAAAAAA&#10;AAABACAAAAAeAQAAZHJzL2Uyb0RvYy54bWxQSwUGAAAAAAYABgBZAQAAbwUAAAAA&#10;">
              <v:fill on="f" focussize="0,0"/>
              <v:stroke on="f"/>
              <v:imagedata o:title=""/>
              <o:lock v:ext="edit" aspectratio="f"/>
              <v:textbox inset="0mm,0mm,0mm,0mm" style="mso-fit-shape-to-text:t;">
                <w:txbxContent>
                  <w:p w14:paraId="6FE63AED">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B12A01"/>
    <w:multiLevelType w:val="singleLevel"/>
    <w:tmpl w:val="ECB12A01"/>
    <w:lvl w:ilvl="0" w:tentative="0">
      <w:start w:val="1"/>
      <w:numFmt w:val="decimal"/>
      <w:suff w:val="nothing"/>
      <w:lvlText w:val="（%1）"/>
      <w:lvlJc w:val="left"/>
    </w:lvl>
  </w:abstractNum>
  <w:abstractNum w:abstractNumId="1">
    <w:nsid w:val="FD6939E3"/>
    <w:multiLevelType w:val="singleLevel"/>
    <w:tmpl w:val="FD6939E3"/>
    <w:lvl w:ilvl="0" w:tentative="0">
      <w:start w:val="1"/>
      <w:numFmt w:val="decimal"/>
      <w:suff w:val="nothing"/>
      <w:lvlText w:val="%1、"/>
      <w:lvlJc w:val="left"/>
    </w:lvl>
  </w:abstractNum>
  <w:abstractNum w:abstractNumId="2">
    <w:nsid w:val="03E6897E"/>
    <w:multiLevelType w:val="singleLevel"/>
    <w:tmpl w:val="03E6897E"/>
    <w:lvl w:ilvl="0" w:tentative="0">
      <w:start w:val="1"/>
      <w:numFmt w:val="decimal"/>
      <w:suff w:val="nothing"/>
      <w:lvlText w:val="（%1）"/>
      <w:lvlJc w:val="left"/>
    </w:lvl>
  </w:abstractNum>
  <w:abstractNum w:abstractNumId="3">
    <w:nsid w:val="369F8698"/>
    <w:multiLevelType w:val="singleLevel"/>
    <w:tmpl w:val="369F8698"/>
    <w:lvl w:ilvl="0" w:tentative="0">
      <w:start w:val="1"/>
      <w:numFmt w:val="decimal"/>
      <w:suff w:val="nothing"/>
      <w:lvlText w:val="（%1）"/>
      <w:lvlJc w:val="left"/>
    </w:lvl>
  </w:abstractNum>
  <w:abstractNum w:abstractNumId="4">
    <w:nsid w:val="5ABAD2C6"/>
    <w:multiLevelType w:val="singleLevel"/>
    <w:tmpl w:val="5ABAD2C6"/>
    <w:lvl w:ilvl="0" w:tentative="0">
      <w:start w:val="2"/>
      <w:numFmt w:val="decimal"/>
      <w:suff w:val="nothing"/>
      <w:lvlText w:val="（%1）"/>
      <w:lvlJc w:val="left"/>
    </w:lvl>
  </w:abstractNum>
  <w:abstractNum w:abstractNumId="5">
    <w:nsid w:val="5C8DEF78"/>
    <w:multiLevelType w:val="singleLevel"/>
    <w:tmpl w:val="5C8DEF78"/>
    <w:lvl w:ilvl="0" w:tentative="0">
      <w:start w:val="1"/>
      <w:numFmt w:val="decimal"/>
      <w:suff w:val="nothing"/>
      <w:lvlText w:val="（%1）"/>
      <w:lvlJc w:val="left"/>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绿茶咖啡">
    <w15:presenceInfo w15:providerId="WPS Office" w15:userId="29556616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1CED"/>
    <w:rsid w:val="00001E67"/>
    <w:rsid w:val="00003CD8"/>
    <w:rsid w:val="00005402"/>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942B7"/>
    <w:rsid w:val="000A178E"/>
    <w:rsid w:val="000A557E"/>
    <w:rsid w:val="000B058F"/>
    <w:rsid w:val="000B693F"/>
    <w:rsid w:val="000C09AC"/>
    <w:rsid w:val="000C0A63"/>
    <w:rsid w:val="000C437E"/>
    <w:rsid w:val="000E5F16"/>
    <w:rsid w:val="000F4452"/>
    <w:rsid w:val="000F6DA1"/>
    <w:rsid w:val="000F701B"/>
    <w:rsid w:val="001056A0"/>
    <w:rsid w:val="00115279"/>
    <w:rsid w:val="00117459"/>
    <w:rsid w:val="0011749A"/>
    <w:rsid w:val="00127A68"/>
    <w:rsid w:val="00137430"/>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5347"/>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3380"/>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681E75"/>
    <w:rsid w:val="01914D8B"/>
    <w:rsid w:val="01C506B1"/>
    <w:rsid w:val="02007EED"/>
    <w:rsid w:val="02902A6D"/>
    <w:rsid w:val="029702A0"/>
    <w:rsid w:val="02FC45A7"/>
    <w:rsid w:val="034C108A"/>
    <w:rsid w:val="053022E6"/>
    <w:rsid w:val="05597A8E"/>
    <w:rsid w:val="05742AC8"/>
    <w:rsid w:val="061E7ED4"/>
    <w:rsid w:val="06352F05"/>
    <w:rsid w:val="063E7D85"/>
    <w:rsid w:val="06844FB8"/>
    <w:rsid w:val="06B7699C"/>
    <w:rsid w:val="06BD5DFB"/>
    <w:rsid w:val="070875E0"/>
    <w:rsid w:val="07293586"/>
    <w:rsid w:val="07295285"/>
    <w:rsid w:val="07770C56"/>
    <w:rsid w:val="081163FE"/>
    <w:rsid w:val="08A300C3"/>
    <w:rsid w:val="08AA0601"/>
    <w:rsid w:val="08F655F4"/>
    <w:rsid w:val="092217DD"/>
    <w:rsid w:val="093A7294"/>
    <w:rsid w:val="09A92667"/>
    <w:rsid w:val="09C556F2"/>
    <w:rsid w:val="0A5E78F5"/>
    <w:rsid w:val="0A983F6E"/>
    <w:rsid w:val="0AAC68B2"/>
    <w:rsid w:val="0BD27BF6"/>
    <w:rsid w:val="0CC06645"/>
    <w:rsid w:val="0CE57E5A"/>
    <w:rsid w:val="0D0C3973"/>
    <w:rsid w:val="0E110D06"/>
    <w:rsid w:val="0F13775A"/>
    <w:rsid w:val="0F263B97"/>
    <w:rsid w:val="0F7A7346"/>
    <w:rsid w:val="0F9A112B"/>
    <w:rsid w:val="106D2F64"/>
    <w:rsid w:val="107E65FB"/>
    <w:rsid w:val="10B63710"/>
    <w:rsid w:val="110E5BD1"/>
    <w:rsid w:val="111C2F7A"/>
    <w:rsid w:val="113013DE"/>
    <w:rsid w:val="119F44D6"/>
    <w:rsid w:val="12021CEC"/>
    <w:rsid w:val="122B06C2"/>
    <w:rsid w:val="124D44D7"/>
    <w:rsid w:val="12DC3AAD"/>
    <w:rsid w:val="132331A0"/>
    <w:rsid w:val="13453400"/>
    <w:rsid w:val="134C0C32"/>
    <w:rsid w:val="134F427F"/>
    <w:rsid w:val="13511DA5"/>
    <w:rsid w:val="13951726"/>
    <w:rsid w:val="142B0848"/>
    <w:rsid w:val="14396509"/>
    <w:rsid w:val="1447165C"/>
    <w:rsid w:val="15311E8E"/>
    <w:rsid w:val="15DD0268"/>
    <w:rsid w:val="15F80BFE"/>
    <w:rsid w:val="164756E1"/>
    <w:rsid w:val="1662251B"/>
    <w:rsid w:val="16BF796D"/>
    <w:rsid w:val="16FA09A5"/>
    <w:rsid w:val="17735226"/>
    <w:rsid w:val="17885043"/>
    <w:rsid w:val="178F5592"/>
    <w:rsid w:val="17D336D0"/>
    <w:rsid w:val="18295691"/>
    <w:rsid w:val="182A7068"/>
    <w:rsid w:val="18770500"/>
    <w:rsid w:val="18CE3E98"/>
    <w:rsid w:val="19A370D2"/>
    <w:rsid w:val="19B72B7E"/>
    <w:rsid w:val="19FD2C86"/>
    <w:rsid w:val="1A1324AA"/>
    <w:rsid w:val="1A1C66C0"/>
    <w:rsid w:val="1A42393B"/>
    <w:rsid w:val="1A516B2E"/>
    <w:rsid w:val="1AC35C7E"/>
    <w:rsid w:val="1B046F80"/>
    <w:rsid w:val="1B3267B5"/>
    <w:rsid w:val="1BB2184F"/>
    <w:rsid w:val="1BBC447B"/>
    <w:rsid w:val="1BC25DC8"/>
    <w:rsid w:val="1C3705CC"/>
    <w:rsid w:val="1C5E7925"/>
    <w:rsid w:val="1C887FC8"/>
    <w:rsid w:val="1CDA105D"/>
    <w:rsid w:val="1CF57C45"/>
    <w:rsid w:val="1D383FD6"/>
    <w:rsid w:val="1D5F6196"/>
    <w:rsid w:val="1D6132A5"/>
    <w:rsid w:val="1D8E56D5"/>
    <w:rsid w:val="1D9751A0"/>
    <w:rsid w:val="1E3E561C"/>
    <w:rsid w:val="1E7A43DA"/>
    <w:rsid w:val="1EB277FE"/>
    <w:rsid w:val="1F2B5BA0"/>
    <w:rsid w:val="1F6B68E4"/>
    <w:rsid w:val="1F75506D"/>
    <w:rsid w:val="1FA140B4"/>
    <w:rsid w:val="1FB738D7"/>
    <w:rsid w:val="1FD72C61"/>
    <w:rsid w:val="1FE7539E"/>
    <w:rsid w:val="20146634"/>
    <w:rsid w:val="20340A84"/>
    <w:rsid w:val="20623843"/>
    <w:rsid w:val="20963CB8"/>
    <w:rsid w:val="20B07FB6"/>
    <w:rsid w:val="20B3409F"/>
    <w:rsid w:val="20EC5803"/>
    <w:rsid w:val="21132D8F"/>
    <w:rsid w:val="21354AB4"/>
    <w:rsid w:val="213A031C"/>
    <w:rsid w:val="213B74B1"/>
    <w:rsid w:val="215A2310"/>
    <w:rsid w:val="21DE318A"/>
    <w:rsid w:val="21EF5B80"/>
    <w:rsid w:val="223E208E"/>
    <w:rsid w:val="22456F79"/>
    <w:rsid w:val="22576990"/>
    <w:rsid w:val="229C4EAB"/>
    <w:rsid w:val="229D794E"/>
    <w:rsid w:val="22C73E32"/>
    <w:rsid w:val="22DF117E"/>
    <w:rsid w:val="23113827"/>
    <w:rsid w:val="23902475"/>
    <w:rsid w:val="23E32EED"/>
    <w:rsid w:val="246D6C5B"/>
    <w:rsid w:val="252D53FE"/>
    <w:rsid w:val="25CB59E7"/>
    <w:rsid w:val="25EC2D81"/>
    <w:rsid w:val="264528BD"/>
    <w:rsid w:val="265C6F87"/>
    <w:rsid w:val="26F702B5"/>
    <w:rsid w:val="27313F6F"/>
    <w:rsid w:val="276205CD"/>
    <w:rsid w:val="27764078"/>
    <w:rsid w:val="27D15DD1"/>
    <w:rsid w:val="27F07987"/>
    <w:rsid w:val="28090A48"/>
    <w:rsid w:val="28164F13"/>
    <w:rsid w:val="282910EA"/>
    <w:rsid w:val="289A78F2"/>
    <w:rsid w:val="28A76295"/>
    <w:rsid w:val="29206EB8"/>
    <w:rsid w:val="294F692F"/>
    <w:rsid w:val="29A24CB1"/>
    <w:rsid w:val="29E325E0"/>
    <w:rsid w:val="2A452503"/>
    <w:rsid w:val="2AE01F34"/>
    <w:rsid w:val="2AEF2177"/>
    <w:rsid w:val="2B2D4A4E"/>
    <w:rsid w:val="2BA936A8"/>
    <w:rsid w:val="2C315A5A"/>
    <w:rsid w:val="2D4F33A1"/>
    <w:rsid w:val="2D7B7CF2"/>
    <w:rsid w:val="2D8A43D9"/>
    <w:rsid w:val="2D8D7A26"/>
    <w:rsid w:val="2D9E56F5"/>
    <w:rsid w:val="2DBD333C"/>
    <w:rsid w:val="2DC21DC5"/>
    <w:rsid w:val="2E450300"/>
    <w:rsid w:val="2E667F96"/>
    <w:rsid w:val="2E8226AB"/>
    <w:rsid w:val="2EEE0998"/>
    <w:rsid w:val="2F7C6285"/>
    <w:rsid w:val="2F832C79"/>
    <w:rsid w:val="2FEF2D58"/>
    <w:rsid w:val="303074BA"/>
    <w:rsid w:val="30564A47"/>
    <w:rsid w:val="30580BC9"/>
    <w:rsid w:val="30EB1633"/>
    <w:rsid w:val="311E2ED7"/>
    <w:rsid w:val="312608BD"/>
    <w:rsid w:val="31462D0D"/>
    <w:rsid w:val="315C449C"/>
    <w:rsid w:val="316E559B"/>
    <w:rsid w:val="31B82709"/>
    <w:rsid w:val="322546D1"/>
    <w:rsid w:val="32400B34"/>
    <w:rsid w:val="32580B66"/>
    <w:rsid w:val="325B4596"/>
    <w:rsid w:val="3260395B"/>
    <w:rsid w:val="329E6876"/>
    <w:rsid w:val="3330332D"/>
    <w:rsid w:val="336631F3"/>
    <w:rsid w:val="338217C7"/>
    <w:rsid w:val="33B47723"/>
    <w:rsid w:val="33D934D4"/>
    <w:rsid w:val="33FE2F6A"/>
    <w:rsid w:val="34967B08"/>
    <w:rsid w:val="349A34DB"/>
    <w:rsid w:val="355377A7"/>
    <w:rsid w:val="357F67EE"/>
    <w:rsid w:val="359F0C3E"/>
    <w:rsid w:val="35B93AAE"/>
    <w:rsid w:val="36074A7F"/>
    <w:rsid w:val="36251143"/>
    <w:rsid w:val="36486BE0"/>
    <w:rsid w:val="36923549"/>
    <w:rsid w:val="36B75FBF"/>
    <w:rsid w:val="36FB4891"/>
    <w:rsid w:val="37A442EA"/>
    <w:rsid w:val="386756E7"/>
    <w:rsid w:val="38F12CD3"/>
    <w:rsid w:val="38F94775"/>
    <w:rsid w:val="392971ED"/>
    <w:rsid w:val="3A0D43C8"/>
    <w:rsid w:val="3A881CA1"/>
    <w:rsid w:val="3A976388"/>
    <w:rsid w:val="3B251BE5"/>
    <w:rsid w:val="3B2F036E"/>
    <w:rsid w:val="3B3763D1"/>
    <w:rsid w:val="3BA742B5"/>
    <w:rsid w:val="3BB645EB"/>
    <w:rsid w:val="3CDA245A"/>
    <w:rsid w:val="3CEE0A37"/>
    <w:rsid w:val="3D1D0DC6"/>
    <w:rsid w:val="3D7830DA"/>
    <w:rsid w:val="3D826D07"/>
    <w:rsid w:val="3DBF3C2B"/>
    <w:rsid w:val="3F2F6B8F"/>
    <w:rsid w:val="3F660E74"/>
    <w:rsid w:val="3FD80FD4"/>
    <w:rsid w:val="407A6407"/>
    <w:rsid w:val="408B3D74"/>
    <w:rsid w:val="40B05AAD"/>
    <w:rsid w:val="4157061F"/>
    <w:rsid w:val="415B1EBD"/>
    <w:rsid w:val="417411D1"/>
    <w:rsid w:val="41BA3087"/>
    <w:rsid w:val="41C537DA"/>
    <w:rsid w:val="41D91034"/>
    <w:rsid w:val="42291FBB"/>
    <w:rsid w:val="423A3BCC"/>
    <w:rsid w:val="42E87780"/>
    <w:rsid w:val="42FA5706"/>
    <w:rsid w:val="433A6FE6"/>
    <w:rsid w:val="4350713C"/>
    <w:rsid w:val="436653E0"/>
    <w:rsid w:val="43712CF5"/>
    <w:rsid w:val="43880F63"/>
    <w:rsid w:val="440700DA"/>
    <w:rsid w:val="4440539A"/>
    <w:rsid w:val="44466E54"/>
    <w:rsid w:val="446472DA"/>
    <w:rsid w:val="44CD14E0"/>
    <w:rsid w:val="458946E9"/>
    <w:rsid w:val="46B02CAB"/>
    <w:rsid w:val="46D955A7"/>
    <w:rsid w:val="47133957"/>
    <w:rsid w:val="4779329E"/>
    <w:rsid w:val="47A07E0C"/>
    <w:rsid w:val="47DC362C"/>
    <w:rsid w:val="4870272E"/>
    <w:rsid w:val="488B752C"/>
    <w:rsid w:val="48FD3EF8"/>
    <w:rsid w:val="492B6619"/>
    <w:rsid w:val="49584F34"/>
    <w:rsid w:val="49A85EBB"/>
    <w:rsid w:val="49DC7715"/>
    <w:rsid w:val="4A023139"/>
    <w:rsid w:val="4A7B576F"/>
    <w:rsid w:val="4BBA3C84"/>
    <w:rsid w:val="4C4A0649"/>
    <w:rsid w:val="4CE470D3"/>
    <w:rsid w:val="4D4962B2"/>
    <w:rsid w:val="4D655D09"/>
    <w:rsid w:val="4DE90850"/>
    <w:rsid w:val="4DEC4FB0"/>
    <w:rsid w:val="4E075D8A"/>
    <w:rsid w:val="4E10402F"/>
    <w:rsid w:val="4E3C3076"/>
    <w:rsid w:val="4ED27537"/>
    <w:rsid w:val="4EEF1E97"/>
    <w:rsid w:val="4F912F4E"/>
    <w:rsid w:val="4FBC621D"/>
    <w:rsid w:val="4FC62A8C"/>
    <w:rsid w:val="4FE20F0D"/>
    <w:rsid w:val="50504C4B"/>
    <w:rsid w:val="509C6E7C"/>
    <w:rsid w:val="50AC44E3"/>
    <w:rsid w:val="50B138A7"/>
    <w:rsid w:val="50F419E6"/>
    <w:rsid w:val="51031C29"/>
    <w:rsid w:val="515661FD"/>
    <w:rsid w:val="5162104E"/>
    <w:rsid w:val="517448D5"/>
    <w:rsid w:val="529E7E5B"/>
    <w:rsid w:val="5302488E"/>
    <w:rsid w:val="538B2424"/>
    <w:rsid w:val="53A039CC"/>
    <w:rsid w:val="53A1505A"/>
    <w:rsid w:val="54063E08"/>
    <w:rsid w:val="543437E8"/>
    <w:rsid w:val="54414F42"/>
    <w:rsid w:val="55052414"/>
    <w:rsid w:val="559B174B"/>
    <w:rsid w:val="55CE0CF4"/>
    <w:rsid w:val="56332FB1"/>
    <w:rsid w:val="56B22A9C"/>
    <w:rsid w:val="57B72A76"/>
    <w:rsid w:val="57D32355"/>
    <w:rsid w:val="5838665C"/>
    <w:rsid w:val="58A76AA7"/>
    <w:rsid w:val="58D20246"/>
    <w:rsid w:val="5A0E3B19"/>
    <w:rsid w:val="5A3C747D"/>
    <w:rsid w:val="5ABE2233"/>
    <w:rsid w:val="5B11034C"/>
    <w:rsid w:val="5B276D18"/>
    <w:rsid w:val="5B4669BF"/>
    <w:rsid w:val="5B615ECA"/>
    <w:rsid w:val="5B631C42"/>
    <w:rsid w:val="5BDF5D95"/>
    <w:rsid w:val="5CD01559"/>
    <w:rsid w:val="5CE2303B"/>
    <w:rsid w:val="5CEB1EEF"/>
    <w:rsid w:val="5DBB1C83"/>
    <w:rsid w:val="5DF87A0F"/>
    <w:rsid w:val="5E2F0501"/>
    <w:rsid w:val="5E3E59B5"/>
    <w:rsid w:val="5E5B12F6"/>
    <w:rsid w:val="5E6957C1"/>
    <w:rsid w:val="5F1A2B43"/>
    <w:rsid w:val="5F88611B"/>
    <w:rsid w:val="5FB837BB"/>
    <w:rsid w:val="60A46F85"/>
    <w:rsid w:val="60E52245"/>
    <w:rsid w:val="61BA5677"/>
    <w:rsid w:val="62364782"/>
    <w:rsid w:val="62D046AC"/>
    <w:rsid w:val="63220635"/>
    <w:rsid w:val="63D40BE9"/>
    <w:rsid w:val="63E0211F"/>
    <w:rsid w:val="63E30776"/>
    <w:rsid w:val="648259F2"/>
    <w:rsid w:val="64C01EB3"/>
    <w:rsid w:val="65373578"/>
    <w:rsid w:val="65D5373C"/>
    <w:rsid w:val="6712451C"/>
    <w:rsid w:val="673F2C7A"/>
    <w:rsid w:val="67CC0B6F"/>
    <w:rsid w:val="67D068B1"/>
    <w:rsid w:val="681F6961"/>
    <w:rsid w:val="685E1574"/>
    <w:rsid w:val="68610A2F"/>
    <w:rsid w:val="68684D3C"/>
    <w:rsid w:val="68805514"/>
    <w:rsid w:val="68AB2CEE"/>
    <w:rsid w:val="694E2071"/>
    <w:rsid w:val="697A3B33"/>
    <w:rsid w:val="699E2456"/>
    <w:rsid w:val="69A01E6F"/>
    <w:rsid w:val="69A12D2A"/>
    <w:rsid w:val="6A554E4C"/>
    <w:rsid w:val="6A7B295E"/>
    <w:rsid w:val="6A9B04EB"/>
    <w:rsid w:val="6AA656A7"/>
    <w:rsid w:val="6ACB3360"/>
    <w:rsid w:val="6B086362"/>
    <w:rsid w:val="6B322639"/>
    <w:rsid w:val="6B9419A4"/>
    <w:rsid w:val="6BFD579B"/>
    <w:rsid w:val="6C636C38"/>
    <w:rsid w:val="6D154D66"/>
    <w:rsid w:val="6D655CEE"/>
    <w:rsid w:val="6D885538"/>
    <w:rsid w:val="6DA46816"/>
    <w:rsid w:val="6DB34098"/>
    <w:rsid w:val="6DB545B6"/>
    <w:rsid w:val="6E0948CB"/>
    <w:rsid w:val="6E4375A0"/>
    <w:rsid w:val="6E4476B1"/>
    <w:rsid w:val="6E514CED"/>
    <w:rsid w:val="6E79491A"/>
    <w:rsid w:val="6E7A0912"/>
    <w:rsid w:val="6EB563D5"/>
    <w:rsid w:val="6F225983"/>
    <w:rsid w:val="6FBE16E5"/>
    <w:rsid w:val="6FFC5590"/>
    <w:rsid w:val="70111815"/>
    <w:rsid w:val="70301DA3"/>
    <w:rsid w:val="706D1DD0"/>
    <w:rsid w:val="70856B87"/>
    <w:rsid w:val="70A1528F"/>
    <w:rsid w:val="70B14DA6"/>
    <w:rsid w:val="70B5168D"/>
    <w:rsid w:val="70D527EE"/>
    <w:rsid w:val="70E60EF4"/>
    <w:rsid w:val="71333A0D"/>
    <w:rsid w:val="715B5300"/>
    <w:rsid w:val="715F4BD7"/>
    <w:rsid w:val="71D27F8A"/>
    <w:rsid w:val="71EC42E8"/>
    <w:rsid w:val="71F744C6"/>
    <w:rsid w:val="71F960CF"/>
    <w:rsid w:val="72F53670"/>
    <w:rsid w:val="731F5D5E"/>
    <w:rsid w:val="73A56E44"/>
    <w:rsid w:val="74193B15"/>
    <w:rsid w:val="741E793C"/>
    <w:rsid w:val="746A5998"/>
    <w:rsid w:val="758D75E2"/>
    <w:rsid w:val="75986535"/>
    <w:rsid w:val="75B35160"/>
    <w:rsid w:val="76393874"/>
    <w:rsid w:val="76522B87"/>
    <w:rsid w:val="777059BB"/>
    <w:rsid w:val="77762421"/>
    <w:rsid w:val="77925931"/>
    <w:rsid w:val="77A23630"/>
    <w:rsid w:val="780F09F4"/>
    <w:rsid w:val="7863107C"/>
    <w:rsid w:val="78654DF4"/>
    <w:rsid w:val="78882890"/>
    <w:rsid w:val="789C4F47"/>
    <w:rsid w:val="78A90480"/>
    <w:rsid w:val="79652BD2"/>
    <w:rsid w:val="79811327"/>
    <w:rsid w:val="79CC49FF"/>
    <w:rsid w:val="79DF2984"/>
    <w:rsid w:val="7A06372D"/>
    <w:rsid w:val="7A364017"/>
    <w:rsid w:val="7A8265E1"/>
    <w:rsid w:val="7A827D2E"/>
    <w:rsid w:val="7AF64429"/>
    <w:rsid w:val="7B452CBB"/>
    <w:rsid w:val="7B686D42"/>
    <w:rsid w:val="7B841746"/>
    <w:rsid w:val="7BA270D5"/>
    <w:rsid w:val="7BB3231A"/>
    <w:rsid w:val="7C370855"/>
    <w:rsid w:val="7C5036C5"/>
    <w:rsid w:val="7C7A6994"/>
    <w:rsid w:val="7C7B594C"/>
    <w:rsid w:val="7CE3278B"/>
    <w:rsid w:val="7D0239FF"/>
    <w:rsid w:val="7D5E40CD"/>
    <w:rsid w:val="7D693BED"/>
    <w:rsid w:val="7E024E93"/>
    <w:rsid w:val="7E3A63DB"/>
    <w:rsid w:val="7E4B6941"/>
    <w:rsid w:val="7E7E6C0F"/>
    <w:rsid w:val="7F922AC2"/>
    <w:rsid w:val="7FAC155A"/>
    <w:rsid w:val="7FE47E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unhideWhenUsed="0"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ocked="1"/>
    <w:lsdException w:qFormat="1" w:unhideWhenUsed="0" w:uiPriority="39"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next w:val="1"/>
    <w:qFormat/>
    <w:locked/>
    <w:uiPriority w:val="0"/>
    <w:pPr>
      <w:keepNext/>
      <w:widowControl w:val="0"/>
      <w:spacing w:line="240" w:lineRule="atLeast"/>
      <w:jc w:val="left"/>
      <w:outlineLvl w:val="1"/>
    </w:pPr>
    <w:rPr>
      <w:rFonts w:ascii="Times New Roman" w:hAnsi="Times New Roman" w:eastAsia="宋体" w:cs="Times New Roman"/>
      <w:b/>
      <w:bCs/>
      <w:kern w:val="2"/>
      <w:sz w:val="30"/>
      <w:szCs w:val="30"/>
      <w:lang w:val="en-US" w:eastAsia="zh-CN" w:bidi="ar-SA"/>
    </w:rPr>
  </w:style>
  <w:style w:type="paragraph" w:styleId="4">
    <w:name w:val="heading 3"/>
    <w:next w:val="1"/>
    <w:qFormat/>
    <w:locked/>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line="360" w:lineRule="auto"/>
      <w:ind w:firstLine="420"/>
    </w:pPr>
    <w:rPr>
      <w:sz w:val="24"/>
    </w:rPr>
  </w:style>
  <w:style w:type="paragraph" w:styleId="6">
    <w:name w:val="annotation text"/>
    <w:basedOn w:val="1"/>
    <w:link w:val="30"/>
    <w:semiHidden/>
    <w:qFormat/>
    <w:uiPriority w:val="0"/>
    <w:pPr>
      <w:jc w:val="left"/>
    </w:pPr>
    <w:rPr>
      <w:kern w:val="0"/>
      <w:sz w:val="20"/>
    </w:rPr>
  </w:style>
  <w:style w:type="paragraph" w:styleId="7">
    <w:name w:val="Body Text"/>
    <w:basedOn w:val="1"/>
    <w:link w:val="31"/>
    <w:qFormat/>
    <w:uiPriority w:val="0"/>
    <w:pPr>
      <w:widowControl/>
      <w:snapToGrid w:val="0"/>
      <w:spacing w:before="60" w:after="160" w:line="259" w:lineRule="auto"/>
      <w:ind w:right="113"/>
    </w:pPr>
    <w:rPr>
      <w:kern w:val="0"/>
      <w:sz w:val="18"/>
      <w:szCs w:val="18"/>
    </w:rPr>
  </w:style>
  <w:style w:type="paragraph" w:styleId="8">
    <w:name w:val="Body Text Indent"/>
    <w:basedOn w:val="1"/>
    <w:next w:val="1"/>
    <w:link w:val="32"/>
    <w:semiHidden/>
    <w:qFormat/>
    <w:uiPriority w:val="0"/>
    <w:pPr>
      <w:spacing w:after="120"/>
      <w:ind w:left="420" w:leftChars="200"/>
    </w:pPr>
  </w:style>
  <w:style w:type="paragraph" w:styleId="9">
    <w:name w:val="toc 3"/>
    <w:next w:val="1"/>
    <w:qFormat/>
    <w:locked/>
    <w:uiPriority w:val="0"/>
    <w:pPr>
      <w:widowControl w:val="0"/>
      <w:ind w:left="840" w:leftChars="400"/>
      <w:jc w:val="both"/>
    </w:pPr>
    <w:rPr>
      <w:rFonts w:ascii="Times New Roman" w:hAnsi="Times New Roman" w:eastAsia="宋体" w:cs="Times New Roman"/>
      <w:kern w:val="2"/>
      <w:sz w:val="21"/>
      <w:szCs w:val="24"/>
      <w:lang w:val="en-US" w:eastAsia="zh-CN" w:bidi="ar-SA"/>
    </w:rPr>
  </w:style>
  <w:style w:type="paragraph" w:styleId="10">
    <w:name w:val="Plain Text"/>
    <w:basedOn w:val="1"/>
    <w:qFormat/>
    <w:uiPriority w:val="0"/>
    <w:pPr>
      <w:widowControl w:val="0"/>
      <w:jc w:val="both"/>
    </w:pPr>
    <w:rPr>
      <w:rFonts w:ascii="宋体" w:hAnsi="Courier New" w:eastAsia="宋体" w:cs="Times New Roman"/>
      <w:spacing w:val="10"/>
      <w:kern w:val="2"/>
      <w:sz w:val="21"/>
      <w:szCs w:val="20"/>
      <w:lang w:val="en-US" w:eastAsia="zh-CN" w:bidi="ar-SA"/>
    </w:rPr>
  </w:style>
  <w:style w:type="paragraph" w:styleId="11">
    <w:name w:val="Date"/>
    <w:basedOn w:val="1"/>
    <w:next w:val="1"/>
    <w:link w:val="33"/>
    <w:qFormat/>
    <w:uiPriority w:val="0"/>
    <w:pPr>
      <w:ind w:left="100" w:leftChars="2500"/>
    </w:pPr>
    <w:rPr>
      <w:kern w:val="0"/>
      <w:sz w:val="20"/>
    </w:rPr>
  </w:style>
  <w:style w:type="paragraph" w:styleId="12">
    <w:name w:val="Body Text Indent 2"/>
    <w:basedOn w:val="1"/>
    <w:next w:val="1"/>
    <w:qFormat/>
    <w:uiPriority w:val="0"/>
    <w:pPr>
      <w:spacing w:after="120" w:line="480" w:lineRule="auto"/>
      <w:ind w:left="420" w:leftChars="200"/>
    </w:pPr>
    <w:rPr>
      <w:szCs w:val="20"/>
    </w:rPr>
  </w:style>
  <w:style w:type="paragraph" w:styleId="13">
    <w:name w:val="Balloon Text"/>
    <w:basedOn w:val="1"/>
    <w:link w:val="34"/>
    <w:semiHidden/>
    <w:qFormat/>
    <w:uiPriority w:val="0"/>
    <w:rPr>
      <w:sz w:val="18"/>
      <w:szCs w:val="18"/>
    </w:rPr>
  </w:style>
  <w:style w:type="paragraph" w:styleId="14">
    <w:name w:val="footer"/>
    <w:basedOn w:val="1"/>
    <w:link w:val="35"/>
    <w:qFormat/>
    <w:uiPriority w:val="0"/>
    <w:pPr>
      <w:tabs>
        <w:tab w:val="center" w:pos="4153"/>
        <w:tab w:val="right" w:pos="8306"/>
      </w:tabs>
      <w:snapToGrid w:val="0"/>
      <w:jc w:val="left"/>
    </w:pPr>
    <w:rPr>
      <w:sz w:val="18"/>
      <w:szCs w:val="18"/>
    </w:rPr>
  </w:style>
  <w:style w:type="paragraph" w:styleId="15">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6">
    <w:name w:val="toc 1"/>
    <w:next w:val="1"/>
    <w:qFormat/>
    <w:locked/>
    <w:uiPriority w:val="0"/>
    <w:pPr>
      <w:widowControl w:val="0"/>
      <w:jc w:val="both"/>
    </w:pPr>
    <w:rPr>
      <w:rFonts w:ascii="Times New Roman" w:hAnsi="Times New Roman" w:eastAsia="宋体" w:cs="Times New Roman"/>
      <w:kern w:val="2"/>
      <w:sz w:val="21"/>
      <w:szCs w:val="20"/>
      <w:lang w:val="en-US" w:eastAsia="zh-CN" w:bidi="ar-SA"/>
    </w:rPr>
  </w:style>
  <w:style w:type="paragraph" w:styleId="17">
    <w:name w:val="List"/>
    <w:basedOn w:val="1"/>
    <w:qFormat/>
    <w:uiPriority w:val="0"/>
    <w:pPr>
      <w:ind w:left="200" w:hanging="200" w:hangingChars="200"/>
    </w:pPr>
    <w:rPr>
      <w:szCs w:val="20"/>
    </w:rPr>
  </w:style>
  <w:style w:type="paragraph" w:styleId="18">
    <w:name w:val="toc 2"/>
    <w:next w:val="1"/>
    <w:qFormat/>
    <w:locked/>
    <w:uiPriority w:val="39"/>
    <w:pPr>
      <w:widowControl w:val="0"/>
      <w:ind w:left="210"/>
      <w:jc w:val="left"/>
    </w:pPr>
    <w:rPr>
      <w:rFonts w:ascii="Times New Roman" w:hAnsi="Times New Roman" w:eastAsia="宋体" w:cs="Calibri"/>
      <w:smallCaps/>
      <w:kern w:val="2"/>
      <w:sz w:val="20"/>
      <w:szCs w:val="20"/>
      <w:lang w:val="en-US" w:eastAsia="zh-CN" w:bidi="ar-SA"/>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link w:val="37"/>
    <w:qFormat/>
    <w:uiPriority w:val="0"/>
    <w:pPr>
      <w:widowControl/>
      <w:spacing w:before="100" w:beforeAutospacing="1" w:after="100" w:afterAutospacing="1"/>
      <w:jc w:val="left"/>
    </w:pPr>
    <w:rPr>
      <w:rFonts w:ascii="宋体" w:hAnsi="宋体"/>
      <w:kern w:val="0"/>
      <w:sz w:val="24"/>
    </w:rPr>
  </w:style>
  <w:style w:type="paragraph" w:styleId="21">
    <w:name w:val="annotation subject"/>
    <w:basedOn w:val="6"/>
    <w:next w:val="6"/>
    <w:link w:val="38"/>
    <w:semiHidden/>
    <w:qFormat/>
    <w:uiPriority w:val="0"/>
    <w:rPr>
      <w:b/>
      <w:bCs/>
    </w:rPr>
  </w:style>
  <w:style w:type="paragraph" w:styleId="22">
    <w:name w:val="Body Text First Indent"/>
    <w:basedOn w:val="7"/>
    <w:next w:val="1"/>
    <w:qFormat/>
    <w:uiPriority w:val="0"/>
    <w:pPr>
      <w:widowControl w:val="0"/>
      <w:snapToGrid/>
      <w:spacing w:before="0" w:after="120" w:line="240" w:lineRule="auto"/>
      <w:ind w:right="0" w:firstLine="420" w:firstLineChars="100"/>
    </w:pPr>
    <w:rPr>
      <w:kern w:val="2"/>
      <w:sz w:val="21"/>
    </w:rPr>
  </w:style>
  <w:style w:type="paragraph" w:styleId="23">
    <w:name w:val="Body Text First Indent 2"/>
    <w:basedOn w:val="8"/>
    <w:next w:val="1"/>
    <w:qFormat/>
    <w:uiPriority w:val="0"/>
    <w:pPr>
      <w:ind w:firstLine="420" w:firstLineChars="200"/>
    </w:pPr>
    <w:rPr>
      <w:kern w:val="2"/>
      <w:sz w:val="21"/>
      <w:szCs w:val="24"/>
    </w:rPr>
  </w:style>
  <w:style w:type="table" w:styleId="25">
    <w:name w:val="Table Grid"/>
    <w:basedOn w:val="2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locked/>
    <w:uiPriority w:val="0"/>
    <w:rPr>
      <w:b/>
      <w:bCs/>
    </w:rPr>
  </w:style>
  <w:style w:type="character" w:styleId="28">
    <w:name w:val="page number"/>
    <w:basedOn w:val="26"/>
    <w:qFormat/>
    <w:uiPriority w:val="0"/>
  </w:style>
  <w:style w:type="character" w:styleId="29">
    <w:name w:val="annotation reference"/>
    <w:basedOn w:val="26"/>
    <w:semiHidden/>
    <w:qFormat/>
    <w:uiPriority w:val="0"/>
    <w:rPr>
      <w:sz w:val="21"/>
    </w:rPr>
  </w:style>
  <w:style w:type="character" w:customStyle="1" w:styleId="30">
    <w:name w:val="Comment Text Char"/>
    <w:link w:val="6"/>
    <w:qFormat/>
    <w:locked/>
    <w:uiPriority w:val="0"/>
    <w:rPr>
      <w:rFonts w:ascii="Times New Roman" w:hAnsi="Times New Roman" w:eastAsia="宋体"/>
      <w:sz w:val="24"/>
    </w:rPr>
  </w:style>
  <w:style w:type="character" w:customStyle="1" w:styleId="31">
    <w:name w:val="Body Text Char"/>
    <w:link w:val="7"/>
    <w:qFormat/>
    <w:locked/>
    <w:uiPriority w:val="0"/>
    <w:rPr>
      <w:sz w:val="18"/>
    </w:rPr>
  </w:style>
  <w:style w:type="character" w:customStyle="1" w:styleId="32">
    <w:name w:val="Body Text Indent Char"/>
    <w:basedOn w:val="26"/>
    <w:link w:val="8"/>
    <w:semiHidden/>
    <w:qFormat/>
    <w:locked/>
    <w:uiPriority w:val="0"/>
    <w:rPr>
      <w:rFonts w:ascii="Times New Roman" w:hAnsi="Times New Roman" w:eastAsia="宋体" w:cs="Times New Roman"/>
      <w:sz w:val="24"/>
      <w:szCs w:val="24"/>
    </w:rPr>
  </w:style>
  <w:style w:type="character" w:customStyle="1" w:styleId="33">
    <w:name w:val="Date Char"/>
    <w:link w:val="11"/>
    <w:qFormat/>
    <w:locked/>
    <w:uiPriority w:val="0"/>
    <w:rPr>
      <w:rFonts w:ascii="Times New Roman" w:hAnsi="Times New Roman" w:eastAsia="宋体"/>
      <w:sz w:val="24"/>
    </w:rPr>
  </w:style>
  <w:style w:type="character" w:customStyle="1" w:styleId="34">
    <w:name w:val="Balloon Text Char"/>
    <w:basedOn w:val="26"/>
    <w:link w:val="13"/>
    <w:semiHidden/>
    <w:qFormat/>
    <w:locked/>
    <w:uiPriority w:val="0"/>
    <w:rPr>
      <w:rFonts w:ascii="Times New Roman" w:hAnsi="Times New Roman" w:eastAsia="宋体" w:cs="Times New Roman"/>
      <w:sz w:val="18"/>
      <w:szCs w:val="18"/>
    </w:rPr>
  </w:style>
  <w:style w:type="character" w:customStyle="1" w:styleId="35">
    <w:name w:val="Footer Char"/>
    <w:basedOn w:val="26"/>
    <w:link w:val="14"/>
    <w:qFormat/>
    <w:locked/>
    <w:uiPriority w:val="0"/>
    <w:rPr>
      <w:rFonts w:cs="Times New Roman"/>
      <w:sz w:val="18"/>
      <w:szCs w:val="18"/>
    </w:rPr>
  </w:style>
  <w:style w:type="character" w:customStyle="1" w:styleId="36">
    <w:name w:val="Header Char"/>
    <w:basedOn w:val="26"/>
    <w:link w:val="15"/>
    <w:qFormat/>
    <w:locked/>
    <w:uiPriority w:val="0"/>
    <w:rPr>
      <w:rFonts w:cs="Times New Roman"/>
      <w:sz w:val="18"/>
      <w:szCs w:val="18"/>
    </w:rPr>
  </w:style>
  <w:style w:type="character" w:customStyle="1" w:styleId="37">
    <w:name w:val="Normal (Web) Char"/>
    <w:link w:val="20"/>
    <w:qFormat/>
    <w:locked/>
    <w:uiPriority w:val="0"/>
    <w:rPr>
      <w:rFonts w:ascii="宋体" w:hAnsi="宋体" w:eastAsia="宋体"/>
      <w:sz w:val="24"/>
    </w:rPr>
  </w:style>
  <w:style w:type="character" w:customStyle="1" w:styleId="38">
    <w:name w:val="Comment Subject Char"/>
    <w:basedOn w:val="30"/>
    <w:link w:val="21"/>
    <w:semiHidden/>
    <w:qFormat/>
    <w:locked/>
    <w:uiPriority w:val="0"/>
    <w:rPr>
      <w:rFonts w:cs="Times New Roman"/>
      <w:b/>
      <w:bCs/>
      <w:kern w:val="2"/>
      <w:szCs w:val="24"/>
    </w:rPr>
  </w:style>
  <w:style w:type="character" w:customStyle="1" w:styleId="39">
    <w:name w:val="日期 字符"/>
    <w:basedOn w:val="26"/>
    <w:semiHidden/>
    <w:qFormat/>
    <w:uiPriority w:val="0"/>
    <w:rPr>
      <w:rFonts w:ascii="Times New Roman" w:hAnsi="Times New Roman" w:eastAsia="宋体" w:cs="Times New Roman"/>
      <w:sz w:val="24"/>
      <w:szCs w:val="24"/>
    </w:rPr>
  </w:style>
  <w:style w:type="character" w:customStyle="1" w:styleId="40">
    <w:name w:val="正文文本 字符1"/>
    <w:basedOn w:val="26"/>
    <w:semiHidden/>
    <w:qFormat/>
    <w:uiPriority w:val="0"/>
    <w:rPr>
      <w:rFonts w:ascii="Times New Roman" w:hAnsi="Times New Roman" w:eastAsia="宋体" w:cs="Times New Roman"/>
      <w:sz w:val="24"/>
      <w:szCs w:val="24"/>
    </w:rPr>
  </w:style>
  <w:style w:type="paragraph" w:customStyle="1" w:styleId="41">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2">
    <w:name w:val="表格 Char"/>
    <w:link w:val="43"/>
    <w:qFormat/>
    <w:locked/>
    <w:uiPriority w:val="0"/>
    <w:rPr>
      <w:rFonts w:ascii="宋体"/>
      <w:sz w:val="21"/>
    </w:rPr>
  </w:style>
  <w:style w:type="paragraph" w:customStyle="1" w:styleId="43">
    <w:name w:val="表格"/>
    <w:basedOn w:val="1"/>
    <w:link w:val="42"/>
    <w:qFormat/>
    <w:uiPriority w:val="0"/>
    <w:pPr>
      <w:adjustRightInd w:val="0"/>
      <w:snapToGrid w:val="0"/>
      <w:spacing w:beforeLines="10" w:afterLines="10" w:line="259" w:lineRule="auto"/>
      <w:jc w:val="center"/>
    </w:pPr>
    <w:rPr>
      <w:rFonts w:ascii="宋体"/>
      <w:kern w:val="0"/>
      <w:sz w:val="20"/>
      <w:szCs w:val="21"/>
    </w:rPr>
  </w:style>
  <w:style w:type="character" w:customStyle="1" w:styleId="44">
    <w:name w:val="批注文字 字符1"/>
    <w:basedOn w:val="26"/>
    <w:semiHidden/>
    <w:qFormat/>
    <w:uiPriority w:val="0"/>
    <w:rPr>
      <w:rFonts w:ascii="Times New Roman" w:hAnsi="Times New Roman" w:eastAsia="宋体" w:cs="Times New Roman"/>
      <w:sz w:val="24"/>
      <w:szCs w:val="24"/>
    </w:rPr>
  </w:style>
  <w:style w:type="character" w:customStyle="1" w:styleId="45">
    <w:name w:val="普通(网站) Char"/>
    <w:qFormat/>
    <w:locked/>
    <w:uiPriority w:val="0"/>
    <w:rPr>
      <w:rFonts w:ascii="宋体" w:hAnsi="宋体" w:eastAsia="宋体"/>
      <w:sz w:val="24"/>
    </w:rPr>
  </w:style>
  <w:style w:type="paragraph" w:customStyle="1" w:styleId="46">
    <w:name w:val="正文1"/>
    <w:basedOn w:val="1"/>
    <w:qFormat/>
    <w:uiPriority w:val="0"/>
    <w:pPr>
      <w:adjustRightInd w:val="0"/>
      <w:snapToGrid w:val="0"/>
      <w:spacing w:line="500" w:lineRule="atLeast"/>
      <w:ind w:firstLine="567"/>
    </w:pPr>
    <w:rPr>
      <w:sz w:val="28"/>
      <w:szCs w:val="20"/>
    </w:rPr>
  </w:style>
  <w:style w:type="paragraph" w:customStyle="1" w:styleId="47">
    <w:name w:val="样式5"/>
    <w:basedOn w:val="17"/>
    <w:qFormat/>
    <w:uiPriority w:val="0"/>
    <w:pPr>
      <w:snapToGrid w:val="0"/>
      <w:ind w:firstLine="510"/>
    </w:pPr>
  </w:style>
  <w:style w:type="paragraph" w:customStyle="1" w:styleId="48">
    <w:name w:val="Table Paragraph"/>
    <w:basedOn w:val="1"/>
    <w:qFormat/>
    <w:uiPriority w:val="1"/>
    <w:pPr>
      <w:autoSpaceDE w:val="0"/>
      <w:autoSpaceDN w:val="0"/>
      <w:jc w:val="center"/>
    </w:pPr>
    <w:rPr>
      <w:rFonts w:ascii="hakuyoxingshu7000" w:hAnsi="hakuyoxingshu7000" w:eastAsia="hakuyoxingshu7000" w:cs="hakuyoxingshu7000"/>
      <w:kern w:val="0"/>
      <w:sz w:val="22"/>
      <w:szCs w:val="20"/>
      <w:lang w:eastAsia="en-US"/>
    </w:rPr>
  </w:style>
  <w:style w:type="paragraph" w:customStyle="1" w:styleId="4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0">
    <w:name w:val="样式 样式 Arial 小四 黑色 段前: 6 磅 行距: 固定值 22 磅 + Times New Roman 首行缩进: ..."/>
    <w:basedOn w:val="1"/>
    <w:qFormat/>
    <w:uiPriority w:val="0"/>
    <w:pPr>
      <w:adjustRightInd w:val="0"/>
      <w:snapToGrid w:val="0"/>
      <w:spacing w:line="360" w:lineRule="auto"/>
      <w:ind w:firstLine="480" w:firstLineChars="200"/>
    </w:pPr>
    <w:rPr>
      <w:rFonts w:ascii="Times New Roman" w:hAnsi="Times New Roman" w:eastAsia="Calibri" w:cs="宋体"/>
      <w:color w:val="000000"/>
      <w:sz w:val="24"/>
      <w:szCs w:val="20"/>
    </w:rPr>
  </w:style>
  <w:style w:type="paragraph" w:customStyle="1" w:styleId="5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2">
    <w:name w:val="表头"/>
    <w:basedOn w:val="5"/>
    <w:next w:val="1"/>
    <w:qFormat/>
    <w:uiPriority w:val="0"/>
    <w:pPr>
      <w:spacing w:line="360" w:lineRule="auto"/>
      <w:ind w:firstLine="0" w:firstLineChars="0"/>
      <w:jc w:val="center"/>
    </w:pPr>
    <w:rPr>
      <w:b/>
      <w:kern w:val="0"/>
      <w:sz w:val="20"/>
      <w:szCs w:val="22"/>
    </w:rPr>
  </w:style>
  <w:style w:type="paragraph" w:customStyle="1" w:styleId="53">
    <w:name w:val="Default1"/>
    <w:qFormat/>
    <w:uiPriority w:val="99"/>
    <w:pPr>
      <w:widowControl w:val="0"/>
      <w:autoSpaceDE w:val="0"/>
      <w:autoSpaceDN w:val="0"/>
      <w:adjustRightInd w:val="0"/>
    </w:pPr>
    <w:rPr>
      <w:rFonts w:ascii="宋体" w:hAnsi="Times New Roman" w:eastAsia="微软雅黑" w:cs="宋体"/>
      <w:color w:val="000000"/>
      <w:sz w:val="24"/>
      <w:szCs w:val="24"/>
      <w:lang w:val="en-US" w:eastAsia="zh-CN" w:bidi="ar-SA"/>
    </w:rPr>
  </w:style>
  <w:style w:type="paragraph" w:customStyle="1" w:styleId="54">
    <w:name w:val="TX-表格文字"/>
    <w:basedOn w:val="10"/>
    <w:qFormat/>
    <w:uiPriority w:val="0"/>
    <w:pPr>
      <w:widowControl w:val="0"/>
      <w:autoSpaceDE w:val="0"/>
      <w:autoSpaceDN w:val="0"/>
      <w:adjustRightInd w:val="0"/>
      <w:spacing w:line="240" w:lineRule="auto"/>
      <w:ind w:left="24" w:leftChars="10" w:right="24" w:rightChars="10" w:firstLine="0" w:firstLineChars="0"/>
      <w:jc w:val="center"/>
      <w:textAlignment w:val="baseline"/>
    </w:pPr>
    <w:rPr>
      <w:rFonts w:ascii="Times New Roman" w:hAnsi="Times New Roman" w:eastAsia="宋体" w:cs="Times New Roman"/>
      <w:color w:val="000000"/>
      <w:spacing w:val="11"/>
      <w:kern w:val="0"/>
      <w:sz w:val="21"/>
      <w:szCs w:val="20"/>
      <w:lang w:val="en-US" w:eastAsia="zh-CN" w:bidi="ar-SA"/>
    </w:rPr>
  </w:style>
  <w:style w:type="paragraph" w:customStyle="1" w:styleId="55">
    <w:name w:val="表格标题w"/>
    <w:basedOn w:val="1"/>
    <w:qFormat/>
    <w:uiPriority w:val="0"/>
    <w:pPr>
      <w:keepNext/>
      <w:adjustRightInd w:val="0"/>
      <w:spacing w:line="440" w:lineRule="exact"/>
      <w:jc w:val="center"/>
    </w:pPr>
    <w:rPr>
      <w:rFonts w:cs="Arial"/>
      <w:b/>
      <w:szCs w:val="21"/>
    </w:rPr>
  </w:style>
  <w:style w:type="paragraph" w:customStyle="1" w:styleId="56">
    <w:name w:val="TX-表头"/>
    <w:next w:val="1"/>
    <w:qFormat/>
    <w:uiPriority w:val="0"/>
    <w:pPr>
      <w:spacing w:before="10" w:beforeLines="10" w:after="10" w:afterLines="10" w:line="360" w:lineRule="auto"/>
      <w:jc w:val="center"/>
      <w:textAlignment w:val="center"/>
    </w:pPr>
    <w:rPr>
      <w:rFonts w:ascii="Times New Roman" w:hAnsi="Times New Roman" w:eastAsia="仿宋" w:cs="Times New Roman"/>
      <w:b/>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microsoft.com/office/2011/relationships/people" Target="people.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77</Pages>
  <Words>5939</Words>
  <Characters>6158</Characters>
  <Lines>9</Lines>
  <Paragraphs>2</Paragraphs>
  <TotalTime>1</TotalTime>
  <ScaleCrop>false</ScaleCrop>
  <LinksUpToDate>false</LinksUpToDate>
  <CharactersWithSpaces>6221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绿茶咖啡</cp:lastModifiedBy>
  <cp:lastPrinted>2020-12-24T01:50:00Z</cp:lastPrinted>
  <dcterms:modified xsi:type="dcterms:W3CDTF">2026-03-11T08:23:36Z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eyJoZGlkIjoiZmE0NTgyMzVmYzE5ZTYwZDgzMDZhNmNkZGFkMGE1YTAiLCJ1c2VySWQiOiIzMDQ2NjczODEifQ==</vt:lpwstr>
  </property>
  <property fmtid="{D5CDD505-2E9C-101B-9397-08002B2CF9AE}" pid="4" name="ICV">
    <vt:lpwstr>7B605AD4631C4DAEB206B9438E041057_13</vt:lpwstr>
  </property>
</Properties>
</file>