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0332">
      <w:pPr>
        <w:keepNext w:val="0"/>
        <w:keepLines w:val="0"/>
        <w:pageBreakBefore w:val="0"/>
        <w:widowControl w:val="0"/>
        <w:kinsoku/>
        <w:wordWrap w:val="0"/>
        <w:overflowPunct/>
        <w:topLinePunct w:val="0"/>
        <w:autoSpaceDE/>
        <w:autoSpaceDN/>
        <w:bidi w:val="0"/>
        <w:adjustRightInd/>
        <w:snapToGrid/>
        <w:spacing w:line="600" w:lineRule="auto"/>
        <w:jc w:val="center"/>
        <w:textAlignment w:val="auto"/>
        <w:rPr>
          <w:rFonts w:hint="eastAsia" w:ascii="Times New Roman" w:hAnsi="Times New Roman" w:eastAsia="方正小标宋简体" w:cs="Times New Roman"/>
          <w:sz w:val="36"/>
          <w:szCs w:val="36"/>
          <w:lang w:val="en-US" w:eastAsia="zh-CN"/>
        </w:rPr>
      </w:pPr>
      <w:r>
        <w:rPr>
          <w:rFonts w:hint="eastAsia" w:ascii="Times New Roman" w:hAnsi="Times New Roman" w:eastAsia="方正小标宋简体" w:cs="Times New Roman"/>
          <w:sz w:val="36"/>
          <w:szCs w:val="36"/>
          <w:lang w:val="en-US" w:eastAsia="zh-CN"/>
        </w:rPr>
        <w:t>鄂尔多斯市伊化矿业资源有限责任公司</w:t>
      </w:r>
    </w:p>
    <w:p w14:paraId="40A30E23">
      <w:pPr>
        <w:keepNext w:val="0"/>
        <w:keepLines w:val="0"/>
        <w:pageBreakBefore w:val="0"/>
        <w:widowControl w:val="0"/>
        <w:kinsoku/>
        <w:wordWrap w:val="0"/>
        <w:overflowPunct/>
        <w:topLinePunct w:val="0"/>
        <w:autoSpaceDE/>
        <w:autoSpaceDN/>
        <w:bidi w:val="0"/>
        <w:adjustRightInd/>
        <w:snapToGrid/>
        <w:spacing w:line="600" w:lineRule="auto"/>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母杜柴登煤矿202</w:t>
      </w:r>
      <w:r>
        <w:rPr>
          <w:rFonts w:hint="eastAsia" w:ascii="Times New Roman" w:hAnsi="Times New Roman" w:eastAsia="方正小标宋简体" w:cs="Times New Roman"/>
          <w:sz w:val="36"/>
          <w:szCs w:val="36"/>
          <w:lang w:val="en-US" w:eastAsia="zh-CN"/>
        </w:rPr>
        <w:t>6</w:t>
      </w:r>
      <w:r>
        <w:rPr>
          <w:rFonts w:hint="default" w:ascii="Times New Roman" w:hAnsi="Times New Roman" w:eastAsia="方正小标宋简体" w:cs="Times New Roman"/>
          <w:sz w:val="36"/>
          <w:szCs w:val="36"/>
        </w:rPr>
        <w:t>年</w:t>
      </w:r>
      <w:r>
        <w:rPr>
          <w:rFonts w:hint="default" w:ascii="Times New Roman" w:hAnsi="Times New Roman" w:eastAsia="方正小标宋简体" w:cs="Times New Roman"/>
          <w:sz w:val="36"/>
          <w:szCs w:val="36"/>
          <w:lang w:val="en-US" w:eastAsia="zh-CN"/>
        </w:rPr>
        <w:t>度</w:t>
      </w:r>
      <w:r>
        <w:rPr>
          <w:rFonts w:hint="default" w:ascii="Times New Roman" w:hAnsi="Times New Roman" w:eastAsia="方正小标宋简体" w:cs="Times New Roman"/>
          <w:sz w:val="36"/>
          <w:szCs w:val="36"/>
        </w:rPr>
        <w:t>矿山地质环境</w:t>
      </w:r>
    </w:p>
    <w:p w14:paraId="37C73FD7">
      <w:pPr>
        <w:keepNext w:val="0"/>
        <w:keepLines w:val="0"/>
        <w:pageBreakBefore w:val="0"/>
        <w:widowControl w:val="0"/>
        <w:kinsoku/>
        <w:wordWrap w:val="0"/>
        <w:overflowPunct/>
        <w:topLinePunct w:val="0"/>
        <w:autoSpaceDE/>
        <w:autoSpaceDN/>
        <w:bidi w:val="0"/>
        <w:adjustRightInd/>
        <w:snapToGrid/>
        <w:spacing w:line="600" w:lineRule="auto"/>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治理</w:t>
      </w:r>
      <w:r>
        <w:rPr>
          <w:rFonts w:hint="eastAsia" w:ascii="Times New Roman" w:hAnsi="Times New Roman" w:eastAsia="方正小标宋简体" w:cs="Times New Roman"/>
          <w:sz w:val="36"/>
          <w:szCs w:val="36"/>
          <w:lang w:val="en-US" w:eastAsia="zh-CN"/>
        </w:rPr>
        <w:t>与土地复垦</w:t>
      </w:r>
      <w:r>
        <w:rPr>
          <w:rFonts w:hint="default" w:ascii="Times New Roman" w:hAnsi="Times New Roman" w:eastAsia="方正小标宋简体" w:cs="Times New Roman"/>
          <w:sz w:val="36"/>
          <w:szCs w:val="36"/>
        </w:rPr>
        <w:t>计划书</w:t>
      </w:r>
    </w:p>
    <w:p w14:paraId="3E94720D">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7ABB2BB9">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5EA004BD">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16303A5A">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496E4E41">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250DCD3B">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731DA38F">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0B6FA0A6">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3CD946E6">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17054E57">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4C483344">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7CA81619">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21950BD4">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0B2E766A">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2C077EE2">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14B6D149">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1E706EE2">
      <w:pPr>
        <w:keepNext w:val="0"/>
        <w:keepLines w:val="0"/>
        <w:pageBreakBefore w:val="0"/>
        <w:widowControl w:val="0"/>
        <w:kinsoku/>
        <w:wordWrap w:val="0"/>
        <w:overflowPunct/>
        <w:topLinePunct w:val="0"/>
        <w:autoSpaceDE/>
        <w:autoSpaceDN/>
        <w:bidi w:val="0"/>
        <w:adjustRightInd/>
        <w:snapToGrid/>
        <w:spacing w:line="560" w:lineRule="exact"/>
        <w:ind w:firstLine="720" w:firstLineChars="200"/>
        <w:jc w:val="center"/>
        <w:textAlignment w:val="auto"/>
        <w:rPr>
          <w:rFonts w:hint="default" w:ascii="Times New Roman" w:hAnsi="Times New Roman" w:eastAsia="方正小标宋简体" w:cs="Times New Roman"/>
          <w:sz w:val="36"/>
          <w:szCs w:val="36"/>
        </w:rPr>
      </w:pPr>
    </w:p>
    <w:p w14:paraId="43070B23">
      <w:pPr>
        <w:keepNext w:val="0"/>
        <w:keepLines w:val="0"/>
        <w:pageBreakBefore w:val="0"/>
        <w:kinsoku/>
        <w:wordWrap w:val="0"/>
        <w:overflowPunct/>
        <w:topLinePunct w:val="0"/>
        <w:autoSpaceDE/>
        <w:autoSpaceDN/>
        <w:bidi w:val="0"/>
        <w:spacing w:line="560" w:lineRule="exact"/>
        <w:ind w:firstLine="480" w:firstLineChars="200"/>
        <w:jc w:val="center"/>
        <w:textAlignment w:val="auto"/>
        <w:rPr>
          <w:rFonts w:hint="eastAsia" w:ascii="Times New Roman" w:hAnsi="Times New Roman" w:eastAsia="方正小标宋简体" w:cs="Times New Roman"/>
          <w:kern w:val="2"/>
          <w:sz w:val="24"/>
          <w:szCs w:val="24"/>
          <w:lang w:val="en-US" w:eastAsia="zh-CN" w:bidi="ar-SA"/>
        </w:rPr>
      </w:pPr>
      <w:r>
        <w:rPr>
          <w:rFonts w:hint="eastAsia" w:ascii="Times New Roman" w:hAnsi="Times New Roman" w:eastAsia="方正小标宋简体" w:cs="Times New Roman"/>
          <w:kern w:val="2"/>
          <w:sz w:val="24"/>
          <w:szCs w:val="24"/>
          <w:lang w:val="en-US" w:eastAsia="zh-CN" w:bidi="ar-SA"/>
        </w:rPr>
        <w:t>鄂尔多斯市伊化矿业资源有限责任公司</w:t>
      </w:r>
    </w:p>
    <w:p w14:paraId="2BB77410">
      <w:pPr>
        <w:pStyle w:val="3"/>
        <w:keepNext w:val="0"/>
        <w:keepLines w:val="0"/>
        <w:pageBreakBefore w:val="0"/>
        <w:kinsoku/>
        <w:wordWrap w:val="0"/>
        <w:overflowPunct/>
        <w:topLinePunct w:val="0"/>
        <w:autoSpaceDE/>
        <w:autoSpaceDN/>
        <w:bidi w:val="0"/>
        <w:spacing w:line="560" w:lineRule="exact"/>
        <w:ind w:firstLine="480" w:firstLineChars="200"/>
        <w:jc w:val="center"/>
        <w:textAlignment w:val="auto"/>
        <w:rPr>
          <w:rFonts w:hint="default" w:ascii="Times New Roman" w:hAnsi="Times New Roman" w:eastAsia="方正小标宋简体" w:cs="Times New Roman"/>
          <w:kern w:val="2"/>
          <w:sz w:val="24"/>
          <w:szCs w:val="24"/>
          <w:lang w:val="en-US" w:eastAsia="zh-CN" w:bidi="ar-SA"/>
        </w:rPr>
      </w:pPr>
      <w:r>
        <w:rPr>
          <w:rFonts w:hint="eastAsia" w:ascii="Times New Roman" w:hAnsi="Times New Roman" w:eastAsia="方正小标宋简体" w:cs="Times New Roman"/>
          <w:kern w:val="2"/>
          <w:sz w:val="24"/>
          <w:szCs w:val="24"/>
          <w:lang w:val="en-US" w:eastAsia="zh-CN" w:bidi="ar-SA"/>
        </w:rPr>
        <w:t>2026年8月</w:t>
      </w:r>
    </w:p>
    <w:p w14:paraId="50DE9EE1">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方正仿宋简体" w:cs="Times New Roman"/>
          <w:color w:val="000000"/>
          <w:kern w:val="0"/>
          <w:sz w:val="30"/>
          <w:szCs w:val="30"/>
          <w:lang w:val="en-US" w:eastAsia="zh-CN" w:bidi="ar"/>
        </w:rPr>
        <w:sectPr>
          <w:pgSz w:w="11906" w:h="16838"/>
          <w:pgMar w:top="1440" w:right="1800" w:bottom="1440" w:left="1800" w:header="851" w:footer="992" w:gutter="0"/>
          <w:cols w:space="720" w:num="1"/>
          <w:rtlGutter w:val="0"/>
          <w:docGrid w:type="lines" w:linePitch="312" w:charSpace="0"/>
        </w:sectPr>
      </w:pPr>
    </w:p>
    <w:p w14:paraId="03435BF0">
      <w:pPr>
        <w:keepNext w:val="0"/>
        <w:keepLines w:val="0"/>
        <w:pageBreakBefore w:val="0"/>
        <w:kinsoku/>
        <w:wordWrap w:val="0"/>
        <w:overflowPunct/>
        <w:topLinePunct w:val="0"/>
        <w:autoSpaceDE/>
        <w:autoSpaceDN/>
        <w:bidi w:val="0"/>
        <w:spacing w:before="0" w:beforeLines="0" w:after="0" w:afterLines="0" w:line="560" w:lineRule="exact"/>
        <w:ind w:right="0" w:rightChars="0"/>
        <w:jc w:val="center"/>
        <w:textAlignment w:val="auto"/>
        <w:rPr>
          <w:rFonts w:hint="eastAsia" w:ascii="黑体" w:hAnsi="黑体" w:eastAsia="黑体" w:cs="黑体"/>
          <w:sz w:val="36"/>
          <w:szCs w:val="36"/>
        </w:rPr>
      </w:pPr>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161C26CE">
      <w:pPr>
        <w:pStyle w:val="5"/>
        <w:keepNext w:val="0"/>
        <w:keepLines w:val="0"/>
        <w:pageBreakBefore w:val="0"/>
        <w:tabs>
          <w:tab w:val="right" w:leader="dot" w:pos="8306"/>
        </w:tabs>
        <w:kinsoku/>
        <w:wordWrap w:val="0"/>
        <w:overflowPunct/>
        <w:topLinePunct w:val="0"/>
        <w:autoSpaceDE/>
        <w:autoSpaceDN/>
        <w:bidi w:val="0"/>
        <w:adjustRightInd/>
        <w:snapToGrid/>
        <w:spacing w:line="560" w:lineRule="exact"/>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sz w:val="24"/>
          <w:szCs w:val="32"/>
        </w:rPr>
        <w:fldChar w:fldCharType="begin"/>
      </w:r>
      <w:r>
        <w:rPr>
          <w:rFonts w:hint="default" w:ascii="Times New Roman" w:hAnsi="Times New Roman" w:eastAsia="方正仿宋_GB2312" w:cs="Times New Roman"/>
          <w:sz w:val="24"/>
          <w:szCs w:val="32"/>
        </w:rPr>
        <w:instrText xml:space="preserve">TOC \o "1-3" \h \u </w:instrText>
      </w:r>
      <w:r>
        <w:rPr>
          <w:rFonts w:hint="default" w:ascii="Times New Roman" w:hAnsi="Times New Roman" w:eastAsia="方正仿宋_GB2312" w:cs="Times New Roman"/>
          <w:sz w:val="24"/>
          <w:szCs w:val="32"/>
        </w:rPr>
        <w:fldChar w:fldCharType="separate"/>
      </w:r>
      <w:r>
        <w:rPr>
          <w:rFonts w:hint="default" w:ascii="Times New Roman" w:hAnsi="Times New Roman" w:eastAsia="方正仿宋_GB2312" w:cs="Times New Roman"/>
          <w:b/>
          <w:bCs/>
          <w:sz w:val="28"/>
          <w:szCs w:val="28"/>
        </w:rPr>
        <w:fldChar w:fldCharType="begin"/>
      </w:r>
      <w:r>
        <w:rPr>
          <w:rFonts w:hint="default" w:ascii="Times New Roman" w:hAnsi="Times New Roman" w:eastAsia="方正仿宋_GB2312" w:cs="Times New Roman"/>
          <w:b/>
          <w:bCs/>
          <w:sz w:val="28"/>
          <w:szCs w:val="28"/>
        </w:rPr>
        <w:instrText xml:space="preserve"> HYPERLINK \l _Toc21033 </w:instrText>
      </w:r>
      <w:r>
        <w:rPr>
          <w:rFonts w:hint="default" w:ascii="Times New Roman" w:hAnsi="Times New Roman" w:eastAsia="方正仿宋_GB2312" w:cs="Times New Roman"/>
          <w:b/>
          <w:bCs/>
          <w:sz w:val="28"/>
          <w:szCs w:val="28"/>
        </w:rPr>
        <w:fldChar w:fldCharType="separate"/>
      </w:r>
      <w:r>
        <w:rPr>
          <w:rFonts w:hint="default" w:ascii="Times New Roman" w:hAnsi="Times New Roman" w:eastAsia="方正仿宋_GB2312" w:cs="Times New Roman"/>
          <w:b/>
          <w:bCs/>
          <w:sz w:val="28"/>
          <w:szCs w:val="28"/>
        </w:rPr>
        <w:t xml:space="preserve">第一章 </w:t>
      </w:r>
      <w:r>
        <w:rPr>
          <w:rFonts w:hint="default" w:ascii="Times New Roman" w:hAnsi="Times New Roman" w:eastAsia="方正仿宋_GB2312" w:cs="Times New Roman"/>
          <w:b/>
          <w:bCs/>
          <w:sz w:val="28"/>
          <w:szCs w:val="28"/>
          <w:lang w:val="en-US" w:eastAsia="zh-CN"/>
        </w:rPr>
        <w:t>矿山企业基本信息</w:t>
      </w:r>
      <w:r>
        <w:rPr>
          <w:rFonts w:hint="default" w:ascii="Times New Roman" w:hAnsi="Times New Roman" w:eastAsia="方正仿宋_GB2312" w:cs="Times New Roman"/>
          <w:b/>
          <w:bCs/>
          <w:sz w:val="28"/>
          <w:szCs w:val="28"/>
        </w:rPr>
        <w:tab/>
      </w:r>
      <w:r>
        <w:rPr>
          <w:rFonts w:hint="eastAsia" w:ascii="Times New Roman" w:hAnsi="Times New Roman" w:eastAsia="方正仿宋_GB2312" w:cs="Times New Roman"/>
          <w:b/>
          <w:bCs/>
          <w:sz w:val="28"/>
          <w:szCs w:val="28"/>
          <w:lang w:val="en-US" w:eastAsia="zh-CN"/>
        </w:rPr>
        <w:t>1</w:t>
      </w:r>
      <w:r>
        <w:rPr>
          <w:rFonts w:hint="default" w:ascii="Times New Roman" w:hAnsi="Times New Roman" w:eastAsia="方正仿宋_GB2312" w:cs="Times New Roman"/>
          <w:b/>
          <w:bCs/>
          <w:sz w:val="28"/>
          <w:szCs w:val="28"/>
        </w:rPr>
        <w:fldChar w:fldCharType="end"/>
      </w:r>
    </w:p>
    <w:p w14:paraId="3C741EC6">
      <w:pPr>
        <w:pStyle w:val="5"/>
        <w:keepNext w:val="0"/>
        <w:keepLines w:val="0"/>
        <w:pageBreakBefore w:val="0"/>
        <w:tabs>
          <w:tab w:val="right" w:leader="dot" w:pos="8306"/>
        </w:tabs>
        <w:kinsoku/>
        <w:wordWrap w:val="0"/>
        <w:overflowPunct/>
        <w:topLinePunct w:val="0"/>
        <w:autoSpaceDE/>
        <w:autoSpaceDN/>
        <w:bidi w:val="0"/>
        <w:adjustRightInd/>
        <w:snapToGrid/>
        <w:spacing w:line="560" w:lineRule="exact"/>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fldChar w:fldCharType="begin"/>
      </w:r>
      <w:r>
        <w:rPr>
          <w:rFonts w:hint="default" w:ascii="Times New Roman" w:hAnsi="Times New Roman" w:eastAsia="方正仿宋_GB2312" w:cs="Times New Roman"/>
          <w:b/>
          <w:bCs/>
          <w:sz w:val="28"/>
          <w:szCs w:val="28"/>
        </w:rPr>
        <w:instrText xml:space="preserve"> HYPERLINK \l _Toc1555 </w:instrText>
      </w:r>
      <w:r>
        <w:rPr>
          <w:rFonts w:hint="default" w:ascii="Times New Roman" w:hAnsi="Times New Roman" w:eastAsia="方正仿宋_GB2312" w:cs="Times New Roman"/>
          <w:b/>
          <w:bCs/>
          <w:sz w:val="28"/>
          <w:szCs w:val="28"/>
        </w:rPr>
        <w:fldChar w:fldCharType="separate"/>
      </w:r>
      <w:r>
        <w:rPr>
          <w:rFonts w:hint="default" w:ascii="Times New Roman" w:hAnsi="Times New Roman" w:eastAsia="方正仿宋_GB2312" w:cs="Times New Roman"/>
          <w:b/>
          <w:bCs/>
          <w:sz w:val="28"/>
          <w:szCs w:val="28"/>
        </w:rPr>
        <w:t>第</w:t>
      </w:r>
      <w:r>
        <w:rPr>
          <w:rFonts w:hint="default" w:ascii="Times New Roman" w:hAnsi="Times New Roman" w:eastAsia="方正仿宋_GB2312" w:cs="Times New Roman"/>
          <w:b/>
          <w:bCs/>
          <w:sz w:val="28"/>
          <w:szCs w:val="28"/>
          <w:lang w:val="en-US" w:eastAsia="zh-CN"/>
        </w:rPr>
        <w:t>二</w:t>
      </w:r>
      <w:r>
        <w:rPr>
          <w:rFonts w:hint="default" w:ascii="Times New Roman" w:hAnsi="Times New Roman" w:eastAsia="方正仿宋_GB2312" w:cs="Times New Roman"/>
          <w:b/>
          <w:bCs/>
          <w:sz w:val="28"/>
          <w:szCs w:val="28"/>
        </w:rPr>
        <w:t xml:space="preserve">章 </w:t>
      </w:r>
      <w:r>
        <w:rPr>
          <w:rFonts w:hint="default" w:ascii="Times New Roman" w:hAnsi="Times New Roman" w:eastAsia="方正仿宋_GB2312" w:cs="Times New Roman"/>
          <w:b/>
          <w:bCs/>
          <w:sz w:val="28"/>
          <w:szCs w:val="28"/>
          <w:lang w:val="en-US" w:eastAsia="zh-CN"/>
        </w:rPr>
        <w:t>矿山地质环境治理现状</w:t>
      </w:r>
      <w:r>
        <w:rPr>
          <w:rFonts w:hint="default" w:ascii="Times New Roman" w:hAnsi="Times New Roman" w:eastAsia="方正仿宋_GB2312" w:cs="Times New Roman"/>
          <w:b/>
          <w:bCs/>
          <w:sz w:val="28"/>
          <w:szCs w:val="28"/>
        </w:rPr>
        <w:tab/>
      </w:r>
      <w:r>
        <w:rPr>
          <w:rFonts w:hint="eastAsia" w:ascii="Times New Roman" w:hAnsi="Times New Roman" w:eastAsia="方正仿宋_GB2312" w:cs="Times New Roman"/>
          <w:b/>
          <w:bCs/>
          <w:sz w:val="28"/>
          <w:szCs w:val="28"/>
          <w:lang w:val="en-US" w:eastAsia="zh-CN"/>
        </w:rPr>
        <w:t>2</w:t>
      </w:r>
      <w:r>
        <w:rPr>
          <w:rFonts w:hint="default" w:ascii="Times New Roman" w:hAnsi="Times New Roman" w:eastAsia="方正仿宋_GB2312" w:cs="Times New Roman"/>
          <w:b/>
          <w:bCs/>
          <w:sz w:val="28"/>
          <w:szCs w:val="28"/>
        </w:rPr>
        <w:fldChar w:fldCharType="end"/>
      </w:r>
    </w:p>
    <w:p w14:paraId="35E43AF8">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_Toc115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第一节 以往矿山地质环境治理情况</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2</w:t>
      </w:r>
      <w:r>
        <w:rPr>
          <w:rFonts w:hint="default" w:ascii="Times New Roman" w:hAnsi="Times New Roman" w:eastAsia="方正仿宋_GB2312" w:cs="Times New Roman"/>
          <w:sz w:val="28"/>
          <w:szCs w:val="28"/>
        </w:rPr>
        <w:fldChar w:fldCharType="end"/>
      </w:r>
    </w:p>
    <w:p w14:paraId="7C8C042A">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_Toc21486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第二节 上年度治理情况</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3</w:t>
      </w:r>
      <w:r>
        <w:rPr>
          <w:rFonts w:hint="default" w:ascii="Times New Roman" w:hAnsi="Times New Roman" w:eastAsia="方正仿宋_GB2312" w:cs="Times New Roman"/>
          <w:sz w:val="28"/>
          <w:szCs w:val="28"/>
        </w:rPr>
        <w:fldChar w:fldCharType="end"/>
      </w:r>
    </w:p>
    <w:p w14:paraId="1A167ED7">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_Toc17118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第三节 基金使用情况</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6</w:t>
      </w:r>
      <w:r>
        <w:rPr>
          <w:rFonts w:hint="default" w:ascii="Times New Roman" w:hAnsi="Times New Roman" w:eastAsia="方正仿宋_GB2312" w:cs="Times New Roman"/>
          <w:sz w:val="28"/>
          <w:szCs w:val="28"/>
        </w:rPr>
        <w:fldChar w:fldCharType="end"/>
      </w:r>
    </w:p>
    <w:p w14:paraId="4B40952F">
      <w:pPr>
        <w:pStyle w:val="5"/>
        <w:keepNext w:val="0"/>
        <w:keepLines w:val="0"/>
        <w:pageBreakBefore w:val="0"/>
        <w:tabs>
          <w:tab w:val="right" w:leader="dot" w:pos="8306"/>
        </w:tabs>
        <w:kinsoku/>
        <w:wordWrap w:val="0"/>
        <w:overflowPunct/>
        <w:topLinePunct w:val="0"/>
        <w:autoSpaceDE/>
        <w:autoSpaceDN/>
        <w:bidi w:val="0"/>
        <w:adjustRightInd/>
        <w:snapToGrid/>
        <w:spacing w:line="560" w:lineRule="exact"/>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bCs/>
          <w:sz w:val="28"/>
          <w:szCs w:val="28"/>
        </w:rPr>
        <w:fldChar w:fldCharType="begin"/>
      </w:r>
      <w:r>
        <w:rPr>
          <w:rFonts w:hint="default" w:ascii="Times New Roman" w:hAnsi="Times New Roman" w:eastAsia="方正仿宋_GB2312" w:cs="Times New Roman"/>
          <w:b/>
          <w:bCs/>
          <w:sz w:val="28"/>
          <w:szCs w:val="28"/>
        </w:rPr>
        <w:instrText xml:space="preserve"> HYPERLINK \l _Toc26204 </w:instrText>
      </w:r>
      <w:r>
        <w:rPr>
          <w:rFonts w:hint="default" w:ascii="Times New Roman" w:hAnsi="Times New Roman" w:eastAsia="方正仿宋_GB2312" w:cs="Times New Roman"/>
          <w:b/>
          <w:bCs/>
          <w:sz w:val="28"/>
          <w:szCs w:val="28"/>
        </w:rPr>
        <w:fldChar w:fldCharType="separate"/>
      </w:r>
      <w:r>
        <w:rPr>
          <w:rFonts w:hint="default" w:ascii="Times New Roman" w:hAnsi="Times New Roman" w:eastAsia="方正仿宋_GB2312" w:cs="Times New Roman"/>
          <w:b/>
          <w:bCs/>
          <w:sz w:val="28"/>
          <w:szCs w:val="28"/>
          <w:lang w:val="en-US" w:eastAsia="zh-CN"/>
        </w:rPr>
        <w:t>第三章 202</w:t>
      </w:r>
      <w:r>
        <w:rPr>
          <w:rFonts w:hint="eastAsia" w:ascii="Times New Roman" w:hAnsi="Times New Roman" w:eastAsia="方正仿宋_GB2312" w:cs="Times New Roman"/>
          <w:b/>
          <w:bCs/>
          <w:sz w:val="28"/>
          <w:szCs w:val="28"/>
          <w:lang w:val="en-US" w:eastAsia="zh-CN"/>
        </w:rPr>
        <w:t>6</w:t>
      </w:r>
      <w:r>
        <w:rPr>
          <w:rFonts w:hint="default" w:ascii="Times New Roman" w:hAnsi="Times New Roman" w:eastAsia="方正仿宋_GB2312" w:cs="Times New Roman"/>
          <w:b/>
          <w:bCs/>
          <w:sz w:val="28"/>
          <w:szCs w:val="28"/>
          <w:lang w:val="en-US" w:eastAsia="zh-CN"/>
        </w:rPr>
        <w:t>年矿山地质环境治理与土地复垦计划</w:t>
      </w:r>
      <w:r>
        <w:rPr>
          <w:rFonts w:hint="default" w:ascii="Times New Roman" w:hAnsi="Times New Roman" w:eastAsia="方正仿宋_GB2312" w:cs="Times New Roman"/>
          <w:b/>
          <w:bCs/>
          <w:sz w:val="28"/>
          <w:szCs w:val="28"/>
        </w:rPr>
        <w:tab/>
      </w:r>
      <w:r>
        <w:rPr>
          <w:rFonts w:hint="eastAsia" w:ascii="Times New Roman" w:hAnsi="Times New Roman" w:eastAsia="方正仿宋_GB2312" w:cs="Times New Roman"/>
          <w:b/>
          <w:bCs/>
          <w:sz w:val="28"/>
          <w:szCs w:val="28"/>
          <w:lang w:val="en-US" w:eastAsia="zh-CN"/>
        </w:rPr>
        <w:t>7</w:t>
      </w:r>
      <w:r>
        <w:rPr>
          <w:rFonts w:hint="default" w:ascii="Times New Roman" w:hAnsi="Times New Roman" w:eastAsia="方正仿宋_GB2312" w:cs="Times New Roman"/>
          <w:b/>
          <w:bCs/>
          <w:sz w:val="28"/>
          <w:szCs w:val="28"/>
        </w:rPr>
        <w:fldChar w:fldCharType="end"/>
      </w:r>
    </w:p>
    <w:p w14:paraId="7F5B4715">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_Toc26019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第一节 矿山开采历史及现状</w:t>
      </w:r>
      <w:r>
        <w:rPr>
          <w:rFonts w:hint="default" w:ascii="Times New Roman" w:hAnsi="Times New Roman" w:eastAsia="方正仿宋_GB2312" w:cs="Times New Roman"/>
          <w:sz w:val="28"/>
          <w:szCs w:val="28"/>
        </w:rPr>
        <w:tab/>
      </w: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PAGEREF _Toc26019 \h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sz w:val="28"/>
          <w:szCs w:val="28"/>
        </w:rPr>
        <w:t>7</w:t>
      </w:r>
      <w:r>
        <w:rPr>
          <w:rFonts w:hint="default" w:ascii="Times New Roman" w:hAnsi="Times New Roman" w:eastAsia="方正仿宋_GB2312" w:cs="Times New Roman"/>
          <w:sz w:val="28"/>
          <w:szCs w:val="28"/>
        </w:rPr>
        <w:fldChar w:fldCharType="end"/>
      </w:r>
      <w:r>
        <w:rPr>
          <w:rFonts w:hint="default" w:ascii="Times New Roman" w:hAnsi="Times New Roman" w:eastAsia="方正仿宋_GB2312" w:cs="Times New Roman"/>
          <w:sz w:val="28"/>
          <w:szCs w:val="28"/>
        </w:rPr>
        <w:fldChar w:fldCharType="end"/>
      </w:r>
    </w:p>
    <w:p w14:paraId="6459318E">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_Toc14965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第二节 矿山土地损毁现状</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1</w:t>
      </w:r>
      <w:r>
        <w:rPr>
          <w:rFonts w:hint="default" w:ascii="Times New Roman" w:hAnsi="Times New Roman" w:eastAsia="方正仿宋_GB2312" w:cs="Times New Roman"/>
          <w:sz w:val="28"/>
          <w:szCs w:val="28"/>
        </w:rPr>
        <w:fldChar w:fldCharType="end"/>
      </w:r>
      <w:r>
        <w:rPr>
          <w:rFonts w:hint="eastAsia" w:ascii="Times New Roman" w:hAnsi="Times New Roman" w:eastAsia="方正仿宋_GB2312" w:cs="Times New Roman"/>
          <w:sz w:val="28"/>
          <w:szCs w:val="28"/>
          <w:lang w:val="en-US" w:eastAsia="zh-CN"/>
        </w:rPr>
        <w:t>1</w:t>
      </w:r>
    </w:p>
    <w:p w14:paraId="37797DEF">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_Toc21566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第三节 本年度生产计划</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1</w:t>
      </w:r>
      <w:r>
        <w:rPr>
          <w:rFonts w:hint="default" w:ascii="Times New Roman" w:hAnsi="Times New Roman" w:eastAsia="方正仿宋_GB2312" w:cs="Times New Roman"/>
          <w:sz w:val="28"/>
          <w:szCs w:val="28"/>
        </w:rPr>
        <w:fldChar w:fldCharType="end"/>
      </w:r>
      <w:r>
        <w:rPr>
          <w:rFonts w:hint="eastAsia" w:ascii="Times New Roman" w:hAnsi="Times New Roman" w:eastAsia="方正仿宋_GB2312" w:cs="Times New Roman"/>
          <w:sz w:val="28"/>
          <w:szCs w:val="28"/>
          <w:lang w:val="en-US" w:eastAsia="zh-CN"/>
        </w:rPr>
        <w:t>1</w:t>
      </w:r>
    </w:p>
    <w:p w14:paraId="60F68750">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_Toc19867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第四节 治理范围</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1</w:t>
      </w:r>
      <w:r>
        <w:rPr>
          <w:rFonts w:hint="default" w:ascii="Times New Roman" w:hAnsi="Times New Roman" w:eastAsia="方正仿宋_GB2312" w:cs="Times New Roman"/>
          <w:sz w:val="28"/>
          <w:szCs w:val="28"/>
        </w:rPr>
        <w:fldChar w:fldCharType="end"/>
      </w:r>
      <w:r>
        <w:rPr>
          <w:rFonts w:hint="eastAsia" w:ascii="Times New Roman" w:hAnsi="Times New Roman" w:eastAsia="方正仿宋_GB2312" w:cs="Times New Roman"/>
          <w:sz w:val="28"/>
          <w:szCs w:val="28"/>
          <w:lang w:val="en-US" w:eastAsia="zh-CN"/>
        </w:rPr>
        <w:t>1</w:t>
      </w:r>
    </w:p>
    <w:p w14:paraId="221FDA45">
      <w:pPr>
        <w:pStyle w:val="6"/>
        <w:keepNext w:val="0"/>
        <w:keepLines w:val="0"/>
        <w:pageBreakBefore w:val="0"/>
        <w:tabs>
          <w:tab w:val="right" w:leader="dot" w:pos="8306"/>
        </w:tabs>
        <w:kinsoku/>
        <w:wordWrap w:val="0"/>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HYPERLINK \l _Toc2807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bCs/>
          <w:sz w:val="28"/>
          <w:szCs w:val="28"/>
          <w:lang w:val="en-US" w:eastAsia="zh-CN"/>
        </w:rPr>
        <w:t>第</w:t>
      </w:r>
      <w:r>
        <w:rPr>
          <w:rFonts w:hint="eastAsia" w:ascii="Times New Roman" w:hAnsi="Times New Roman" w:eastAsia="方正仿宋_GB2312" w:cs="Times New Roman"/>
          <w:bCs/>
          <w:sz w:val="28"/>
          <w:szCs w:val="28"/>
          <w:lang w:val="en-US" w:eastAsia="zh-CN"/>
        </w:rPr>
        <w:t>五</w:t>
      </w:r>
      <w:r>
        <w:rPr>
          <w:rFonts w:hint="default" w:ascii="Times New Roman" w:hAnsi="Times New Roman" w:eastAsia="方正仿宋_GB2312" w:cs="Times New Roman"/>
          <w:bCs/>
          <w:sz w:val="28"/>
          <w:szCs w:val="28"/>
          <w:lang w:val="en-US" w:eastAsia="zh-CN"/>
        </w:rPr>
        <w:t xml:space="preserve">节 </w:t>
      </w:r>
      <w:r>
        <w:rPr>
          <w:rFonts w:hint="eastAsia" w:ascii="Times New Roman" w:hAnsi="Times New Roman" w:eastAsia="方正仿宋_GB2312" w:cs="Times New Roman"/>
          <w:bCs/>
          <w:sz w:val="28"/>
          <w:szCs w:val="28"/>
          <w:lang w:val="en-US" w:eastAsia="zh-CN"/>
        </w:rPr>
        <w:t>本年度</w:t>
      </w:r>
      <w:r>
        <w:rPr>
          <w:rFonts w:hint="default" w:ascii="Times New Roman" w:hAnsi="Times New Roman" w:eastAsia="方正仿宋_GB2312" w:cs="Times New Roman"/>
          <w:bCs/>
          <w:sz w:val="28"/>
          <w:szCs w:val="28"/>
          <w:lang w:val="en-US" w:eastAsia="zh-CN"/>
        </w:rPr>
        <w:t>基金使用计划</w:t>
      </w:r>
      <w:r>
        <w:rPr>
          <w:rFonts w:hint="default" w:ascii="Times New Roman" w:hAnsi="Times New Roman" w:eastAsia="方正仿宋_GB2312" w:cs="Times New Roman"/>
          <w:sz w:val="28"/>
          <w:szCs w:val="28"/>
        </w:rPr>
        <w:tab/>
      </w:r>
      <w:r>
        <w:rPr>
          <w:rFonts w:hint="eastAsia" w:ascii="Times New Roman" w:hAnsi="Times New Roman" w:eastAsia="方正仿宋_GB2312" w:cs="Times New Roman"/>
          <w:sz w:val="28"/>
          <w:szCs w:val="28"/>
          <w:lang w:val="en-US" w:eastAsia="zh-CN"/>
        </w:rPr>
        <w:t>1</w:t>
      </w:r>
      <w:r>
        <w:rPr>
          <w:rFonts w:hint="default" w:ascii="Times New Roman" w:hAnsi="Times New Roman" w:eastAsia="方正仿宋_GB2312" w:cs="Times New Roman"/>
          <w:sz w:val="28"/>
          <w:szCs w:val="28"/>
        </w:rPr>
        <w:fldChar w:fldCharType="end"/>
      </w:r>
      <w:r>
        <w:rPr>
          <w:rFonts w:hint="eastAsia" w:ascii="Times New Roman" w:hAnsi="Times New Roman" w:eastAsia="方正仿宋_GB2312" w:cs="Times New Roman"/>
          <w:sz w:val="28"/>
          <w:szCs w:val="28"/>
          <w:lang w:val="en-US" w:eastAsia="zh-CN"/>
        </w:rPr>
        <w:t>2</w:t>
      </w:r>
    </w:p>
    <w:p w14:paraId="3121976F">
      <w:pPr>
        <w:keepNext w:val="0"/>
        <w:keepLines w:val="0"/>
        <w:pageBreakBefore w:val="0"/>
        <w:kinsoku/>
        <w:wordWrap w:val="0"/>
        <w:overflowPunct/>
        <w:topLinePunct w:val="0"/>
        <w:autoSpaceDE/>
        <w:autoSpaceDN/>
        <w:bidi w:val="0"/>
        <w:adjustRightInd/>
        <w:snapToGrid/>
        <w:spacing w:line="560" w:lineRule="exact"/>
        <w:ind w:firstLine="440" w:firstLineChars="200"/>
        <w:textAlignment w:val="auto"/>
        <w:sectPr>
          <w:footerReference r:id="rId3" w:type="default"/>
          <w:pgSz w:w="11906" w:h="16838"/>
          <w:pgMar w:top="1440" w:right="1800" w:bottom="1440" w:left="1800" w:header="851" w:footer="992" w:gutter="0"/>
          <w:pgNumType w:start="1"/>
          <w:cols w:space="720" w:num="1"/>
          <w:rtlGutter w:val="0"/>
          <w:docGrid w:type="lines" w:linePitch="312" w:charSpace="0"/>
        </w:sectPr>
      </w:pPr>
      <w:r>
        <w:rPr>
          <w:rFonts w:hint="default" w:ascii="Times New Roman" w:hAnsi="Times New Roman" w:eastAsia="方正仿宋_GB2312" w:cs="Times New Roman"/>
          <w:sz w:val="22"/>
          <w:szCs w:val="22"/>
        </w:rPr>
        <w:fldChar w:fldCharType="end"/>
      </w:r>
    </w:p>
    <w:p w14:paraId="768A8DC5">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根据《内蒙古自治区矿山地质环境治理恢复基金管理办法(试行)的通知》(内自然资规〔2019〕3号)、《鄂尔多斯市人民政府办公室关于印发矿山地质环境治理恢复基金管理办法（202</w:t>
      </w:r>
      <w:r>
        <w:rPr>
          <w:rFonts w:hint="eastAsia" w:ascii="Times New Roman" w:hAnsi="Times New Roman" w:eastAsia="方正仿宋简体" w:cs="Times New Roman"/>
          <w:color w:val="auto"/>
          <w:kern w:val="2"/>
          <w:sz w:val="30"/>
          <w:szCs w:val="30"/>
          <w:lang w:val="en-US" w:eastAsia="zh-CN" w:bidi="ar-SA"/>
        </w:rPr>
        <w:t>5</w:t>
      </w:r>
      <w:r>
        <w:rPr>
          <w:rFonts w:hint="default" w:ascii="Times New Roman" w:hAnsi="Times New Roman" w:eastAsia="方正仿宋简体" w:cs="Times New Roman"/>
          <w:color w:val="auto"/>
          <w:kern w:val="2"/>
          <w:sz w:val="30"/>
          <w:szCs w:val="30"/>
          <w:lang w:val="en-US" w:eastAsia="zh-CN" w:bidi="ar-SA"/>
        </w:rPr>
        <w:t xml:space="preserve"> 年修订版）的通知》（鄂府办发〔202</w:t>
      </w:r>
      <w:r>
        <w:rPr>
          <w:rFonts w:hint="eastAsia" w:ascii="Times New Roman" w:hAnsi="Times New Roman" w:eastAsia="方正仿宋简体" w:cs="Times New Roman"/>
          <w:color w:val="auto"/>
          <w:kern w:val="2"/>
          <w:sz w:val="30"/>
          <w:szCs w:val="30"/>
          <w:lang w:val="en-US" w:eastAsia="zh-CN" w:bidi="ar-SA"/>
        </w:rPr>
        <w:t>5</w:t>
      </w:r>
      <w:r>
        <w:rPr>
          <w:rFonts w:hint="default" w:ascii="Times New Roman" w:hAnsi="Times New Roman" w:eastAsia="方正仿宋简体" w:cs="Times New Roman"/>
          <w:color w:val="auto"/>
          <w:kern w:val="2"/>
          <w:sz w:val="30"/>
          <w:szCs w:val="30"/>
          <w:lang w:val="en-US" w:eastAsia="zh-CN" w:bidi="ar-SA"/>
        </w:rPr>
        <w:t>〕</w:t>
      </w:r>
      <w:r>
        <w:rPr>
          <w:rFonts w:hint="eastAsia" w:ascii="Times New Roman" w:hAnsi="Times New Roman" w:eastAsia="方正仿宋简体" w:cs="Times New Roman"/>
          <w:color w:val="auto"/>
          <w:kern w:val="2"/>
          <w:sz w:val="30"/>
          <w:szCs w:val="30"/>
          <w:lang w:val="en-US" w:eastAsia="zh-CN" w:bidi="ar-SA"/>
        </w:rPr>
        <w:t>19</w:t>
      </w:r>
      <w:r>
        <w:rPr>
          <w:rFonts w:hint="default" w:ascii="Times New Roman" w:hAnsi="Times New Roman" w:eastAsia="方正仿宋简体" w:cs="Times New Roman"/>
          <w:color w:val="auto"/>
          <w:kern w:val="2"/>
          <w:sz w:val="30"/>
          <w:szCs w:val="30"/>
          <w:lang w:val="en-US" w:eastAsia="zh-CN" w:bidi="ar-SA"/>
        </w:rPr>
        <w:t>号）</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我公司编制完成了《母杜柴登煤矿202</w:t>
      </w:r>
      <w:r>
        <w:rPr>
          <w:rFonts w:hint="eastAsia" w:ascii="Times New Roman" w:hAnsi="Times New Roman" w:eastAsia="方正仿宋简体" w:cs="Times New Roman"/>
          <w:color w:val="auto"/>
          <w:kern w:val="2"/>
          <w:sz w:val="30"/>
          <w:szCs w:val="30"/>
          <w:lang w:val="en-US" w:eastAsia="zh-CN" w:bidi="ar-SA"/>
        </w:rPr>
        <w:t>6</w:t>
      </w:r>
      <w:r>
        <w:rPr>
          <w:rFonts w:hint="default" w:ascii="Times New Roman" w:hAnsi="Times New Roman" w:eastAsia="方正仿宋简体" w:cs="Times New Roman"/>
          <w:color w:val="auto"/>
          <w:kern w:val="2"/>
          <w:sz w:val="30"/>
          <w:szCs w:val="30"/>
          <w:lang w:val="en-US" w:eastAsia="zh-CN" w:bidi="ar-SA"/>
        </w:rPr>
        <w:t>年矿山地质环境治理</w:t>
      </w:r>
      <w:r>
        <w:rPr>
          <w:rFonts w:hint="eastAsia" w:ascii="Times New Roman" w:hAnsi="Times New Roman" w:eastAsia="方正仿宋简体" w:cs="Times New Roman"/>
          <w:color w:val="auto"/>
          <w:kern w:val="2"/>
          <w:sz w:val="30"/>
          <w:szCs w:val="30"/>
          <w:lang w:val="en-US" w:eastAsia="zh-CN" w:bidi="ar-SA"/>
        </w:rPr>
        <w:t>与土地复垦</w:t>
      </w:r>
      <w:r>
        <w:rPr>
          <w:rFonts w:hint="default" w:ascii="Times New Roman" w:hAnsi="Times New Roman" w:eastAsia="方正仿宋简体" w:cs="Times New Roman"/>
          <w:color w:val="auto"/>
          <w:kern w:val="2"/>
          <w:sz w:val="30"/>
          <w:szCs w:val="30"/>
          <w:lang w:val="en-US" w:eastAsia="zh-CN" w:bidi="ar-SA"/>
        </w:rPr>
        <w:t>计划书》。</w:t>
      </w:r>
    </w:p>
    <w:p w14:paraId="5BC3B9D1">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outlineLvl w:val="0"/>
        <w:rPr>
          <w:rFonts w:hint="default" w:ascii="Times New Roman" w:hAnsi="Times New Roman" w:eastAsia="楷体" w:cs="Times New Roman"/>
          <w:b/>
          <w:bCs/>
          <w:color w:val="auto"/>
          <w:sz w:val="30"/>
          <w:szCs w:val="30"/>
        </w:rPr>
      </w:pPr>
      <w:bookmarkStart w:id="0" w:name="_Toc21033"/>
      <w:r>
        <w:rPr>
          <w:rFonts w:hint="default" w:ascii="Times New Roman" w:hAnsi="Times New Roman" w:eastAsia="黑体" w:cs="Times New Roman"/>
          <w:color w:val="auto"/>
          <w:sz w:val="30"/>
          <w:szCs w:val="30"/>
        </w:rPr>
        <w:t xml:space="preserve">第一章 </w:t>
      </w:r>
      <w:r>
        <w:rPr>
          <w:rFonts w:hint="eastAsia" w:ascii="Times New Roman" w:hAnsi="Times New Roman" w:eastAsia="黑体" w:cs="Times New Roman"/>
          <w:color w:val="auto"/>
          <w:sz w:val="30"/>
          <w:szCs w:val="30"/>
          <w:lang w:val="en-US" w:eastAsia="zh-CN"/>
        </w:rPr>
        <w:t>矿山企业基本信息</w:t>
      </w:r>
      <w:bookmarkEnd w:id="0"/>
    </w:p>
    <w:p w14:paraId="41143BE0">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矿山名称：母杜柴登矿井及选煤厂项目，采矿权人：鄂尔多斯市伊化矿业资源有限责任公司，采矿许可证号：C1500002020111110150893</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法人代表：</w:t>
      </w:r>
      <w:r>
        <w:rPr>
          <w:rFonts w:hint="eastAsia" w:ascii="Times New Roman" w:hAnsi="Times New Roman" w:eastAsia="方正仿宋简体" w:cs="Times New Roman"/>
          <w:color w:val="auto"/>
          <w:kern w:val="2"/>
          <w:sz w:val="30"/>
          <w:szCs w:val="30"/>
          <w:lang w:val="en-US" w:eastAsia="zh-CN" w:bidi="ar-SA"/>
        </w:rPr>
        <w:t>李晓林</w:t>
      </w:r>
      <w:r>
        <w:rPr>
          <w:rFonts w:hint="default" w:ascii="Times New Roman" w:hAnsi="Times New Roman" w:eastAsia="方正仿宋简体" w:cs="Times New Roman"/>
          <w:color w:val="auto"/>
          <w:kern w:val="2"/>
          <w:sz w:val="30"/>
          <w:szCs w:val="30"/>
          <w:lang w:val="en-US" w:eastAsia="zh-CN" w:bidi="ar-SA"/>
        </w:rPr>
        <w:t>，有效期：自2020年11月9日至2050年11月9日，生产规模：600万吨/年，开采方式</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地下开采，矿区面积：55.3122平方公里，设计服务年限74年</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矿区范围由17个拐点圈定，划定矿区面积为：55.3122平方公里，开采深度为+760~+400m。我矿办理了取水许可证，目前各类证照均在有效期内。</w:t>
      </w:r>
    </w:p>
    <w:p w14:paraId="1941D643">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母杜柴登煤矿位于鄂尔多斯市境内，煤矿地处毛乌素沙漠南缘，蒙陕</w:t>
      </w:r>
      <w:r>
        <w:rPr>
          <w:rFonts w:hint="eastAsia" w:ascii="Times New Roman" w:hAnsi="Times New Roman" w:eastAsia="方正仿宋简体" w:cs="Times New Roman"/>
          <w:color w:val="auto"/>
          <w:kern w:val="2"/>
          <w:sz w:val="30"/>
          <w:szCs w:val="30"/>
          <w:lang w:val="en-US" w:eastAsia="zh-CN" w:bidi="ar-SA"/>
        </w:rPr>
        <w:t>交界</w:t>
      </w:r>
      <w:r>
        <w:rPr>
          <w:rFonts w:hint="default" w:ascii="Times New Roman" w:hAnsi="Times New Roman" w:eastAsia="方正仿宋简体" w:cs="Times New Roman"/>
          <w:color w:val="auto"/>
          <w:kern w:val="2"/>
          <w:sz w:val="30"/>
          <w:szCs w:val="30"/>
          <w:lang w:val="en-US" w:eastAsia="zh-CN" w:bidi="ar-SA"/>
        </w:rPr>
        <w:t>地带，行政区划隶属鄂尔多斯市乌审旗图克镇管辖，西南至乌审旗57km，东南至陕西省榆林市75km。其地理极值坐标（2000国家大地坐标系）东经：109°25′34″— 109°31′02″，北纬：38°46′54″—38°52′25″。</w:t>
      </w:r>
    </w:p>
    <w:p w14:paraId="535BB844">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煤矿内交通较为便利，地表全部为风积沙，各居民点之间多为沙石便道，煤矿北部有阿小公路通过，煤矿内有运煤铁路专线，北部图克镇至台格苏木之间有简易公路相通。煤矿的东部边界以外13km处有G210国道和包茂高速公路呈南北向通过，经两条公路向南可到达陕西省榆林市，向北可到达鄂尔多斯市东胜区。东胜区是鄂尔多斯市政治、经济、文化、通信中心和重要的交通枢纽，交通网络四通八达，北至包头市108km，南至包神铁路大柳塔车站78km，西达乌海市360km，东抵准格尔旗薛家湾镇120km。</w:t>
      </w:r>
    </w:p>
    <w:p w14:paraId="0006C8F2">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母杜柴登煤矿位于鄂尔多斯高原的东北部，区内地形总体趋势是东南部较高，西北部较低。最高点位于煤矿东南部的N52号钻孔附近，海拔标高为1302.60m；最低点位于煤矿西部边缘，海拔标高为1278.50m。最大地形高差为24.10m。母杜柴登煤矿具典型的高原堆积型丘陵地貌特征，地表全部被第四系风积沙所覆盖，植被稀疏，为沙漠～半沙漠地区。母杜柴登煤矿气候特征属于干旱的温带高原大陆性沙漠气候，太阳辐射强烈，日照丰富，干燥少雨，风大沙多，无霜期短。冬季漫长寒冷，夏季炎热而短暂，春季回暖升温快，秋季气温下降显著。</w:t>
      </w:r>
    </w:p>
    <w:p w14:paraId="1BA17F1A">
      <w:pPr>
        <w:keepNext w:val="0"/>
        <w:keepLines w:val="0"/>
        <w:pageBreakBefore w:val="0"/>
        <w:widowControl w:val="0"/>
        <w:kinsoku/>
        <w:wordWrap w:val="0"/>
        <w:overflowPunct/>
        <w:topLinePunct w:val="0"/>
        <w:autoSpaceDE/>
        <w:autoSpaceDN/>
        <w:bidi w:val="0"/>
        <w:adjustRightInd/>
        <w:snapToGrid/>
        <w:spacing w:line="240" w:lineRule="auto"/>
        <w:ind w:firstLine="600" w:firstLineChars="200"/>
        <w:textAlignment w:val="auto"/>
        <w:outlineLvl w:val="0"/>
        <w:rPr>
          <w:rFonts w:hint="default" w:ascii="Times New Roman" w:hAnsi="Times New Roman" w:eastAsia="黑体" w:cs="Times New Roman"/>
          <w:color w:val="auto"/>
          <w:sz w:val="30"/>
          <w:szCs w:val="30"/>
          <w:lang w:val="en-US" w:eastAsia="zh-CN"/>
        </w:rPr>
      </w:pPr>
      <w:bookmarkStart w:id="1" w:name="_Toc1555"/>
      <w:r>
        <w:rPr>
          <w:rFonts w:hint="default" w:ascii="Times New Roman" w:hAnsi="Times New Roman" w:eastAsia="黑体" w:cs="Times New Roman"/>
          <w:color w:val="auto"/>
          <w:sz w:val="30"/>
          <w:szCs w:val="30"/>
        </w:rPr>
        <w:t>第</w:t>
      </w:r>
      <w:r>
        <w:rPr>
          <w:rFonts w:hint="eastAsia" w:ascii="Times New Roman" w:hAnsi="Times New Roman" w:eastAsia="黑体" w:cs="Times New Roman"/>
          <w:color w:val="auto"/>
          <w:sz w:val="30"/>
          <w:szCs w:val="30"/>
          <w:lang w:val="en-US" w:eastAsia="zh-CN"/>
        </w:rPr>
        <w:t>二</w:t>
      </w:r>
      <w:r>
        <w:rPr>
          <w:rFonts w:hint="default" w:ascii="Times New Roman" w:hAnsi="Times New Roman" w:eastAsia="黑体" w:cs="Times New Roman"/>
          <w:color w:val="auto"/>
          <w:sz w:val="30"/>
          <w:szCs w:val="30"/>
        </w:rPr>
        <w:t xml:space="preserve">章 </w:t>
      </w:r>
      <w:r>
        <w:rPr>
          <w:rFonts w:hint="eastAsia" w:ascii="Times New Roman" w:hAnsi="Times New Roman" w:eastAsia="黑体" w:cs="Times New Roman"/>
          <w:color w:val="auto"/>
          <w:sz w:val="30"/>
          <w:szCs w:val="30"/>
          <w:lang w:val="en-US" w:eastAsia="zh-CN"/>
        </w:rPr>
        <w:t>矿山地质环境治理现状</w:t>
      </w:r>
      <w:bookmarkEnd w:id="1"/>
    </w:p>
    <w:p w14:paraId="26F518DC">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color w:val="auto"/>
          <w:kern w:val="2"/>
          <w:sz w:val="30"/>
          <w:szCs w:val="30"/>
          <w:lang w:val="en-US" w:eastAsia="zh-CN" w:bidi="ar-SA"/>
        </w:rPr>
      </w:pPr>
      <w:bookmarkStart w:id="2" w:name="_Toc115"/>
      <w:r>
        <w:rPr>
          <w:rFonts w:hint="eastAsia" w:ascii="Times New Roman" w:hAnsi="Times New Roman" w:eastAsia="方正仿宋简体" w:cs="Times New Roman"/>
          <w:color w:val="auto"/>
          <w:kern w:val="2"/>
          <w:sz w:val="30"/>
          <w:szCs w:val="30"/>
          <w:lang w:val="en-US" w:eastAsia="zh-CN" w:bidi="ar-SA"/>
        </w:rPr>
        <w:t>第一节 以往矿山地质环境治理情况</w:t>
      </w:r>
      <w:bookmarkEnd w:id="2"/>
    </w:p>
    <w:p w14:paraId="10C49D02">
      <w:pPr>
        <w:keepNext w:val="0"/>
        <w:keepLines w:val="0"/>
        <w:pageBreakBefore w:val="0"/>
        <w:widowControl/>
        <w:suppressLineNumbers w:val="0"/>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kern w:val="2"/>
          <w:sz w:val="30"/>
          <w:szCs w:val="30"/>
          <w:lang w:val="en-US" w:eastAsia="zh-CN" w:bidi="ar-SA"/>
        </w:rPr>
      </w:pPr>
      <w:bookmarkStart w:id="3" w:name="_Toc21486"/>
      <w:r>
        <w:rPr>
          <w:rFonts w:hint="eastAsia" w:ascii="Times New Roman" w:hAnsi="Times New Roman" w:eastAsia="方正仿宋简体" w:cs="Times New Roman"/>
          <w:color w:val="auto"/>
          <w:kern w:val="2"/>
          <w:sz w:val="30"/>
          <w:szCs w:val="30"/>
          <w:lang w:val="en-US" w:eastAsia="zh-CN" w:bidi="ar-SA"/>
        </w:rPr>
        <w:t>母杜柴登煤采取“边生产、边治理”措施。矿山目前对矿山地面工程及周边进行了矿山地质环境治理与土地复垦措施。对工业场地、场外道路及铁路两旁主要采取了生物措施，树种主要选择油松、沙柳、杨树等。</w:t>
      </w:r>
    </w:p>
    <w:p w14:paraId="49C1F67B">
      <w:pPr>
        <w:keepNext w:val="0"/>
        <w:keepLines w:val="0"/>
        <w:pageBreakBefore w:val="0"/>
        <w:widowControl/>
        <w:suppressLineNumbers w:val="0"/>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临时排矸场治理及复垦措施主要为设置沙障及撒播草籽。沙障设置标准为</w:t>
      </w:r>
      <w:r>
        <w:rPr>
          <w:rFonts w:hint="default" w:ascii="Times New Roman" w:hAnsi="Times New Roman" w:eastAsia="方正仿宋简体" w:cs="Times New Roman"/>
          <w:color w:val="auto"/>
          <w:kern w:val="2"/>
          <w:sz w:val="30"/>
          <w:szCs w:val="30"/>
          <w:lang w:val="en-US" w:eastAsia="zh-CN" w:bidi="ar-SA"/>
        </w:rPr>
        <w:t>1m</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1m</w:t>
      </w:r>
      <w:r>
        <w:rPr>
          <w:rFonts w:hint="eastAsia" w:ascii="Times New Roman" w:hAnsi="Times New Roman" w:eastAsia="方正仿宋简体" w:cs="Times New Roman"/>
          <w:color w:val="auto"/>
          <w:kern w:val="2"/>
          <w:sz w:val="30"/>
          <w:szCs w:val="30"/>
          <w:lang w:val="en-US" w:eastAsia="zh-CN" w:bidi="ar-SA"/>
        </w:rPr>
        <w:t>，撒播草籽为沙米、白沙蒿和羊草混合撒播。蓄水池旁沙化草地治理及复垦措施为设置沙障及栽种沙柳，沙障设置标准为</w:t>
      </w:r>
      <w:r>
        <w:rPr>
          <w:rFonts w:hint="default" w:ascii="Times New Roman" w:hAnsi="Times New Roman" w:eastAsia="方正仿宋简体" w:cs="Times New Roman"/>
          <w:color w:val="auto"/>
          <w:kern w:val="2"/>
          <w:sz w:val="30"/>
          <w:szCs w:val="30"/>
          <w:lang w:val="en-US" w:eastAsia="zh-CN" w:bidi="ar-SA"/>
        </w:rPr>
        <w:t>2m</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2m</w:t>
      </w:r>
      <w:r>
        <w:rPr>
          <w:rFonts w:hint="eastAsia" w:ascii="Times New Roman" w:hAnsi="Times New Roman" w:eastAsia="方正仿宋简体" w:cs="Times New Roman"/>
          <w:color w:val="auto"/>
          <w:kern w:val="2"/>
          <w:sz w:val="30"/>
          <w:szCs w:val="30"/>
          <w:lang w:val="en-US" w:eastAsia="zh-CN" w:bidi="ar-SA"/>
        </w:rPr>
        <w:t>，沙柳沿沙障进行种植。</w:t>
      </w:r>
    </w:p>
    <w:p w14:paraId="47C3148D">
      <w:pPr>
        <w:keepNext w:val="0"/>
        <w:keepLines w:val="0"/>
        <w:pageBreakBefore w:val="0"/>
        <w:widowControl w:val="0"/>
        <w:numPr>
          <w:ilvl w:val="0"/>
          <w:numId w:val="1"/>
        </w:numPr>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上年度治理情况</w:t>
      </w:r>
      <w:bookmarkEnd w:id="3"/>
    </w:p>
    <w:p w14:paraId="36B0D9CF">
      <w:pPr>
        <w:pStyle w:val="3"/>
        <w:keepNext w:val="0"/>
        <w:keepLines w:val="0"/>
        <w:pageBreakBefore w:val="0"/>
        <w:numPr>
          <w:ilvl w:val="0"/>
          <w:numId w:val="0"/>
        </w:numPr>
        <w:kinsoku/>
        <w:wordWrap w:val="0"/>
        <w:overflowPunct/>
        <w:topLinePunct w:val="0"/>
        <w:autoSpaceDE/>
        <w:autoSpaceDN/>
        <w:bidi w:val="0"/>
        <w:adjustRightInd/>
        <w:snapToGrid/>
        <w:spacing w:line="240" w:lineRule="auto"/>
        <w:ind w:right="0" w:rightChars="0" w:firstLine="600" w:firstLineChars="200"/>
        <w:textAlignment w:val="auto"/>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2025年度主要治理如下：</w:t>
      </w:r>
    </w:p>
    <w:p w14:paraId="6165850A">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drawing>
          <wp:anchor distT="0" distB="0" distL="0" distR="0" simplePos="0" relativeHeight="251663360" behindDoc="0" locked="0" layoutInCell="1" allowOverlap="1">
            <wp:simplePos x="0" y="0"/>
            <wp:positionH relativeFrom="column">
              <wp:posOffset>574675</wp:posOffset>
            </wp:positionH>
            <wp:positionV relativeFrom="paragraph">
              <wp:posOffset>665480</wp:posOffset>
            </wp:positionV>
            <wp:extent cx="4064000" cy="2009140"/>
            <wp:effectExtent l="0" t="0" r="5080" b="2540"/>
            <wp:wrapSquare wrapText="bothSides"/>
            <wp:docPr id="6" name="图片 4" descr="e6547306099e19c553c23d311786ccb1"/>
            <wp:cNvGraphicFramePr/>
            <a:graphic xmlns:a="http://schemas.openxmlformats.org/drawingml/2006/main">
              <a:graphicData uri="http://schemas.openxmlformats.org/drawingml/2006/picture">
                <pic:pic xmlns:pic="http://schemas.openxmlformats.org/drawingml/2006/picture">
                  <pic:nvPicPr>
                    <pic:cNvPr id="6" name="图片 4" descr="e6547306099e19c553c23d311786ccb1"/>
                    <pic:cNvPicPr/>
                  </pic:nvPicPr>
                  <pic:blipFill>
                    <a:blip r:embed="rId6"/>
                    <a:stretch>
                      <a:fillRect/>
                    </a:stretch>
                  </pic:blipFill>
                  <pic:spPr>
                    <a:xfrm>
                      <a:off x="0" y="0"/>
                      <a:ext cx="4064000" cy="2009140"/>
                    </a:xfrm>
                    <a:prstGeom prst="rect">
                      <a:avLst/>
                    </a:prstGeom>
                    <a:noFill/>
                    <a:ln>
                      <a:noFill/>
                    </a:ln>
                  </pic:spPr>
                </pic:pic>
              </a:graphicData>
            </a:graphic>
          </wp:anchor>
        </w:drawing>
      </w:r>
      <w:r>
        <w:rPr>
          <w:rFonts w:hint="eastAsia" w:ascii="Times New Roman" w:hAnsi="Times New Roman" w:eastAsia="方正仿宋简体" w:cs="Times New Roman"/>
          <w:color w:val="auto"/>
          <w:kern w:val="2"/>
          <w:sz w:val="30"/>
          <w:szCs w:val="30"/>
          <w:lang w:val="en-US" w:eastAsia="zh-CN" w:bidi="ar-SA"/>
        </w:rPr>
        <w:t>1.临时排矸场绿化养护：对临时排矸场全域植被实施浇水养护。</w:t>
      </w:r>
    </w:p>
    <w:p w14:paraId="0A1F27ED">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sz w:val="32"/>
          <w:szCs w:val="32"/>
          <w:lang w:val="en-US" w:eastAsia="zh-CN"/>
        </w:rPr>
      </w:pPr>
    </w:p>
    <w:p w14:paraId="07B635F4">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sz w:val="32"/>
          <w:szCs w:val="32"/>
          <w:lang w:val="en-US" w:eastAsia="zh-CN"/>
        </w:rPr>
      </w:pPr>
    </w:p>
    <w:p w14:paraId="774C8D9E">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sz w:val="32"/>
          <w:szCs w:val="32"/>
          <w:lang w:val="en-US" w:eastAsia="zh-CN"/>
        </w:rPr>
      </w:pPr>
    </w:p>
    <w:p w14:paraId="461F4C57">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p>
    <w:p w14:paraId="5E6522EA">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p>
    <w:p w14:paraId="02C074EA">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2.</w:t>
      </w:r>
      <w:r>
        <w:rPr>
          <w:rFonts w:hint="default" w:ascii="Times New Roman" w:hAnsi="Times New Roman" w:eastAsia="方正仿宋简体" w:cs="Times New Roman"/>
          <w:color w:val="auto"/>
          <w:kern w:val="2"/>
          <w:sz w:val="30"/>
          <w:szCs w:val="30"/>
          <w:lang w:val="en-US" w:eastAsia="zh-CN" w:bidi="ar-SA"/>
        </w:rPr>
        <w:t>严格执行地表巡视制度，每月开展地面全覆盖巡视巡查工作</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经</w:t>
      </w:r>
      <w:r>
        <w:rPr>
          <w:rFonts w:hint="eastAsia" w:ascii="Times New Roman" w:hAnsi="Times New Roman" w:eastAsia="方正仿宋简体" w:cs="Times New Roman"/>
          <w:color w:val="auto"/>
          <w:kern w:val="2"/>
          <w:sz w:val="30"/>
          <w:szCs w:val="30"/>
          <w:lang w:val="en-US" w:eastAsia="zh-CN" w:bidi="ar-SA"/>
        </w:rPr>
        <w:t>实地</w:t>
      </w:r>
      <w:r>
        <w:rPr>
          <w:rFonts w:hint="default" w:ascii="Times New Roman" w:hAnsi="Times New Roman" w:eastAsia="方正仿宋简体" w:cs="Times New Roman"/>
          <w:color w:val="auto"/>
          <w:kern w:val="2"/>
          <w:sz w:val="30"/>
          <w:szCs w:val="30"/>
          <w:lang w:val="en-US" w:eastAsia="zh-CN" w:bidi="ar-SA"/>
        </w:rPr>
        <w:t>巡查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矿井地表无积水，工作面采动影响范围内不受封闭不良钻孔、老窑井口、油气井水源井、塌陷积水区等隐蔽致灾因素影响，井田地表范围内未发现构筑物及可能发生滑坡、崩塌的地质灾害</w:t>
      </w:r>
      <w:r>
        <w:rPr>
          <w:rFonts w:hint="eastAsia" w:ascii="Times New Roman" w:hAnsi="Times New Roman" w:eastAsia="方正仿宋简体" w:cs="Times New Roman"/>
          <w:color w:val="auto"/>
          <w:kern w:val="2"/>
          <w:sz w:val="30"/>
          <w:szCs w:val="30"/>
          <w:lang w:val="en-US" w:eastAsia="zh-CN" w:bidi="ar-SA"/>
        </w:rPr>
        <w:t>。塌陷区范围设有警示牌，其中30207塌陷区布设3块警示牌，30210塌陷区布设3块警示牌。</w:t>
      </w:r>
    </w:p>
    <w:p w14:paraId="67E6668C">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_GB2312" w:cs="Times New Roman"/>
          <w:spacing w:val="-1"/>
          <w:sz w:val="32"/>
          <w:szCs w:val="32"/>
          <w:lang w:val="en-US" w:eastAsia="zh-CN"/>
        </w:rPr>
      </w:pPr>
      <w:r>
        <w:drawing>
          <wp:anchor distT="0" distB="0" distL="0" distR="0" simplePos="0" relativeHeight="251659264" behindDoc="0" locked="0" layoutInCell="1" allowOverlap="1">
            <wp:simplePos x="0" y="0"/>
            <wp:positionH relativeFrom="page">
              <wp:posOffset>3705860</wp:posOffset>
            </wp:positionH>
            <wp:positionV relativeFrom="page">
              <wp:posOffset>1145540</wp:posOffset>
            </wp:positionV>
            <wp:extent cx="2412365" cy="1746885"/>
            <wp:effectExtent l="0" t="0" r="10795" b="5715"/>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7"/>
                    <a:stretch>
                      <a:fillRect/>
                    </a:stretch>
                  </pic:blipFill>
                  <pic:spPr>
                    <a:xfrm>
                      <a:off x="0" y="0"/>
                      <a:ext cx="2412365" cy="1746885"/>
                    </a:xfrm>
                    <a:prstGeom prst="rect">
                      <a:avLst/>
                    </a:prstGeom>
                    <a:noFill/>
                    <a:ln>
                      <a:noFill/>
                    </a:ln>
                  </pic:spPr>
                </pic:pic>
              </a:graphicData>
            </a:graphic>
          </wp:anchor>
        </w:drawing>
      </w:r>
      <w:r>
        <w:drawing>
          <wp:anchor distT="0" distB="0" distL="0" distR="0" simplePos="0" relativeHeight="251660288" behindDoc="0" locked="0" layoutInCell="1" allowOverlap="1">
            <wp:simplePos x="0" y="0"/>
            <wp:positionH relativeFrom="page">
              <wp:posOffset>1197610</wp:posOffset>
            </wp:positionH>
            <wp:positionV relativeFrom="page">
              <wp:posOffset>1159510</wp:posOffset>
            </wp:positionV>
            <wp:extent cx="2287905" cy="1741170"/>
            <wp:effectExtent l="0" t="0" r="13335" b="11430"/>
            <wp:wrapSquare wrapText="bothSides"/>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8"/>
                    <a:stretch>
                      <a:fillRect/>
                    </a:stretch>
                  </pic:blipFill>
                  <pic:spPr>
                    <a:xfrm>
                      <a:off x="0" y="0"/>
                      <a:ext cx="2287905" cy="1741170"/>
                    </a:xfrm>
                    <a:prstGeom prst="rect">
                      <a:avLst/>
                    </a:prstGeom>
                    <a:noFill/>
                    <a:ln>
                      <a:noFill/>
                    </a:ln>
                  </pic:spPr>
                </pic:pic>
              </a:graphicData>
            </a:graphic>
          </wp:anchor>
        </w:drawing>
      </w:r>
    </w:p>
    <w:p w14:paraId="0D72CE66">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default" w:ascii="Times New Roman" w:hAnsi="Times New Roman" w:eastAsia="方正仿宋_GB2312" w:cs="Times New Roman"/>
          <w:spacing w:val="-1"/>
          <w:sz w:val="32"/>
          <w:szCs w:val="32"/>
          <w:lang w:val="en-US" w:eastAsia="zh-CN"/>
        </w:rPr>
      </w:pPr>
    </w:p>
    <w:p w14:paraId="514999EA">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_GB2312" w:cs="Times New Roman"/>
          <w:spacing w:val="-1"/>
          <w:sz w:val="32"/>
          <w:szCs w:val="32"/>
          <w:lang w:val="en-US" w:eastAsia="zh-CN"/>
        </w:rPr>
      </w:pPr>
    </w:p>
    <w:p w14:paraId="794D4E94">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_GB2312" w:cs="Times New Roman"/>
          <w:spacing w:val="-1"/>
          <w:sz w:val="32"/>
          <w:szCs w:val="32"/>
          <w:lang w:val="en-US" w:eastAsia="zh-CN"/>
        </w:rPr>
      </w:pPr>
    </w:p>
    <w:p w14:paraId="6ABBA2F3">
      <w:pPr>
        <w:pStyle w:val="2"/>
        <w:keepNext w:val="0"/>
        <w:keepLines w:val="0"/>
        <w:pageBreakBefore w:val="0"/>
        <w:widowControl/>
        <w:kinsoku w:val="0"/>
        <w:overflowPunct/>
        <w:topLinePunct w:val="0"/>
        <w:autoSpaceDE w:val="0"/>
        <w:autoSpaceDN w:val="0"/>
        <w:bidi w:val="0"/>
        <w:adjustRightInd w:val="0"/>
        <w:snapToGrid w:val="0"/>
        <w:spacing w:line="560" w:lineRule="exact"/>
        <w:jc w:val="both"/>
        <w:textAlignment w:val="baseline"/>
        <w:rPr>
          <w:rFonts w:hint="eastAsia" w:ascii="Times New Roman" w:hAnsi="Times New Roman" w:eastAsia="方正仿宋_GB2312" w:cs="Times New Roman"/>
          <w:spacing w:val="-1"/>
          <w:sz w:val="32"/>
          <w:szCs w:val="32"/>
          <w:lang w:val="en-US" w:eastAsia="zh-CN"/>
        </w:rPr>
      </w:pPr>
    </w:p>
    <w:p w14:paraId="54E2C2DC">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3.煤矿定期组织沉陷监测，其中30207工作面每月监测2次，30210工作面每周监测2-3次。</w:t>
      </w:r>
    </w:p>
    <w:p w14:paraId="65777FE1">
      <w:pPr>
        <w:pStyle w:val="2"/>
        <w:keepNext w:val="0"/>
        <w:keepLines w:val="0"/>
        <w:pageBreakBefore w:val="0"/>
        <w:widowControl/>
        <w:numPr>
          <w:ilvl w:val="0"/>
          <w:numId w:val="0"/>
        </w:numPr>
        <w:kinsoku w:val="0"/>
        <w:overflowPunct/>
        <w:topLinePunct w:val="0"/>
        <w:autoSpaceDE w:val="0"/>
        <w:autoSpaceDN w:val="0"/>
        <w:bidi w:val="0"/>
        <w:adjustRightInd w:val="0"/>
        <w:snapToGrid w:val="0"/>
        <w:spacing w:line="240" w:lineRule="auto"/>
        <w:jc w:val="center"/>
        <w:textAlignment w:val="baseline"/>
        <w:rPr>
          <w:rFonts w:hint="eastAsia"/>
          <w:spacing w:val="-3"/>
        </w:rPr>
      </w:pPr>
      <w:r>
        <w:drawing>
          <wp:inline distT="0" distB="0" distL="114300" distR="114300">
            <wp:extent cx="5560060" cy="4047490"/>
            <wp:effectExtent l="0" t="0" r="2540" b="6350"/>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9"/>
                    <a:stretch>
                      <a:fillRect/>
                    </a:stretch>
                  </pic:blipFill>
                  <pic:spPr>
                    <a:xfrm>
                      <a:off x="0" y="0"/>
                      <a:ext cx="5560060" cy="4047490"/>
                    </a:xfrm>
                    <a:prstGeom prst="rect">
                      <a:avLst/>
                    </a:prstGeom>
                    <a:noFill/>
                    <a:ln>
                      <a:noFill/>
                    </a:ln>
                  </pic:spPr>
                </pic:pic>
              </a:graphicData>
            </a:graphic>
          </wp:inline>
        </w:drawing>
      </w:r>
    </w:p>
    <w:p w14:paraId="74F9C46B">
      <w:pPr>
        <w:pStyle w:val="2"/>
        <w:keepNext w:val="0"/>
        <w:keepLines w:val="0"/>
        <w:pageBreakBefore w:val="0"/>
        <w:widowControl/>
        <w:numPr>
          <w:ilvl w:val="0"/>
          <w:numId w:val="0"/>
        </w:numPr>
        <w:kinsoku w:val="0"/>
        <w:overflowPunct/>
        <w:topLinePunct w:val="0"/>
        <w:autoSpaceDE w:val="0"/>
        <w:autoSpaceDN w:val="0"/>
        <w:bidi w:val="0"/>
        <w:adjustRightInd w:val="0"/>
        <w:snapToGrid w:val="0"/>
        <w:spacing w:line="240" w:lineRule="auto"/>
        <w:jc w:val="center"/>
        <w:textAlignment w:val="baseline"/>
        <w:rPr>
          <w:rFonts w:hint="eastAsia"/>
          <w:lang w:val="en-US" w:eastAsia="zh-CN"/>
        </w:rPr>
      </w:pPr>
      <w:r>
        <w:drawing>
          <wp:inline distT="0" distB="0" distL="114300" distR="114300">
            <wp:extent cx="5637530" cy="4103370"/>
            <wp:effectExtent l="0" t="0" r="1270" b="1143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10"/>
                    <a:stretch>
                      <a:fillRect/>
                    </a:stretch>
                  </pic:blipFill>
                  <pic:spPr>
                    <a:xfrm>
                      <a:off x="0" y="0"/>
                      <a:ext cx="5637530" cy="4103370"/>
                    </a:xfrm>
                    <a:prstGeom prst="rect">
                      <a:avLst/>
                    </a:prstGeom>
                    <a:noFill/>
                    <a:ln>
                      <a:noFill/>
                    </a:ln>
                  </pic:spPr>
                </pic:pic>
              </a:graphicData>
            </a:graphic>
          </wp:inline>
        </w:drawing>
      </w:r>
      <w:r>
        <w:rPr>
          <w:rFonts w:hint="eastAsia"/>
          <w:lang w:val="en-US" w:eastAsia="zh-CN"/>
        </w:rPr>
        <w:t xml:space="preserve"> </w:t>
      </w:r>
    </w:p>
    <w:p w14:paraId="2567C15C">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drawing>
          <wp:anchor distT="0" distB="0" distL="0" distR="0" simplePos="0" relativeHeight="251661312" behindDoc="0" locked="0" layoutInCell="1" allowOverlap="1">
            <wp:simplePos x="0" y="0"/>
            <wp:positionH relativeFrom="page">
              <wp:posOffset>1021715</wp:posOffset>
            </wp:positionH>
            <wp:positionV relativeFrom="page">
              <wp:posOffset>6463030</wp:posOffset>
            </wp:positionV>
            <wp:extent cx="2870200" cy="4060825"/>
            <wp:effectExtent l="0" t="0" r="10160" b="8255"/>
            <wp:wrapSquare wrapText="bothSides"/>
            <wp:docPr id="4" name="图片 5"/>
            <wp:cNvGraphicFramePr/>
            <a:graphic xmlns:a="http://schemas.openxmlformats.org/drawingml/2006/main">
              <a:graphicData uri="http://schemas.openxmlformats.org/drawingml/2006/picture">
                <pic:pic xmlns:pic="http://schemas.openxmlformats.org/drawingml/2006/picture">
                  <pic:nvPicPr>
                    <pic:cNvPr id="4" name="图片 5"/>
                    <pic:cNvPicPr/>
                  </pic:nvPicPr>
                  <pic:blipFill>
                    <a:blip r:embed="rId11"/>
                    <a:stretch>
                      <a:fillRect/>
                    </a:stretch>
                  </pic:blipFill>
                  <pic:spPr>
                    <a:xfrm>
                      <a:off x="0" y="0"/>
                      <a:ext cx="2870200" cy="4060825"/>
                    </a:xfrm>
                    <a:prstGeom prst="rect">
                      <a:avLst/>
                    </a:prstGeom>
                    <a:noFill/>
                    <a:ln>
                      <a:noFill/>
                    </a:ln>
                  </pic:spPr>
                </pic:pic>
              </a:graphicData>
            </a:graphic>
          </wp:anchor>
        </w:drawing>
      </w:r>
      <w:r>
        <w:rPr>
          <w:rFonts w:hint="default" w:ascii="Times New Roman" w:hAnsi="Times New Roman" w:eastAsia="方正仿宋简体" w:cs="Times New Roman"/>
          <w:color w:val="auto"/>
          <w:kern w:val="2"/>
          <w:sz w:val="30"/>
          <w:szCs w:val="30"/>
          <w:lang w:val="en-US" w:eastAsia="zh-CN" w:bidi="ar-SA"/>
        </w:rPr>
        <w:drawing>
          <wp:anchor distT="0" distB="0" distL="114300" distR="114300" simplePos="0" relativeHeight="251662336" behindDoc="0" locked="0" layoutInCell="1" allowOverlap="1">
            <wp:simplePos x="0" y="0"/>
            <wp:positionH relativeFrom="page">
              <wp:posOffset>3907790</wp:posOffset>
            </wp:positionH>
            <wp:positionV relativeFrom="page">
              <wp:posOffset>6412865</wp:posOffset>
            </wp:positionV>
            <wp:extent cx="2870200" cy="4060825"/>
            <wp:effectExtent l="0" t="0" r="10160" b="8255"/>
            <wp:wrapTopAndBottom/>
            <wp:docPr id="1" name="图片 6"/>
            <wp:cNvGraphicFramePr/>
            <a:graphic xmlns:a="http://schemas.openxmlformats.org/drawingml/2006/main">
              <a:graphicData uri="http://schemas.openxmlformats.org/drawingml/2006/picture">
                <pic:pic xmlns:pic="http://schemas.openxmlformats.org/drawingml/2006/picture">
                  <pic:nvPicPr>
                    <pic:cNvPr id="1" name="图片 6"/>
                    <pic:cNvPicPr/>
                  </pic:nvPicPr>
                  <pic:blipFill>
                    <a:blip r:embed="rId12"/>
                    <a:stretch>
                      <a:fillRect/>
                    </a:stretch>
                  </pic:blipFill>
                  <pic:spPr>
                    <a:xfrm>
                      <a:off x="0" y="0"/>
                      <a:ext cx="2870200" cy="4060825"/>
                    </a:xfrm>
                    <a:prstGeom prst="rect">
                      <a:avLst/>
                    </a:prstGeom>
                    <a:noFill/>
                    <a:ln>
                      <a:noFill/>
                    </a:ln>
                  </pic:spPr>
                </pic:pic>
              </a:graphicData>
            </a:graphic>
          </wp:anchor>
        </w:drawing>
      </w:r>
      <w:r>
        <w:rPr>
          <w:rFonts w:hint="eastAsia" w:ascii="Times New Roman" w:hAnsi="Times New Roman" w:eastAsia="方正仿宋简体" w:cs="Times New Roman"/>
          <w:color w:val="auto"/>
          <w:kern w:val="2"/>
          <w:sz w:val="30"/>
          <w:szCs w:val="30"/>
          <w:lang w:val="en-US" w:eastAsia="zh-CN" w:bidi="ar-SA"/>
        </w:rPr>
        <w:t>4</w:t>
      </w:r>
      <w:r>
        <w:rPr>
          <w:rFonts w:hint="eastAsia" w:ascii="Times New Roman" w:hAnsi="Times New Roman" w:eastAsia="方正仿宋简体" w:cs="Times New Roman"/>
          <w:color w:val="auto"/>
          <w:kern w:val="2"/>
          <w:sz w:val="30"/>
          <w:szCs w:val="30"/>
          <w:lang w:val="en-US" w:eastAsia="en-US" w:bidi="ar-SA"/>
        </w:rPr>
        <w:t>.土壤质量监测：依据《矿山地质环境保护与土地复垦方案》要求，煤矿在矿区内布设水土污染监测点7个，定期开展水土污染监测。</w:t>
      </w:r>
    </w:p>
    <w:p w14:paraId="454A76B1">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en-US" w:bidi="ar-SA"/>
        </w:rPr>
      </w:pPr>
      <w:r>
        <w:rPr>
          <w:rFonts w:hint="eastAsia" w:ascii="Times New Roman" w:hAnsi="Times New Roman" w:eastAsia="方正仿宋简体" w:cs="Times New Roman"/>
          <w:color w:val="auto"/>
          <w:kern w:val="2"/>
          <w:sz w:val="30"/>
          <w:szCs w:val="30"/>
          <w:lang w:val="en-US" w:eastAsia="zh-CN" w:bidi="ar-SA"/>
        </w:rPr>
        <w:t>5.</w:t>
      </w:r>
      <w:r>
        <w:rPr>
          <w:rFonts w:hint="eastAsia" w:ascii="Times New Roman" w:hAnsi="Times New Roman" w:eastAsia="方正仿宋简体" w:cs="Times New Roman"/>
          <w:color w:val="auto"/>
          <w:kern w:val="2"/>
          <w:sz w:val="30"/>
          <w:szCs w:val="30"/>
          <w:lang w:val="en-US" w:eastAsia="en-US" w:bidi="ar-SA"/>
        </w:rPr>
        <w:t>地形地貌监测：每月开展一次地形地貌监测。</w:t>
      </w:r>
    </w:p>
    <w:p w14:paraId="6ACC00DA">
      <w:pPr>
        <w:pStyle w:val="2"/>
        <w:keepNext w:val="0"/>
        <w:keepLines w:val="0"/>
        <w:pageBreakBefore w:val="0"/>
        <w:widowControl/>
        <w:kinsoku w:val="0"/>
        <w:overflowPunct/>
        <w:topLinePunct w:val="0"/>
        <w:autoSpaceDE w:val="0"/>
        <w:autoSpaceDN w:val="0"/>
        <w:bidi w:val="0"/>
        <w:adjustRightInd w:val="0"/>
        <w:snapToGrid w:val="0"/>
        <w:spacing w:line="560" w:lineRule="exact"/>
        <w:ind w:firstLine="651"/>
        <w:jc w:val="both"/>
        <w:textAlignment w:val="baseline"/>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6.母杜柴登煤矿布设多处水位监测孔，涵盖3-1煤层顶板砂岩，白垩系志丹群，2-2中煤层顶板至直罗组等。通过水位监测系统，每6小时采集一次水位数据。</w:t>
      </w:r>
    </w:p>
    <w:p w14:paraId="13FB4095">
      <w:pPr>
        <w:pStyle w:val="3"/>
        <w:keepNext w:val="0"/>
        <w:keepLines w:val="0"/>
        <w:pageBreakBefore w:val="0"/>
        <w:numPr>
          <w:ilvl w:val="0"/>
          <w:numId w:val="0"/>
        </w:numPr>
        <w:kinsoku/>
        <w:wordWrap w:val="0"/>
        <w:overflowPunct/>
        <w:topLinePunct w:val="0"/>
        <w:autoSpaceDE/>
        <w:autoSpaceDN/>
        <w:bidi w:val="0"/>
        <w:adjustRightInd/>
        <w:snapToGrid/>
        <w:spacing w:line="240" w:lineRule="auto"/>
        <w:ind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7.使用2025年度矿山地质环境治理恢复基金用于</w:t>
      </w:r>
      <w:r>
        <w:rPr>
          <w:rFonts w:hint="default" w:ascii="Times New Roman" w:hAnsi="Times New Roman" w:eastAsia="方正仿宋简体" w:cs="Times New Roman"/>
          <w:color w:val="auto"/>
          <w:kern w:val="2"/>
          <w:sz w:val="30"/>
          <w:szCs w:val="30"/>
          <w:lang w:val="en-US" w:eastAsia="zh-CN" w:bidi="ar-SA"/>
        </w:rPr>
        <w:t>矸石处置服务</w:t>
      </w:r>
      <w:r>
        <w:rPr>
          <w:rFonts w:hint="eastAsia" w:ascii="Times New Roman" w:hAnsi="Times New Roman" w:eastAsia="方正仿宋简体" w:cs="Times New Roman"/>
          <w:color w:val="auto"/>
          <w:kern w:val="2"/>
          <w:sz w:val="30"/>
          <w:szCs w:val="30"/>
          <w:lang w:val="en-US" w:eastAsia="zh-CN" w:bidi="ar-SA"/>
        </w:rPr>
        <w:t>费1893.188892</w:t>
      </w:r>
      <w:r>
        <w:rPr>
          <w:rFonts w:hint="default" w:ascii="Times New Roman" w:hAnsi="Times New Roman" w:eastAsia="方正仿宋简体" w:cs="Times New Roman"/>
          <w:color w:val="auto"/>
          <w:kern w:val="2"/>
          <w:sz w:val="30"/>
          <w:szCs w:val="30"/>
          <w:lang w:val="en-US" w:eastAsia="zh-CN" w:bidi="ar-SA"/>
        </w:rPr>
        <w:t>万元、矿井水治理费</w:t>
      </w:r>
      <w:r>
        <w:rPr>
          <w:rFonts w:hint="eastAsia" w:ascii="Times New Roman" w:hAnsi="Times New Roman" w:eastAsia="方正仿宋简体" w:cs="Times New Roman"/>
          <w:color w:val="auto"/>
          <w:kern w:val="2"/>
          <w:sz w:val="30"/>
          <w:szCs w:val="30"/>
          <w:lang w:val="en-US" w:eastAsia="zh-CN" w:bidi="ar-SA"/>
        </w:rPr>
        <w:t>3700</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矿区范围内垃圾处置费24.158333万元、</w:t>
      </w:r>
      <w:r>
        <w:rPr>
          <w:rFonts w:hint="default" w:ascii="Times New Roman" w:hAnsi="Times New Roman" w:eastAsia="方正仿宋简体" w:cs="Times New Roman"/>
          <w:color w:val="auto"/>
          <w:kern w:val="2"/>
          <w:sz w:val="30"/>
          <w:szCs w:val="30"/>
          <w:lang w:val="en-US" w:eastAsia="zh-CN" w:bidi="ar-SA"/>
        </w:rPr>
        <w:t>母杜柴登煤矿工业场地生活用水改造工程项目</w:t>
      </w:r>
      <w:r>
        <w:rPr>
          <w:rFonts w:hint="eastAsia" w:ascii="Times New Roman" w:hAnsi="Times New Roman" w:eastAsia="方正仿宋简体" w:cs="Times New Roman"/>
          <w:color w:val="auto"/>
          <w:kern w:val="2"/>
          <w:sz w:val="30"/>
          <w:szCs w:val="30"/>
          <w:lang w:val="en-US" w:eastAsia="zh-CN" w:bidi="ar-SA"/>
        </w:rPr>
        <w:t>费用308.139258</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、母杜柴登煤矿采空区电力线路整改工程项目87.36111</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w:t>
      </w:r>
    </w:p>
    <w:p w14:paraId="4C2778FF">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color w:val="auto"/>
          <w:kern w:val="2"/>
          <w:sz w:val="30"/>
          <w:szCs w:val="30"/>
          <w:lang w:val="en-US" w:eastAsia="zh-CN" w:bidi="ar-SA"/>
        </w:rPr>
      </w:pPr>
      <w:bookmarkStart w:id="4" w:name="_Toc17118"/>
      <w:r>
        <w:rPr>
          <w:rFonts w:hint="eastAsia" w:ascii="Times New Roman" w:hAnsi="Times New Roman" w:eastAsia="方正仿宋简体" w:cs="Times New Roman"/>
          <w:color w:val="auto"/>
          <w:kern w:val="2"/>
          <w:sz w:val="30"/>
          <w:szCs w:val="30"/>
          <w:lang w:val="en-US" w:eastAsia="zh-CN" w:bidi="ar-SA"/>
        </w:rPr>
        <w:t>第三节 基金使用情况</w:t>
      </w:r>
      <w:bookmarkEnd w:id="4"/>
    </w:p>
    <w:p w14:paraId="626F757E">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我矿按照内蒙古自治区和鄂尔多斯市矿山地质环境治理恢复基金管理办法，2021年缴存基金4791.6万元，已使用2710.399444万元，剩余基金2081.200556万元用于2025年基金计划；2022年缴存基金5703.7464万元，已使用5126.642022万元，剩余基金577.104378万元，其中473.913961万元用于2025年基金计划；2023年缴存基金5161.33728万元，已使用4082.308897万元，剩余基金1079.028383万元，其中950.176343万元用于2025年基金计划；2024年缴存基金5109.8421万元，已使用2574.15247万元，剩余基金2535.68963万元；2025年缴存基金5680.04976万元，使用</w:t>
      </w:r>
      <w:r>
        <w:rPr>
          <w:rFonts w:hint="default" w:ascii="Times New Roman" w:hAnsi="Times New Roman" w:eastAsia="方正仿宋简体" w:cs="Times New Roman"/>
          <w:color w:val="auto"/>
          <w:kern w:val="2"/>
          <w:sz w:val="30"/>
          <w:szCs w:val="30"/>
          <w:lang w:val="en-US" w:eastAsia="zh-CN" w:bidi="ar-SA"/>
        </w:rPr>
        <w:t>2021年至2023年</w:t>
      </w:r>
      <w:r>
        <w:rPr>
          <w:rFonts w:hint="eastAsia" w:ascii="Times New Roman" w:hAnsi="Times New Roman" w:eastAsia="方正仿宋简体" w:cs="Times New Roman"/>
          <w:color w:val="auto"/>
          <w:kern w:val="2"/>
          <w:sz w:val="30"/>
          <w:szCs w:val="30"/>
          <w:lang w:val="en-US" w:eastAsia="zh-CN" w:bidi="ar-SA"/>
        </w:rPr>
        <w:t>剩余资金3505.29086万元，合计9185.34062万元，已使用6012.847593万元，剩余基金3172.493027万元；</w:t>
      </w:r>
      <w:r>
        <w:rPr>
          <w:rFonts w:hint="default" w:ascii="Times New Roman" w:hAnsi="Times New Roman" w:eastAsia="方正仿宋简体" w:cs="Times New Roman"/>
          <w:color w:val="auto"/>
          <w:kern w:val="2"/>
          <w:sz w:val="30"/>
          <w:szCs w:val="30"/>
          <w:lang w:val="en-US" w:eastAsia="zh-CN" w:bidi="ar-SA"/>
        </w:rPr>
        <w:t>202</w:t>
      </w:r>
      <w:r>
        <w:rPr>
          <w:rFonts w:hint="eastAsia" w:ascii="Times New Roman" w:hAnsi="Times New Roman" w:eastAsia="方正仿宋简体" w:cs="Times New Roman"/>
          <w:color w:val="auto"/>
          <w:kern w:val="2"/>
          <w:sz w:val="30"/>
          <w:szCs w:val="30"/>
          <w:lang w:val="en-US" w:eastAsia="zh-CN" w:bidi="ar-SA"/>
        </w:rPr>
        <w:t>6</w:t>
      </w:r>
      <w:r>
        <w:rPr>
          <w:rFonts w:hint="default" w:ascii="Times New Roman" w:hAnsi="Times New Roman" w:eastAsia="方正仿宋简体" w:cs="Times New Roman"/>
          <w:color w:val="auto"/>
          <w:kern w:val="2"/>
          <w:sz w:val="30"/>
          <w:szCs w:val="30"/>
          <w:lang w:val="en-US" w:eastAsia="zh-CN" w:bidi="ar-SA"/>
        </w:rPr>
        <w:t>年</w:t>
      </w:r>
      <w:r>
        <w:rPr>
          <w:rFonts w:hint="eastAsia" w:ascii="Times New Roman" w:hAnsi="Times New Roman" w:eastAsia="方正仿宋简体" w:cs="Times New Roman"/>
          <w:color w:val="auto"/>
          <w:kern w:val="2"/>
          <w:sz w:val="30"/>
          <w:szCs w:val="30"/>
          <w:lang w:val="en-US" w:eastAsia="zh-CN" w:bidi="ar-SA"/>
        </w:rPr>
        <w:t>缴存</w:t>
      </w:r>
      <w:r>
        <w:rPr>
          <w:rFonts w:hint="default" w:ascii="Times New Roman" w:hAnsi="Times New Roman" w:eastAsia="方正仿宋简体" w:cs="Times New Roman"/>
          <w:color w:val="auto"/>
          <w:kern w:val="2"/>
          <w:sz w:val="30"/>
          <w:szCs w:val="30"/>
          <w:lang w:val="en-US" w:eastAsia="zh-CN" w:bidi="ar-SA"/>
        </w:rPr>
        <w:t>基金</w:t>
      </w:r>
      <w:r>
        <w:rPr>
          <w:rFonts w:hint="eastAsia" w:ascii="Times New Roman" w:hAnsi="Times New Roman" w:eastAsia="方正仿宋简体" w:cs="Times New Roman"/>
          <w:color w:val="auto"/>
          <w:kern w:val="2"/>
          <w:sz w:val="30"/>
          <w:szCs w:val="30"/>
          <w:lang w:val="en-US" w:eastAsia="zh-CN" w:bidi="ar-SA"/>
        </w:rPr>
        <w:t>6213.108</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w:t>
      </w:r>
    </w:p>
    <w:p w14:paraId="510380E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firstLineChars="200"/>
        <w:jc w:val="left"/>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2022年：乌审旗人民政府通知文件中要求使用资金1711.12万元，我公司实际支付</w:t>
      </w:r>
      <w:r>
        <w:rPr>
          <w:rFonts w:hint="eastAsia" w:ascii="Times New Roman" w:hAnsi="Times New Roman" w:eastAsia="方正仿宋简体" w:cs="Times New Roman"/>
          <w:color w:val="auto"/>
          <w:kern w:val="2"/>
          <w:sz w:val="30"/>
          <w:szCs w:val="30"/>
          <w:lang w:val="en-US" w:eastAsia="zh-CN" w:bidi="ar-SA"/>
        </w:rPr>
        <w:t>1606.809593</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，剩余104.310407万元</w:t>
      </w:r>
      <w:r>
        <w:rPr>
          <w:rFonts w:hint="default" w:ascii="Times New Roman" w:hAnsi="Times New Roman" w:eastAsia="方正仿宋简体" w:cs="Times New Roman"/>
          <w:color w:val="auto"/>
          <w:kern w:val="2"/>
          <w:sz w:val="30"/>
          <w:szCs w:val="30"/>
          <w:lang w:val="en-US" w:eastAsia="zh-CN" w:bidi="ar-SA"/>
        </w:rPr>
        <w:t>。</w:t>
      </w:r>
    </w:p>
    <w:p w14:paraId="714CE735">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firstLineChars="200"/>
        <w:jc w:val="left"/>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2023年：乌审旗人民政府通知文件中要求使用资金1948万元，我公司实际支付</w:t>
      </w:r>
      <w:r>
        <w:rPr>
          <w:rFonts w:hint="eastAsia" w:ascii="Times New Roman" w:hAnsi="Times New Roman" w:eastAsia="方正仿宋简体" w:cs="Times New Roman"/>
          <w:color w:val="auto"/>
          <w:kern w:val="2"/>
          <w:sz w:val="30"/>
          <w:szCs w:val="30"/>
          <w:lang w:val="en-US" w:eastAsia="zh-CN" w:bidi="ar-SA"/>
        </w:rPr>
        <w:t>1419.14796</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，剩余528.85204万元</w:t>
      </w:r>
      <w:r>
        <w:rPr>
          <w:rFonts w:hint="default" w:ascii="Times New Roman" w:hAnsi="Times New Roman" w:eastAsia="方正仿宋简体" w:cs="Times New Roman"/>
          <w:color w:val="auto"/>
          <w:kern w:val="2"/>
          <w:sz w:val="30"/>
          <w:szCs w:val="30"/>
          <w:lang w:val="en-US" w:eastAsia="zh-CN" w:bidi="ar-SA"/>
        </w:rPr>
        <w:t>。</w:t>
      </w:r>
    </w:p>
    <w:p w14:paraId="1C3C6537">
      <w:pPr>
        <w:ind w:firstLine="600" w:firstLineChars="200"/>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2024年：乌审旗人民政府通知文件中要求使用资金</w:t>
      </w:r>
      <w:r>
        <w:rPr>
          <w:rFonts w:hint="eastAsia" w:ascii="Times New Roman" w:hAnsi="Times New Roman" w:eastAsia="方正仿宋简体" w:cs="Times New Roman"/>
          <w:color w:val="auto"/>
          <w:kern w:val="2"/>
          <w:sz w:val="30"/>
          <w:szCs w:val="30"/>
          <w:lang w:val="en-US" w:eastAsia="zh-CN" w:bidi="ar-SA"/>
        </w:rPr>
        <w:t>3232.95</w:t>
      </w:r>
      <w:r>
        <w:rPr>
          <w:rFonts w:hint="default" w:ascii="Times New Roman" w:hAnsi="Times New Roman" w:eastAsia="方正仿宋简体" w:cs="Times New Roman"/>
          <w:color w:val="auto"/>
          <w:kern w:val="2"/>
          <w:sz w:val="30"/>
          <w:szCs w:val="30"/>
          <w:lang w:val="en-US" w:eastAsia="zh-CN" w:bidi="ar-SA"/>
        </w:rPr>
        <w:t>万元，我公司实际支付</w:t>
      </w:r>
      <w:r>
        <w:rPr>
          <w:rFonts w:hint="eastAsia" w:ascii="Times New Roman" w:hAnsi="Times New Roman" w:eastAsia="方正仿宋简体" w:cs="Times New Roman"/>
          <w:color w:val="auto"/>
          <w:kern w:val="2"/>
          <w:sz w:val="30"/>
          <w:szCs w:val="30"/>
          <w:lang w:val="en-US" w:eastAsia="zh-CN" w:bidi="ar-SA"/>
        </w:rPr>
        <w:t>1053.3672</w:t>
      </w:r>
      <w:r>
        <w:rPr>
          <w:rFonts w:hint="default" w:ascii="Times New Roman" w:hAnsi="Times New Roman" w:eastAsia="方正仿宋简体" w:cs="Times New Roman"/>
          <w:color w:val="auto"/>
          <w:kern w:val="2"/>
          <w:sz w:val="30"/>
          <w:szCs w:val="30"/>
          <w:lang w:val="en-US" w:eastAsia="zh-CN" w:bidi="ar-SA"/>
        </w:rPr>
        <w:t>万元</w:t>
      </w:r>
      <w:r>
        <w:rPr>
          <w:rFonts w:hint="eastAsia" w:ascii="Times New Roman" w:hAnsi="Times New Roman" w:eastAsia="方正仿宋简体" w:cs="Times New Roman"/>
          <w:color w:val="auto"/>
          <w:kern w:val="2"/>
          <w:sz w:val="30"/>
          <w:szCs w:val="30"/>
          <w:lang w:val="en-US" w:eastAsia="zh-CN" w:bidi="ar-SA"/>
        </w:rPr>
        <w:t>，剩余2179.5828万元</w:t>
      </w:r>
      <w:r>
        <w:rPr>
          <w:rFonts w:hint="default" w:ascii="Times New Roman" w:hAnsi="Times New Roman" w:eastAsia="方正仿宋简体" w:cs="Times New Roman"/>
          <w:color w:val="auto"/>
          <w:kern w:val="2"/>
          <w:sz w:val="30"/>
          <w:szCs w:val="30"/>
          <w:lang w:val="en-US" w:eastAsia="zh-CN" w:bidi="ar-SA"/>
        </w:rPr>
        <w:t>。</w:t>
      </w:r>
    </w:p>
    <w:p w14:paraId="2D8A5C0F">
      <w:pPr>
        <w:ind w:firstLine="600" w:firstLineChars="200"/>
        <w:rPr>
          <w:rFonts w:hint="default"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以上资金统计时间节点截止2026年6月30日。</w:t>
      </w:r>
    </w:p>
    <w:p w14:paraId="421E5DC7">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textAlignment w:val="auto"/>
        <w:outlineLvl w:val="0"/>
        <w:rPr>
          <w:rFonts w:hint="eastAsia" w:ascii="Times New Roman" w:hAnsi="Times New Roman" w:eastAsia="黑体" w:cs="Times New Roman"/>
          <w:color w:val="auto"/>
          <w:sz w:val="30"/>
          <w:szCs w:val="30"/>
          <w:lang w:val="en-US" w:eastAsia="zh-CN"/>
        </w:rPr>
      </w:pPr>
      <w:bookmarkStart w:id="5" w:name="_Toc26204"/>
      <w:r>
        <w:rPr>
          <w:rFonts w:hint="eastAsia" w:ascii="Times New Roman" w:hAnsi="Times New Roman" w:eastAsia="黑体" w:cs="Times New Roman"/>
          <w:color w:val="auto"/>
          <w:sz w:val="30"/>
          <w:szCs w:val="30"/>
          <w:lang w:val="en-US" w:eastAsia="zh-CN"/>
        </w:rPr>
        <w:t>第三章 2025年矿山地质环境治理与土地复垦计划</w:t>
      </w:r>
      <w:bookmarkEnd w:id="5"/>
    </w:p>
    <w:p w14:paraId="28B6179E">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color w:val="auto"/>
          <w:kern w:val="2"/>
          <w:sz w:val="30"/>
          <w:szCs w:val="30"/>
          <w:lang w:val="en-US" w:eastAsia="zh-CN" w:bidi="ar-SA"/>
        </w:rPr>
      </w:pPr>
      <w:bookmarkStart w:id="6" w:name="_Toc26019"/>
      <w:r>
        <w:rPr>
          <w:rFonts w:hint="eastAsia" w:ascii="Times New Roman" w:hAnsi="Times New Roman" w:eastAsia="方正仿宋简体" w:cs="Times New Roman"/>
          <w:color w:val="auto"/>
          <w:kern w:val="2"/>
          <w:sz w:val="30"/>
          <w:szCs w:val="30"/>
          <w:lang w:val="en-US" w:eastAsia="zh-CN" w:bidi="ar-SA"/>
        </w:rPr>
        <w:t>第一节 矿山开采历史及现状</w:t>
      </w:r>
      <w:bookmarkEnd w:id="6"/>
    </w:p>
    <w:p w14:paraId="46790708">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（一）勘查过程</w:t>
      </w:r>
    </w:p>
    <w:p w14:paraId="11CC67A8">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2005年8月，内蒙古自治区煤田地质局117勘探队受乌审旗国有资产有限责任公司的委托，进行呼吉尔特矿区详查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并提交详查报告。该报告由国土资源部以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国土资储备字〔2006〕385 号</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备案。</w:t>
      </w:r>
    </w:p>
    <w:p w14:paraId="55B74C62">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2007年9月初，内蒙古自治区乌审旗</w:t>
      </w:r>
      <w:r>
        <w:rPr>
          <w:rFonts w:hint="eastAsia" w:ascii="Times New Roman" w:hAnsi="Times New Roman" w:eastAsia="方正仿宋简体" w:cs="Times New Roman"/>
          <w:color w:val="auto"/>
          <w:kern w:val="2"/>
          <w:sz w:val="30"/>
          <w:szCs w:val="30"/>
          <w:lang w:val="en-US" w:eastAsia="zh-CN" w:bidi="ar-SA"/>
        </w:rPr>
        <w:t>国</w:t>
      </w:r>
      <w:r>
        <w:rPr>
          <w:rFonts w:hint="default" w:ascii="Times New Roman" w:hAnsi="Times New Roman" w:eastAsia="方正仿宋简体" w:cs="Times New Roman"/>
          <w:color w:val="auto"/>
          <w:kern w:val="2"/>
          <w:sz w:val="30"/>
          <w:szCs w:val="30"/>
          <w:lang w:val="en-US" w:eastAsia="zh-CN" w:bidi="ar-SA"/>
        </w:rPr>
        <w:t>有资产有限责任公司委托内蒙古煤田地质局117勘探队对母杜柴登煤矿进行煤炭资源勘探并提交报告。2008年10月20日，国土资源部以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因土资储备字〔2008〕246号文</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予以备案。</w:t>
      </w:r>
    </w:p>
    <w:p w14:paraId="09568C2E">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2008年，内蒙古伊化矿业资源有限责任公司委托陕西省煤田地质局一八五队进行了矿区地质检查并于 2008年8月，编制了《内蒙古伊化矿业资源有限责任公司母杜柴登矿井井筒检查地质报告》。</w:t>
      </w:r>
    </w:p>
    <w:p w14:paraId="790B4EAB">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2009年5月，鄂尔多斯市伊化矿业资源有限责任公司委托内蒙古自治区煤田地质局117勘探队在母杜柴登煤矿勘探探矿权范围内进行煤炭资源储量核实工作并提交储量核实报告。2009年9月4日，国土资源部以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国土资储备字〔2009〕239号文</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予以备案。</w:t>
      </w:r>
    </w:p>
    <w:p w14:paraId="346A7BC2">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2010年9月，鄂尔多斯市伊化矿业资源有限责任公司委托山东泰山地质勘查公司对母杜柴登煤矿进行首采区补充勘探工作，并提交《内蒙古东胜煤田呼吉尔特矿区母杜柴登井田综合补充勘探报告》。</w:t>
      </w:r>
    </w:p>
    <w:p w14:paraId="06A0887B">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2009年4月至2015年3月，受内蒙古自治区地质勘查基金管理中心委托，内蒙古自治区煤田地质局117勘探队母杜柴登南区进行普</w:t>
      </w:r>
      <w:r>
        <w:rPr>
          <w:rFonts w:hint="eastAsia" w:ascii="Times New Roman" w:hAnsi="Times New Roman" w:eastAsia="方正仿宋简体" w:cs="Times New Roman"/>
          <w:color w:val="auto"/>
          <w:kern w:val="2"/>
          <w:sz w:val="30"/>
          <w:szCs w:val="30"/>
          <w:lang w:val="en-US" w:eastAsia="zh-CN" w:bidi="ar-SA"/>
        </w:rPr>
        <w:t>查</w:t>
      </w:r>
      <w:r>
        <w:rPr>
          <w:rFonts w:hint="default" w:ascii="Times New Roman" w:hAnsi="Times New Roman" w:eastAsia="方正仿宋简体" w:cs="Times New Roman"/>
          <w:color w:val="auto"/>
          <w:kern w:val="2"/>
          <w:sz w:val="30"/>
          <w:szCs w:val="30"/>
          <w:lang w:val="en-US" w:eastAsia="zh-CN" w:bidi="ar-SA"/>
        </w:rPr>
        <w:t>工作，并于 2016年1月提交了《内蒙古自治区东胜煤田呼吉尔特矿区母杜柴登井田南区煤炭普查报告》。该报告以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内国土资储备字〔2016〕15号文</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备案。</w:t>
      </w:r>
    </w:p>
    <w:p w14:paraId="79EE7351">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2016年9月，鄂尔多斯市伊化矿业资源有限责任公司委托内蒙古自治区煤田地质局117勘探队在母杜柴登南区进行煤炭资源勘探工作并提交了《内蒙古自治区东胜煤田呼吉尔特矿区母杜柴登井田南区煤炭勘探报告》。2017年5月22日，内蒙古自治区国土资源厅以</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内国土资储备字〔2017〕43号文</w:t>
      </w:r>
      <w:r>
        <w:rPr>
          <w:rFonts w:hint="eastAsia" w:ascii="Times New Roman" w:hAnsi="Times New Roman" w:eastAsia="方正仿宋简体" w:cs="Times New Roman"/>
          <w:color w:val="auto"/>
          <w:kern w:val="2"/>
          <w:sz w:val="30"/>
          <w:szCs w:val="30"/>
          <w:lang w:val="en-US" w:eastAsia="zh-CN" w:bidi="ar-SA"/>
        </w:rPr>
        <w:t>”</w:t>
      </w:r>
      <w:r>
        <w:rPr>
          <w:rFonts w:hint="default" w:ascii="Times New Roman" w:hAnsi="Times New Roman" w:eastAsia="方正仿宋简体" w:cs="Times New Roman"/>
          <w:color w:val="auto"/>
          <w:kern w:val="2"/>
          <w:sz w:val="30"/>
          <w:szCs w:val="30"/>
          <w:lang w:val="en-US" w:eastAsia="zh-CN" w:bidi="ar-SA"/>
        </w:rPr>
        <w:t>予以备案。</w:t>
      </w:r>
    </w:p>
    <w:p w14:paraId="33A04577">
      <w:pPr>
        <w:pStyle w:val="3"/>
        <w:keepNext w:val="0"/>
        <w:keepLines w:val="0"/>
        <w:pageBreakBefore w:val="0"/>
        <w:kinsoku/>
        <w:wordWrap w:val="0"/>
        <w:overflowPunct/>
        <w:topLinePunct w:val="0"/>
        <w:autoSpaceDE/>
        <w:autoSpaceDN/>
        <w:bidi w:val="0"/>
        <w:adjustRightInd/>
        <w:snapToGrid/>
        <w:spacing w:line="240" w:lineRule="auto"/>
        <w:ind w:left="0" w:leftChars="0" w:right="0" w:rightChars="0" w:firstLine="600" w:firstLineChars="200"/>
        <w:textAlignment w:val="auto"/>
        <w:rPr>
          <w:rFonts w:hint="default" w:ascii="Times New Roman" w:hAnsi="Times New Roman" w:eastAsia="方正仿宋简体" w:cs="Times New Roman"/>
          <w:color w:val="auto"/>
          <w:kern w:val="2"/>
          <w:sz w:val="30"/>
          <w:szCs w:val="30"/>
          <w:lang w:val="en-US" w:eastAsia="zh-CN" w:bidi="ar-SA"/>
        </w:rPr>
      </w:pPr>
      <w:r>
        <w:rPr>
          <w:rFonts w:hint="default" w:ascii="Times New Roman" w:hAnsi="Times New Roman" w:eastAsia="方正仿宋简体" w:cs="Times New Roman"/>
          <w:color w:val="auto"/>
          <w:kern w:val="2"/>
          <w:sz w:val="30"/>
          <w:szCs w:val="30"/>
          <w:lang w:val="en-US" w:eastAsia="zh-CN" w:bidi="ar-SA"/>
        </w:rPr>
        <w:t>2018年10月19日，自然资源部批复了母杜柴登井田划定矿区范围，面积55.29km</w:t>
      </w:r>
      <w:r>
        <w:rPr>
          <w:rFonts w:hint="eastAsia" w:ascii="Times New Roman" w:hAnsi="Times New Roman" w:eastAsia="方正仿宋简体" w:cs="Times New Roman"/>
          <w:color w:val="auto"/>
          <w:kern w:val="2"/>
          <w:sz w:val="30"/>
          <w:szCs w:val="30"/>
          <w:vertAlign w:val="superscript"/>
          <w:lang w:val="en-US" w:eastAsia="zh-CN" w:bidi="ar-SA"/>
        </w:rPr>
        <w:t>2</w:t>
      </w:r>
      <w:r>
        <w:rPr>
          <w:rFonts w:hint="default" w:ascii="Times New Roman" w:hAnsi="Times New Roman" w:eastAsia="方正仿宋简体" w:cs="Times New Roman"/>
          <w:color w:val="auto"/>
          <w:kern w:val="2"/>
          <w:sz w:val="30"/>
          <w:szCs w:val="30"/>
          <w:lang w:val="en-US" w:eastAsia="zh-CN" w:bidi="ar-SA"/>
        </w:rPr>
        <w:t>。</w:t>
      </w:r>
    </w:p>
    <w:p w14:paraId="1479C7E4">
      <w:pPr>
        <w:keepNext w:val="0"/>
        <w:keepLines w:val="0"/>
        <w:pageBreakBefore w:val="0"/>
        <w:widowControl/>
        <w:suppressLineNumbers w:val="0"/>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kern w:val="2"/>
          <w:sz w:val="30"/>
          <w:szCs w:val="30"/>
          <w:lang w:val="en-US" w:eastAsia="zh-CN" w:bidi="ar-SA"/>
        </w:rPr>
      </w:pPr>
      <w:r>
        <w:rPr>
          <w:rFonts w:hint="eastAsia" w:ascii="Times New Roman" w:hAnsi="Times New Roman" w:eastAsia="方正仿宋简体" w:cs="Times New Roman"/>
          <w:color w:val="auto"/>
          <w:kern w:val="2"/>
          <w:sz w:val="30"/>
          <w:szCs w:val="30"/>
          <w:lang w:val="en-US" w:eastAsia="zh-CN" w:bidi="ar-SA"/>
        </w:rPr>
        <w:t>（二）开采现状</w:t>
      </w:r>
    </w:p>
    <w:p w14:paraId="3CE0347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lang w:val="en-US" w:eastAsia="zh-CN"/>
        </w:rPr>
      </w:pPr>
      <w:r>
        <w:rPr>
          <w:rFonts w:hint="default" w:ascii="Times New Roman" w:hAnsi="Times New Roman" w:eastAsia="方正仿宋简体" w:cs="Times New Roman"/>
          <w:color w:val="auto"/>
          <w:sz w:val="30"/>
          <w:szCs w:val="30"/>
          <w:lang w:val="en-US" w:eastAsia="zh-CN"/>
        </w:rPr>
        <w:t>1</w:t>
      </w:r>
      <w:r>
        <w:rPr>
          <w:rFonts w:hint="eastAsia" w:ascii="Times New Roman" w:hAnsi="Times New Roman" w:eastAsia="方正仿宋简体" w:cs="Times New Roman"/>
          <w:color w:val="auto"/>
          <w:sz w:val="30"/>
          <w:szCs w:val="30"/>
          <w:lang w:val="en-US" w:eastAsia="zh-CN"/>
        </w:rPr>
        <w:t>、井口位置及工业场地位于井田中部，即钻孔</w:t>
      </w:r>
      <w:r>
        <w:rPr>
          <w:rFonts w:hint="default" w:ascii="Times New Roman" w:hAnsi="Times New Roman" w:eastAsia="方正仿宋简体" w:cs="Times New Roman"/>
          <w:color w:val="auto"/>
          <w:sz w:val="30"/>
          <w:szCs w:val="30"/>
          <w:lang w:val="en-US" w:eastAsia="zh-CN"/>
        </w:rPr>
        <w:t>H126</w:t>
      </w:r>
      <w:r>
        <w:rPr>
          <w:rFonts w:hint="eastAsia" w:ascii="Times New Roman" w:hAnsi="Times New Roman" w:eastAsia="方正仿宋简体" w:cs="Times New Roman"/>
          <w:color w:val="auto"/>
          <w:sz w:val="30"/>
          <w:szCs w:val="30"/>
          <w:lang w:val="en-US" w:eastAsia="zh-CN"/>
        </w:rPr>
        <w:t xml:space="preserve">北侧。矿井工业场地布置主立井、副立井、中央回风立井及为矿井生产服务的行政办公设施、工业设施及辅助设施。 </w:t>
      </w:r>
    </w:p>
    <w:p w14:paraId="66C3748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lang w:val="en-US" w:eastAsia="zh-CN"/>
        </w:rPr>
      </w:pPr>
      <w:r>
        <w:rPr>
          <w:rFonts w:hint="default" w:ascii="Times New Roman" w:hAnsi="Times New Roman" w:eastAsia="方正仿宋简体" w:cs="Times New Roman"/>
          <w:color w:val="auto"/>
          <w:sz w:val="30"/>
          <w:szCs w:val="30"/>
          <w:lang w:val="en-US" w:eastAsia="zh-CN"/>
        </w:rPr>
        <w:t>2</w:t>
      </w:r>
      <w:r>
        <w:rPr>
          <w:rFonts w:hint="eastAsia" w:ascii="Times New Roman" w:hAnsi="Times New Roman" w:eastAsia="方正仿宋简体" w:cs="Times New Roman"/>
          <w:color w:val="auto"/>
          <w:sz w:val="30"/>
          <w:szCs w:val="30"/>
          <w:lang w:val="en-US" w:eastAsia="zh-CN"/>
        </w:rPr>
        <w:t>、开拓</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运输</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 xml:space="preserve">方式矿井采用全立井开拓方式。主立井：深度 </w:t>
      </w:r>
      <w:r>
        <w:rPr>
          <w:rFonts w:hint="default" w:ascii="Times New Roman" w:hAnsi="Times New Roman" w:eastAsia="方正仿宋简体" w:cs="Times New Roman"/>
          <w:color w:val="auto"/>
          <w:sz w:val="30"/>
          <w:szCs w:val="30"/>
          <w:lang w:val="en-US" w:eastAsia="zh-CN"/>
        </w:rPr>
        <w:t>767.6m</w:t>
      </w:r>
      <w:r>
        <w:rPr>
          <w:rFonts w:hint="eastAsia" w:ascii="Times New Roman" w:hAnsi="Times New Roman" w:eastAsia="方正仿宋简体" w:cs="Times New Roman"/>
          <w:color w:val="auto"/>
          <w:sz w:val="30"/>
          <w:szCs w:val="30"/>
          <w:lang w:val="en-US" w:eastAsia="zh-CN"/>
        </w:rPr>
        <w:t>，方位角</w:t>
      </w:r>
      <w:r>
        <w:rPr>
          <w:rFonts w:hint="default" w:ascii="Times New Roman" w:hAnsi="Times New Roman" w:eastAsia="方正仿宋简体" w:cs="Times New Roman"/>
          <w:color w:val="auto"/>
          <w:sz w:val="30"/>
          <w:szCs w:val="30"/>
          <w:lang w:val="en-US" w:eastAsia="zh-CN"/>
        </w:rPr>
        <w:t>90</w:t>
      </w:r>
      <w:r>
        <w:rPr>
          <w:rFonts w:hint="eastAsia" w:ascii="Times New Roman" w:hAnsi="Times New Roman" w:eastAsia="方正仿宋简体" w:cs="Times New Roman"/>
          <w:color w:val="auto"/>
          <w:sz w:val="30"/>
          <w:szCs w:val="30"/>
          <w:lang w:val="en-US" w:eastAsia="zh-CN"/>
        </w:rPr>
        <w:t>°，净直径</w:t>
      </w:r>
      <w:r>
        <w:rPr>
          <w:rFonts w:hint="default" w:ascii="Times New Roman" w:hAnsi="Times New Roman" w:eastAsia="方正仿宋简体" w:cs="Times New Roman"/>
          <w:color w:val="auto"/>
          <w:sz w:val="30"/>
          <w:szCs w:val="30"/>
          <w:lang w:val="en-US" w:eastAsia="zh-CN"/>
        </w:rPr>
        <w:t>6500mm</w:t>
      </w:r>
      <w:r>
        <w:rPr>
          <w:rFonts w:hint="eastAsia" w:ascii="Times New Roman" w:hAnsi="Times New Roman" w:eastAsia="方正仿宋简体" w:cs="Times New Roman"/>
          <w:color w:val="auto"/>
          <w:sz w:val="30"/>
          <w:szCs w:val="30"/>
          <w:lang w:val="en-US" w:eastAsia="zh-CN"/>
        </w:rPr>
        <w:t>，净断面积</w:t>
      </w:r>
      <w:r>
        <w:rPr>
          <w:rFonts w:hint="default" w:ascii="Times New Roman" w:hAnsi="Times New Roman" w:eastAsia="方正仿宋简体" w:cs="Times New Roman"/>
          <w:color w:val="auto"/>
          <w:sz w:val="30"/>
          <w:szCs w:val="30"/>
          <w:lang w:val="en-US" w:eastAsia="zh-CN"/>
        </w:rPr>
        <w:t>33.2m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，选用</w:t>
      </w:r>
      <w:r>
        <w:rPr>
          <w:rFonts w:hint="default" w:ascii="Times New Roman" w:hAnsi="Times New Roman" w:eastAsia="方正仿宋简体" w:cs="Times New Roman"/>
          <w:color w:val="auto"/>
          <w:sz w:val="30"/>
          <w:szCs w:val="30"/>
          <w:lang w:val="en-US" w:eastAsia="zh-CN"/>
        </w:rPr>
        <w:t>1</w:t>
      </w:r>
      <w:r>
        <w:rPr>
          <w:rFonts w:hint="eastAsia" w:ascii="Times New Roman" w:hAnsi="Times New Roman" w:eastAsia="方正仿宋简体" w:cs="Times New Roman"/>
          <w:color w:val="auto"/>
          <w:sz w:val="30"/>
          <w:szCs w:val="30"/>
          <w:lang w:val="en-US" w:eastAsia="zh-CN"/>
        </w:rPr>
        <w:t>台多绳摩擦式提升机，塔式布置，提升容器为</w:t>
      </w:r>
      <w:r>
        <w:rPr>
          <w:rFonts w:hint="default" w:ascii="Times New Roman" w:hAnsi="Times New Roman" w:eastAsia="方正仿宋简体" w:cs="Times New Roman"/>
          <w:color w:val="auto"/>
          <w:sz w:val="30"/>
          <w:szCs w:val="30"/>
          <w:lang w:val="en-US" w:eastAsia="zh-CN"/>
        </w:rPr>
        <w:t>45t</w:t>
      </w:r>
      <w:r>
        <w:rPr>
          <w:rFonts w:hint="eastAsia" w:ascii="Times New Roman" w:hAnsi="Times New Roman" w:eastAsia="方正仿宋简体" w:cs="Times New Roman"/>
          <w:color w:val="auto"/>
          <w:sz w:val="30"/>
          <w:szCs w:val="30"/>
          <w:lang w:val="en-US" w:eastAsia="zh-CN"/>
        </w:rPr>
        <w:t>箕斗一对。在主立井井筒内敷设两趟强排管路、一趟井下救生管路、两趟通讯电缆和两趟排水管路，兼作矿井进风井。副立井：深度</w:t>
      </w:r>
      <w:r>
        <w:rPr>
          <w:rFonts w:hint="default" w:ascii="Times New Roman" w:hAnsi="Times New Roman" w:eastAsia="方正仿宋简体" w:cs="Times New Roman"/>
          <w:color w:val="auto"/>
          <w:sz w:val="30"/>
          <w:szCs w:val="30"/>
          <w:lang w:val="en-US" w:eastAsia="zh-CN"/>
        </w:rPr>
        <w:t>696.5m</w:t>
      </w:r>
      <w:r>
        <w:rPr>
          <w:rFonts w:hint="eastAsia" w:ascii="Times New Roman" w:hAnsi="Times New Roman" w:eastAsia="方正仿宋简体" w:cs="Times New Roman"/>
          <w:color w:val="auto"/>
          <w:sz w:val="30"/>
          <w:szCs w:val="30"/>
          <w:lang w:val="en-US" w:eastAsia="zh-CN"/>
        </w:rPr>
        <w:t>，方位角</w:t>
      </w:r>
      <w:r>
        <w:rPr>
          <w:rFonts w:hint="default" w:ascii="Times New Roman" w:hAnsi="Times New Roman" w:eastAsia="方正仿宋简体" w:cs="Times New Roman"/>
          <w:color w:val="auto"/>
          <w:sz w:val="30"/>
          <w:szCs w:val="30"/>
          <w:lang w:val="en-US" w:eastAsia="zh-CN"/>
        </w:rPr>
        <w:t>0</w:t>
      </w:r>
      <w:r>
        <w:rPr>
          <w:rFonts w:hint="eastAsia" w:ascii="Times New Roman" w:hAnsi="Times New Roman" w:eastAsia="方正仿宋简体" w:cs="Times New Roman"/>
          <w:color w:val="auto"/>
          <w:sz w:val="30"/>
          <w:szCs w:val="30"/>
          <w:lang w:val="en-US" w:eastAsia="zh-CN"/>
        </w:rPr>
        <w:t>°，净直径</w:t>
      </w:r>
      <w:r>
        <w:rPr>
          <w:rFonts w:hint="default" w:ascii="Times New Roman" w:hAnsi="Times New Roman" w:eastAsia="方正仿宋简体" w:cs="Times New Roman"/>
          <w:color w:val="auto"/>
          <w:sz w:val="30"/>
          <w:szCs w:val="30"/>
          <w:lang w:val="en-US" w:eastAsia="zh-CN"/>
        </w:rPr>
        <w:t>9400mm</w:t>
      </w:r>
      <w:r>
        <w:rPr>
          <w:rFonts w:hint="eastAsia" w:ascii="Times New Roman" w:hAnsi="Times New Roman" w:eastAsia="方正仿宋简体" w:cs="Times New Roman"/>
          <w:color w:val="auto"/>
          <w:sz w:val="30"/>
          <w:szCs w:val="30"/>
          <w:lang w:val="en-US" w:eastAsia="zh-CN"/>
        </w:rPr>
        <w:t>，净断面积</w:t>
      </w:r>
      <w:r>
        <w:rPr>
          <w:rFonts w:hint="default" w:ascii="Times New Roman" w:hAnsi="Times New Roman" w:eastAsia="方正仿宋简体" w:cs="Times New Roman"/>
          <w:color w:val="auto"/>
          <w:sz w:val="30"/>
          <w:szCs w:val="30"/>
          <w:lang w:val="en-US" w:eastAsia="zh-CN"/>
        </w:rPr>
        <w:t>69.4m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，选用两套提升设备，一套装备一台</w:t>
      </w:r>
      <w:r>
        <w:rPr>
          <w:rFonts w:hint="default" w:ascii="Times New Roman" w:hAnsi="Times New Roman" w:eastAsia="方正仿宋简体" w:cs="Times New Roman"/>
          <w:color w:val="auto"/>
          <w:sz w:val="30"/>
          <w:szCs w:val="30"/>
          <w:lang w:val="en-US" w:eastAsia="zh-CN"/>
        </w:rPr>
        <w:t>JKM-5</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6</w:t>
      </w:r>
      <w:r>
        <w:rPr>
          <w:rFonts w:hint="eastAsia" w:ascii="Times New Roman" w:hAnsi="Times New Roman" w:eastAsia="方正仿宋简体" w:cs="Times New Roman"/>
          <w:color w:val="auto"/>
          <w:sz w:val="30"/>
          <w:szCs w:val="30"/>
          <w:lang w:val="en-US" w:eastAsia="zh-CN"/>
        </w:rPr>
        <w:t>（Ⅲ）多绳摩擦式提升机，提升容器为一个双层多绳宽罐笼</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平衡锤；另一套装备</w:t>
      </w:r>
      <w:r>
        <w:rPr>
          <w:rFonts w:hint="default" w:ascii="Times New Roman" w:hAnsi="Times New Roman" w:eastAsia="方正仿宋简体" w:cs="Times New Roman"/>
          <w:color w:val="auto"/>
          <w:sz w:val="30"/>
          <w:szCs w:val="30"/>
          <w:lang w:val="en-US" w:eastAsia="zh-CN"/>
        </w:rPr>
        <w:t>JKM1.6</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4</w:t>
      </w:r>
      <w:r>
        <w:rPr>
          <w:rFonts w:hint="eastAsia" w:ascii="Times New Roman" w:hAnsi="Times New Roman" w:eastAsia="方正仿宋简体" w:cs="Times New Roman"/>
          <w:color w:val="auto"/>
          <w:sz w:val="30"/>
          <w:szCs w:val="30"/>
          <w:lang w:val="en-US" w:eastAsia="zh-CN"/>
        </w:rPr>
        <w:t>（Ⅰ）型多绳摩擦式提升机一台，提升容器为一个交通罐笼</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平衡锤。内设置梯子间，兼作为主要进风井和安全出口。井筒内敷设一趟压风管路、一趟消防洒水管路、三趟排水管路、动力电缆及通信电缆。中央回风立井：深度</w:t>
      </w:r>
      <w:r>
        <w:rPr>
          <w:rFonts w:hint="default" w:ascii="Times New Roman" w:hAnsi="Times New Roman" w:eastAsia="方正仿宋简体" w:cs="Times New Roman"/>
          <w:color w:val="auto"/>
          <w:sz w:val="30"/>
          <w:szCs w:val="30"/>
          <w:lang w:val="en-US" w:eastAsia="zh-CN"/>
        </w:rPr>
        <w:t>679.8m</w:t>
      </w:r>
      <w:r>
        <w:rPr>
          <w:rFonts w:hint="eastAsia" w:ascii="Times New Roman" w:hAnsi="Times New Roman" w:eastAsia="方正仿宋简体" w:cs="Times New Roman"/>
          <w:color w:val="auto"/>
          <w:sz w:val="30"/>
          <w:szCs w:val="30"/>
          <w:lang w:val="en-US" w:eastAsia="zh-CN"/>
        </w:rPr>
        <w:t>，净直径</w:t>
      </w:r>
      <w:r>
        <w:rPr>
          <w:rFonts w:hint="default" w:ascii="Times New Roman" w:hAnsi="Times New Roman" w:eastAsia="方正仿宋简体" w:cs="Times New Roman"/>
          <w:color w:val="auto"/>
          <w:sz w:val="30"/>
          <w:szCs w:val="30"/>
          <w:lang w:val="en-US" w:eastAsia="zh-CN"/>
        </w:rPr>
        <w:t>6500mm</w:t>
      </w:r>
      <w:r>
        <w:rPr>
          <w:rFonts w:hint="eastAsia" w:ascii="Times New Roman" w:hAnsi="Times New Roman" w:eastAsia="方正仿宋简体" w:cs="Times New Roman"/>
          <w:color w:val="auto"/>
          <w:sz w:val="30"/>
          <w:szCs w:val="30"/>
          <w:lang w:val="en-US" w:eastAsia="zh-CN"/>
        </w:rPr>
        <w:t>，净断面积</w:t>
      </w:r>
      <w:r>
        <w:rPr>
          <w:rFonts w:hint="default" w:ascii="Times New Roman" w:hAnsi="Times New Roman" w:eastAsia="方正仿宋简体" w:cs="Times New Roman"/>
          <w:color w:val="auto"/>
          <w:sz w:val="30"/>
          <w:szCs w:val="30"/>
          <w:lang w:val="en-US" w:eastAsia="zh-CN"/>
        </w:rPr>
        <w:t>33.2m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 xml:space="preserve">，在井筒设梯子间，承担矿井回风任务，并兼作安全出口，并敷设一趟黄泥灌浆管路。 </w:t>
      </w:r>
    </w:p>
    <w:p w14:paraId="3A0C9D0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lang w:val="en-US" w:eastAsia="zh-CN"/>
        </w:rPr>
      </w:pPr>
      <w:r>
        <w:rPr>
          <w:rFonts w:hint="eastAsia" w:ascii="Times New Roman" w:hAnsi="Times New Roman" w:eastAsia="方正仿宋简体" w:cs="Times New Roman"/>
          <w:color w:val="auto"/>
          <w:sz w:val="30"/>
          <w:szCs w:val="30"/>
          <w:lang w:val="en-US" w:eastAsia="zh-CN"/>
        </w:rPr>
        <w:t>根据煤层赋存特征及间距，煤组划分保留地质部分的划分，分为</w:t>
      </w:r>
      <w:r>
        <w:rPr>
          <w:rFonts w:hint="default" w:ascii="Times New Roman" w:hAnsi="Times New Roman" w:eastAsia="方正仿宋简体" w:cs="Times New Roman"/>
          <w:color w:val="auto"/>
          <w:sz w:val="30"/>
          <w:szCs w:val="30"/>
          <w:lang w:val="en-US" w:eastAsia="zh-CN"/>
        </w:rPr>
        <w:t>5</w:t>
      </w:r>
      <w:r>
        <w:rPr>
          <w:rFonts w:hint="eastAsia" w:ascii="Times New Roman" w:hAnsi="Times New Roman" w:eastAsia="方正仿宋简体" w:cs="Times New Roman"/>
          <w:color w:val="auto"/>
          <w:sz w:val="30"/>
          <w:szCs w:val="30"/>
          <w:lang w:val="en-US" w:eastAsia="zh-CN"/>
        </w:rPr>
        <w:t>个煤组。</w:t>
      </w:r>
      <w:r>
        <w:rPr>
          <w:rFonts w:hint="default" w:ascii="Times New Roman" w:hAnsi="Times New Roman" w:eastAsia="方正仿宋简体" w:cs="Times New Roman"/>
          <w:color w:val="auto"/>
          <w:sz w:val="30"/>
          <w:szCs w:val="30"/>
          <w:lang w:val="en-US" w:eastAsia="zh-CN"/>
        </w:rPr>
        <w:t>2-2</w:t>
      </w:r>
      <w:r>
        <w:rPr>
          <w:rFonts w:hint="eastAsia" w:ascii="Times New Roman" w:hAnsi="Times New Roman" w:eastAsia="方正仿宋简体" w:cs="Times New Roman"/>
          <w:color w:val="auto"/>
          <w:sz w:val="30"/>
          <w:szCs w:val="30"/>
          <w:lang w:val="en-US" w:eastAsia="zh-CN"/>
        </w:rPr>
        <w:t>中煤一个煤组，</w:t>
      </w:r>
      <w:r>
        <w:rPr>
          <w:rFonts w:hint="default" w:ascii="Times New Roman" w:hAnsi="Times New Roman" w:eastAsia="方正仿宋简体" w:cs="Times New Roman"/>
          <w:color w:val="auto"/>
          <w:sz w:val="30"/>
          <w:szCs w:val="30"/>
          <w:lang w:val="en-US" w:eastAsia="zh-CN"/>
        </w:rPr>
        <w:t>3-1</w:t>
      </w:r>
      <w:r>
        <w:rPr>
          <w:rFonts w:hint="eastAsia" w:ascii="Times New Roman" w:hAnsi="Times New Roman" w:eastAsia="方正仿宋简体" w:cs="Times New Roman"/>
          <w:color w:val="auto"/>
          <w:sz w:val="30"/>
          <w:szCs w:val="30"/>
          <w:lang w:val="en-US" w:eastAsia="zh-CN"/>
        </w:rPr>
        <w:t>煤一个煤组；</w:t>
      </w:r>
      <w:r>
        <w:rPr>
          <w:rFonts w:hint="default" w:ascii="Times New Roman" w:hAnsi="Times New Roman" w:eastAsia="方正仿宋简体" w:cs="Times New Roman"/>
          <w:color w:val="auto"/>
          <w:sz w:val="30"/>
          <w:szCs w:val="30"/>
          <w:lang w:val="en-US" w:eastAsia="zh-CN"/>
        </w:rPr>
        <w:t>4-1</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上、</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中、</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下煤一个煤组；</w:t>
      </w:r>
      <w:r>
        <w:rPr>
          <w:rFonts w:hint="default" w:ascii="Times New Roman" w:hAnsi="Times New Roman" w:eastAsia="方正仿宋简体" w:cs="Times New Roman"/>
          <w:color w:val="auto"/>
          <w:sz w:val="30"/>
          <w:szCs w:val="30"/>
          <w:lang w:val="en-US" w:eastAsia="zh-CN"/>
        </w:rPr>
        <w:t>5-1</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 xml:space="preserve">5-2 </w:t>
      </w:r>
      <w:r>
        <w:rPr>
          <w:rFonts w:hint="eastAsia" w:ascii="Times New Roman" w:hAnsi="Times New Roman" w:eastAsia="方正仿宋简体" w:cs="Times New Roman"/>
          <w:color w:val="auto"/>
          <w:sz w:val="30"/>
          <w:szCs w:val="30"/>
          <w:lang w:val="en-US" w:eastAsia="zh-CN"/>
        </w:rPr>
        <w:t>上、</w:t>
      </w:r>
      <w:r>
        <w:rPr>
          <w:rFonts w:hint="default" w:ascii="Times New Roman" w:hAnsi="Times New Roman" w:eastAsia="方正仿宋简体" w:cs="Times New Roman"/>
          <w:color w:val="auto"/>
          <w:sz w:val="30"/>
          <w:szCs w:val="30"/>
          <w:lang w:val="en-US" w:eastAsia="zh-CN"/>
        </w:rPr>
        <w:t>5-2</w:t>
      </w:r>
      <w:r>
        <w:rPr>
          <w:rFonts w:hint="eastAsia" w:ascii="Times New Roman" w:hAnsi="Times New Roman" w:eastAsia="方正仿宋简体" w:cs="Times New Roman"/>
          <w:color w:val="auto"/>
          <w:sz w:val="30"/>
          <w:szCs w:val="30"/>
          <w:lang w:val="en-US" w:eastAsia="zh-CN"/>
        </w:rPr>
        <w:t>煤一个煤组；</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 xml:space="preserve">上和 </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中一个煤组。井田划分为两个水平，四个辅助水平。井田第一水平设在</w:t>
      </w:r>
      <w:r>
        <w:rPr>
          <w:rFonts w:hint="default" w:ascii="Times New Roman" w:hAnsi="Times New Roman" w:eastAsia="方正仿宋简体" w:cs="Times New Roman"/>
          <w:color w:val="auto"/>
          <w:sz w:val="30"/>
          <w:szCs w:val="30"/>
          <w:lang w:val="en-US" w:eastAsia="zh-CN"/>
        </w:rPr>
        <w:t>3-1</w:t>
      </w:r>
      <w:r>
        <w:rPr>
          <w:rFonts w:hint="eastAsia" w:ascii="Times New Roman" w:hAnsi="Times New Roman" w:eastAsia="方正仿宋简体" w:cs="Times New Roman"/>
          <w:color w:val="auto"/>
          <w:sz w:val="30"/>
          <w:szCs w:val="30"/>
          <w:lang w:val="en-US" w:eastAsia="zh-CN"/>
        </w:rPr>
        <w:t>煤层中，水平标高</w:t>
      </w:r>
      <w:r>
        <w:rPr>
          <w:rFonts w:hint="default" w:ascii="Times New Roman" w:hAnsi="Times New Roman" w:eastAsia="方正仿宋简体" w:cs="Times New Roman"/>
          <w:color w:val="auto"/>
          <w:sz w:val="30"/>
          <w:szCs w:val="30"/>
          <w:lang w:val="en-US" w:eastAsia="zh-CN"/>
        </w:rPr>
        <w:t>+635m</w:t>
      </w:r>
      <w:r>
        <w:rPr>
          <w:rFonts w:hint="eastAsia" w:ascii="Times New Roman" w:hAnsi="Times New Roman" w:eastAsia="方正仿宋简体" w:cs="Times New Roman"/>
          <w:color w:val="auto"/>
          <w:sz w:val="30"/>
          <w:szCs w:val="30"/>
          <w:lang w:val="en-US" w:eastAsia="zh-CN"/>
        </w:rPr>
        <w:t>；第二水平设在</w:t>
      </w:r>
      <w:r>
        <w:rPr>
          <w:rFonts w:hint="default" w:ascii="Times New Roman" w:hAnsi="Times New Roman" w:eastAsia="方正仿宋简体" w:cs="Times New Roman"/>
          <w:color w:val="auto"/>
          <w:sz w:val="30"/>
          <w:szCs w:val="30"/>
          <w:lang w:val="en-US" w:eastAsia="zh-CN"/>
        </w:rPr>
        <w:t>4-1</w:t>
      </w:r>
      <w:r>
        <w:rPr>
          <w:rFonts w:hint="eastAsia" w:ascii="Times New Roman" w:hAnsi="Times New Roman" w:eastAsia="方正仿宋简体" w:cs="Times New Roman"/>
          <w:color w:val="auto"/>
          <w:sz w:val="30"/>
          <w:szCs w:val="30"/>
          <w:lang w:val="en-US" w:eastAsia="zh-CN"/>
        </w:rPr>
        <w:t>煤层中，水平标高</w:t>
      </w:r>
      <w:r>
        <w:rPr>
          <w:rFonts w:hint="default" w:ascii="Times New Roman" w:hAnsi="Times New Roman" w:eastAsia="方正仿宋简体" w:cs="Times New Roman"/>
          <w:color w:val="auto"/>
          <w:sz w:val="30"/>
          <w:szCs w:val="30"/>
          <w:lang w:val="en-US" w:eastAsia="zh-CN"/>
        </w:rPr>
        <w:t>+600m</w:t>
      </w:r>
      <w:r>
        <w:rPr>
          <w:rFonts w:hint="eastAsia" w:ascii="Times New Roman" w:hAnsi="Times New Roman" w:eastAsia="方正仿宋简体" w:cs="Times New Roman"/>
          <w:color w:val="auto"/>
          <w:sz w:val="30"/>
          <w:szCs w:val="30"/>
          <w:lang w:val="en-US" w:eastAsia="zh-CN"/>
        </w:rPr>
        <w:t>；分别在</w:t>
      </w:r>
      <w:r>
        <w:rPr>
          <w:rFonts w:hint="default" w:ascii="Times New Roman" w:hAnsi="Times New Roman" w:eastAsia="方正仿宋简体" w:cs="Times New Roman"/>
          <w:color w:val="auto"/>
          <w:sz w:val="30"/>
          <w:szCs w:val="30"/>
          <w:lang w:val="en-US" w:eastAsia="zh-CN"/>
        </w:rPr>
        <w:t>2-2</w:t>
      </w:r>
      <w:r>
        <w:rPr>
          <w:rFonts w:hint="eastAsia" w:ascii="Times New Roman" w:hAnsi="Times New Roman" w:eastAsia="方正仿宋简体" w:cs="Times New Roman"/>
          <w:color w:val="auto"/>
          <w:sz w:val="30"/>
          <w:szCs w:val="30"/>
          <w:lang w:val="en-US" w:eastAsia="zh-CN"/>
        </w:rPr>
        <w:t>中、</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中、</w:t>
      </w:r>
      <w:r>
        <w:rPr>
          <w:rFonts w:hint="default" w:ascii="Times New Roman" w:hAnsi="Times New Roman" w:eastAsia="方正仿宋简体" w:cs="Times New Roman"/>
          <w:color w:val="auto"/>
          <w:sz w:val="30"/>
          <w:szCs w:val="30"/>
          <w:lang w:val="en-US" w:eastAsia="zh-CN"/>
        </w:rPr>
        <w:t>5-2</w:t>
      </w:r>
      <w:r>
        <w:rPr>
          <w:rFonts w:hint="eastAsia" w:ascii="Times New Roman" w:hAnsi="Times New Roman" w:eastAsia="方正仿宋简体" w:cs="Times New Roman"/>
          <w:color w:val="auto"/>
          <w:sz w:val="30"/>
          <w:szCs w:val="30"/>
          <w:lang w:val="en-US" w:eastAsia="zh-CN"/>
        </w:rPr>
        <w:t>及</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中煤层中设置四个辅助水平。</w:t>
      </w:r>
      <w:r>
        <w:rPr>
          <w:rFonts w:hint="default" w:ascii="Times New Roman" w:hAnsi="Times New Roman" w:eastAsia="方正仿宋简体" w:cs="Times New Roman"/>
          <w:color w:val="auto"/>
          <w:sz w:val="30"/>
          <w:szCs w:val="30"/>
          <w:lang w:val="en-US" w:eastAsia="zh-CN"/>
        </w:rPr>
        <w:t>2-2</w:t>
      </w:r>
      <w:r>
        <w:rPr>
          <w:rFonts w:hint="eastAsia" w:ascii="Times New Roman" w:hAnsi="Times New Roman" w:eastAsia="方正仿宋简体" w:cs="Times New Roman"/>
          <w:color w:val="auto"/>
          <w:sz w:val="30"/>
          <w:szCs w:val="30"/>
          <w:lang w:val="en-US" w:eastAsia="zh-CN"/>
        </w:rPr>
        <w:t>中煤辅助水平标高为</w:t>
      </w:r>
      <w:r>
        <w:rPr>
          <w:rFonts w:hint="default" w:ascii="Times New Roman" w:hAnsi="Times New Roman" w:eastAsia="方正仿宋简体" w:cs="Times New Roman"/>
          <w:color w:val="auto"/>
          <w:sz w:val="30"/>
          <w:szCs w:val="30"/>
          <w:lang w:val="en-US" w:eastAsia="zh-CN"/>
        </w:rPr>
        <w:t>+680m</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中煤辅助水平标高为</w:t>
      </w:r>
      <w:r>
        <w:rPr>
          <w:rFonts w:hint="default" w:ascii="Times New Roman" w:hAnsi="Times New Roman" w:eastAsia="方正仿宋简体" w:cs="Times New Roman"/>
          <w:color w:val="auto"/>
          <w:sz w:val="30"/>
          <w:szCs w:val="30"/>
          <w:lang w:val="en-US" w:eastAsia="zh-CN"/>
        </w:rPr>
        <w:t>+550m</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5-2</w:t>
      </w:r>
      <w:r>
        <w:rPr>
          <w:rFonts w:hint="eastAsia" w:ascii="Times New Roman" w:hAnsi="Times New Roman" w:eastAsia="方正仿宋简体" w:cs="Times New Roman"/>
          <w:color w:val="auto"/>
          <w:sz w:val="30"/>
          <w:szCs w:val="30"/>
          <w:lang w:val="en-US" w:eastAsia="zh-CN"/>
        </w:rPr>
        <w:t>煤辅助水平标高为</w:t>
      </w:r>
      <w:r>
        <w:rPr>
          <w:rFonts w:hint="default" w:ascii="Times New Roman" w:hAnsi="Times New Roman" w:eastAsia="方正仿宋简体" w:cs="Times New Roman"/>
          <w:color w:val="auto"/>
          <w:sz w:val="30"/>
          <w:szCs w:val="30"/>
          <w:lang w:val="en-US" w:eastAsia="zh-CN"/>
        </w:rPr>
        <w:t>+500m</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中煤辅助水平标高为</w:t>
      </w:r>
      <w:r>
        <w:rPr>
          <w:rFonts w:hint="default" w:ascii="Times New Roman" w:hAnsi="Times New Roman" w:eastAsia="方正仿宋简体" w:cs="Times New Roman"/>
          <w:color w:val="auto"/>
          <w:sz w:val="30"/>
          <w:szCs w:val="30"/>
          <w:lang w:val="en-US" w:eastAsia="zh-CN"/>
        </w:rPr>
        <w:t>+470m</w:t>
      </w:r>
      <w:r>
        <w:rPr>
          <w:rFonts w:hint="eastAsia" w:ascii="Times New Roman" w:hAnsi="Times New Roman" w:eastAsia="方正仿宋简体" w:cs="Times New Roman"/>
          <w:color w:val="auto"/>
          <w:sz w:val="30"/>
          <w:szCs w:val="30"/>
          <w:lang w:val="en-US" w:eastAsia="zh-CN"/>
        </w:rPr>
        <w:t>。根据本井田的煤层赋存特点，本井田宜采用分煤层和分煤组相结合布置大巷。</w:t>
      </w:r>
      <w:r>
        <w:rPr>
          <w:rFonts w:hint="default" w:ascii="Times New Roman" w:hAnsi="Times New Roman" w:eastAsia="方正仿宋简体" w:cs="Times New Roman"/>
          <w:color w:val="auto"/>
          <w:sz w:val="30"/>
          <w:szCs w:val="30"/>
          <w:lang w:val="en-US" w:eastAsia="zh-CN"/>
        </w:rPr>
        <w:t>2-2</w:t>
      </w:r>
      <w:r>
        <w:rPr>
          <w:rFonts w:hint="eastAsia" w:ascii="Times New Roman" w:hAnsi="Times New Roman" w:eastAsia="方正仿宋简体" w:cs="Times New Roman"/>
          <w:color w:val="auto"/>
          <w:sz w:val="30"/>
          <w:szCs w:val="30"/>
          <w:lang w:val="en-US" w:eastAsia="zh-CN"/>
        </w:rPr>
        <w:t>中、</w:t>
      </w:r>
      <w:r>
        <w:rPr>
          <w:rFonts w:hint="default" w:ascii="Times New Roman" w:hAnsi="Times New Roman" w:eastAsia="方正仿宋简体" w:cs="Times New Roman"/>
          <w:color w:val="auto"/>
          <w:sz w:val="30"/>
          <w:szCs w:val="30"/>
          <w:lang w:val="en-US" w:eastAsia="zh-CN"/>
        </w:rPr>
        <w:t>3-1</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4-1</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4-2</w:t>
      </w:r>
      <w:r>
        <w:rPr>
          <w:rFonts w:hint="eastAsia" w:ascii="Times New Roman" w:hAnsi="Times New Roman" w:eastAsia="方正仿宋简体" w:cs="Times New Roman"/>
          <w:color w:val="auto"/>
          <w:sz w:val="30"/>
          <w:szCs w:val="30"/>
          <w:lang w:val="en-US" w:eastAsia="zh-CN"/>
        </w:rPr>
        <w:t>中煤层间距较远，无法实现联合布置，分别在各煤层中布置一组大巷；</w:t>
      </w:r>
      <w:r>
        <w:rPr>
          <w:rFonts w:hint="default" w:ascii="Times New Roman" w:hAnsi="Times New Roman" w:eastAsia="方正仿宋简体" w:cs="Times New Roman"/>
          <w:color w:val="auto"/>
          <w:sz w:val="30"/>
          <w:szCs w:val="30"/>
          <w:lang w:val="en-US" w:eastAsia="zh-CN"/>
        </w:rPr>
        <w:t>5-1</w:t>
      </w:r>
      <w:r>
        <w:rPr>
          <w:rFonts w:hint="eastAsia" w:ascii="Times New Roman" w:hAnsi="Times New Roman" w:eastAsia="方正仿宋简体" w:cs="Times New Roman"/>
          <w:color w:val="auto"/>
          <w:sz w:val="30"/>
          <w:szCs w:val="30"/>
          <w:lang w:val="en-US" w:eastAsia="zh-CN"/>
        </w:rPr>
        <w:t>、</w:t>
      </w:r>
      <w:r>
        <w:rPr>
          <w:rFonts w:hint="default" w:ascii="Times New Roman" w:hAnsi="Times New Roman" w:eastAsia="方正仿宋简体" w:cs="Times New Roman"/>
          <w:color w:val="auto"/>
          <w:sz w:val="30"/>
          <w:szCs w:val="30"/>
          <w:lang w:val="en-US" w:eastAsia="zh-CN"/>
        </w:rPr>
        <w:t>5-2</w:t>
      </w:r>
      <w:r>
        <w:rPr>
          <w:rFonts w:hint="eastAsia" w:ascii="Times New Roman" w:hAnsi="Times New Roman" w:eastAsia="方正仿宋简体" w:cs="Times New Roman"/>
          <w:color w:val="auto"/>
          <w:sz w:val="30"/>
          <w:szCs w:val="30"/>
          <w:lang w:val="en-US" w:eastAsia="zh-CN"/>
        </w:rPr>
        <w:t>联合布置在</w:t>
      </w:r>
      <w:r>
        <w:rPr>
          <w:rFonts w:hint="default" w:ascii="Times New Roman" w:hAnsi="Times New Roman" w:eastAsia="方正仿宋简体" w:cs="Times New Roman"/>
          <w:color w:val="auto"/>
          <w:sz w:val="30"/>
          <w:szCs w:val="30"/>
          <w:lang w:val="en-US" w:eastAsia="zh-CN"/>
        </w:rPr>
        <w:t>5-2</w:t>
      </w:r>
      <w:r>
        <w:rPr>
          <w:rFonts w:hint="eastAsia" w:ascii="Times New Roman" w:hAnsi="Times New Roman" w:eastAsia="方正仿宋简体" w:cs="Times New Roman"/>
          <w:color w:val="auto"/>
          <w:sz w:val="30"/>
          <w:szCs w:val="30"/>
          <w:lang w:val="en-US" w:eastAsia="zh-CN"/>
        </w:rPr>
        <w:t>煤层中布置一组大巷；</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上和</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中煤层间距较近，联合布置，在</w:t>
      </w:r>
      <w:r>
        <w:rPr>
          <w:rFonts w:hint="default" w:ascii="Times New Roman" w:hAnsi="Times New Roman" w:eastAsia="方正仿宋简体" w:cs="Times New Roman"/>
          <w:color w:val="auto"/>
          <w:sz w:val="30"/>
          <w:szCs w:val="30"/>
          <w:lang w:val="en-US" w:eastAsia="zh-CN"/>
        </w:rPr>
        <w:t>6-2</w:t>
      </w:r>
      <w:r>
        <w:rPr>
          <w:rFonts w:hint="eastAsia" w:ascii="Times New Roman" w:hAnsi="Times New Roman" w:eastAsia="方正仿宋简体" w:cs="Times New Roman"/>
          <w:color w:val="auto"/>
          <w:sz w:val="30"/>
          <w:szCs w:val="30"/>
          <w:lang w:val="en-US" w:eastAsia="zh-CN"/>
        </w:rPr>
        <w:t xml:space="preserve">中煤层中布置一组大巷。每个煤组大巷均呈东西向“一字形”布置，井田西北部和西南部局部开采范围不规则的地方采用布置盘区巷道回采。井下主运输采用带式输送机，井下辅助运输采用无轨胶轮车。原煤通过带式输送机送至选煤厂，矿井煤炭大部分采用铁路运输方式。 </w:t>
      </w:r>
    </w:p>
    <w:p w14:paraId="302EAE3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lang w:val="en-US" w:eastAsia="zh-CN"/>
        </w:rPr>
      </w:pPr>
      <w:r>
        <w:rPr>
          <w:rFonts w:hint="default" w:ascii="Times New Roman" w:hAnsi="Times New Roman" w:eastAsia="方正仿宋简体" w:cs="Times New Roman"/>
          <w:color w:val="auto"/>
          <w:sz w:val="30"/>
          <w:szCs w:val="30"/>
          <w:lang w:val="en-US" w:eastAsia="zh-CN"/>
        </w:rPr>
        <w:t>3</w:t>
      </w:r>
      <w:r>
        <w:rPr>
          <w:rFonts w:hint="eastAsia" w:ascii="Times New Roman" w:hAnsi="Times New Roman" w:eastAsia="方正仿宋简体" w:cs="Times New Roman"/>
          <w:color w:val="auto"/>
          <w:sz w:val="30"/>
          <w:szCs w:val="30"/>
          <w:lang w:val="en-US" w:eastAsia="zh-CN"/>
        </w:rPr>
        <w:t>、采煤方法及工艺全井田划分为</w:t>
      </w:r>
      <w:r>
        <w:rPr>
          <w:rFonts w:hint="default" w:ascii="Times New Roman" w:hAnsi="Times New Roman" w:eastAsia="方正仿宋简体" w:cs="Times New Roman"/>
          <w:color w:val="auto"/>
          <w:sz w:val="30"/>
          <w:szCs w:val="30"/>
          <w:lang w:val="en-US" w:eastAsia="zh-CN"/>
        </w:rPr>
        <w:t>18</w:t>
      </w:r>
      <w:r>
        <w:rPr>
          <w:rFonts w:hint="eastAsia" w:ascii="Times New Roman" w:hAnsi="Times New Roman" w:eastAsia="方正仿宋简体" w:cs="Times New Roman"/>
          <w:color w:val="auto"/>
          <w:sz w:val="30"/>
          <w:szCs w:val="30"/>
          <w:lang w:val="en-US" w:eastAsia="zh-CN"/>
        </w:rPr>
        <w:t>个盘区，首采盘区为</w:t>
      </w:r>
      <w:r>
        <w:rPr>
          <w:rFonts w:hint="default" w:ascii="Times New Roman" w:hAnsi="Times New Roman" w:eastAsia="方正仿宋简体" w:cs="Times New Roman"/>
          <w:color w:val="auto"/>
          <w:sz w:val="30"/>
          <w:szCs w:val="30"/>
          <w:lang w:val="en-US" w:eastAsia="zh-CN"/>
        </w:rPr>
        <w:t>302</w:t>
      </w:r>
      <w:r>
        <w:rPr>
          <w:rFonts w:hint="eastAsia" w:ascii="Times New Roman" w:hAnsi="Times New Roman" w:eastAsia="方正仿宋简体" w:cs="Times New Roman"/>
          <w:color w:val="auto"/>
          <w:sz w:val="30"/>
          <w:szCs w:val="30"/>
          <w:lang w:val="en-US" w:eastAsia="zh-CN"/>
        </w:rPr>
        <w:t>盘区。设计在</w:t>
      </w:r>
      <w:r>
        <w:rPr>
          <w:rFonts w:hint="default" w:ascii="Times New Roman" w:hAnsi="Times New Roman" w:eastAsia="方正仿宋简体" w:cs="Times New Roman"/>
          <w:color w:val="auto"/>
          <w:sz w:val="30"/>
          <w:szCs w:val="30"/>
          <w:lang w:val="en-US" w:eastAsia="zh-CN"/>
        </w:rPr>
        <w:t>302</w:t>
      </w:r>
      <w:r>
        <w:rPr>
          <w:rFonts w:hint="eastAsia" w:ascii="Times New Roman" w:hAnsi="Times New Roman" w:eastAsia="方正仿宋简体" w:cs="Times New Roman"/>
          <w:color w:val="auto"/>
          <w:sz w:val="30"/>
          <w:szCs w:val="30"/>
          <w:lang w:val="en-US" w:eastAsia="zh-CN"/>
        </w:rPr>
        <w:t>盘区布置一个综采工作面。工作面巷道垂直于大巷布置成条带式。本矿投达产时装备</w:t>
      </w:r>
      <w:r>
        <w:rPr>
          <w:rFonts w:hint="default" w:ascii="Times New Roman" w:hAnsi="Times New Roman" w:eastAsia="方正仿宋简体" w:cs="Times New Roman"/>
          <w:color w:val="auto"/>
          <w:sz w:val="30"/>
          <w:szCs w:val="30"/>
          <w:lang w:val="en-US" w:eastAsia="zh-CN"/>
        </w:rPr>
        <w:t>1</w:t>
      </w:r>
      <w:r>
        <w:rPr>
          <w:rFonts w:hint="eastAsia" w:ascii="Times New Roman" w:hAnsi="Times New Roman" w:eastAsia="方正仿宋简体" w:cs="Times New Roman"/>
          <w:color w:val="auto"/>
          <w:sz w:val="30"/>
          <w:szCs w:val="30"/>
          <w:lang w:val="en-US" w:eastAsia="zh-CN"/>
        </w:rPr>
        <w:t>个大采高综采工作面，根据</w:t>
      </w:r>
      <w:r>
        <w:rPr>
          <w:rFonts w:hint="default" w:ascii="Times New Roman" w:hAnsi="Times New Roman" w:eastAsia="方正仿宋简体" w:cs="Times New Roman"/>
          <w:color w:val="auto"/>
          <w:sz w:val="30"/>
          <w:szCs w:val="30"/>
          <w:lang w:val="en-US" w:eastAsia="zh-CN"/>
        </w:rPr>
        <w:t>3-1</w:t>
      </w:r>
      <w:r>
        <w:rPr>
          <w:rFonts w:hint="eastAsia" w:ascii="Times New Roman" w:hAnsi="Times New Roman" w:eastAsia="方正仿宋简体" w:cs="Times New Roman"/>
          <w:color w:val="auto"/>
          <w:sz w:val="30"/>
          <w:szCs w:val="30"/>
          <w:lang w:val="en-US" w:eastAsia="zh-CN"/>
        </w:rPr>
        <w:t>煤层开采技术条件、工作面接续关系及矿井规模，</w:t>
      </w:r>
      <w:r>
        <w:rPr>
          <w:rFonts w:hint="default" w:ascii="Times New Roman" w:hAnsi="Times New Roman" w:eastAsia="方正仿宋简体" w:cs="Times New Roman"/>
          <w:color w:val="auto"/>
          <w:sz w:val="30"/>
          <w:szCs w:val="30"/>
          <w:lang w:val="en-US" w:eastAsia="zh-CN"/>
        </w:rPr>
        <w:t>3-1</w:t>
      </w:r>
      <w:r>
        <w:rPr>
          <w:rFonts w:hint="eastAsia" w:ascii="Times New Roman" w:hAnsi="Times New Roman" w:eastAsia="方正仿宋简体" w:cs="Times New Roman"/>
          <w:color w:val="auto"/>
          <w:sz w:val="30"/>
          <w:szCs w:val="30"/>
          <w:lang w:val="en-US" w:eastAsia="zh-CN"/>
        </w:rPr>
        <w:t>煤层大采高综采工作面面长</w:t>
      </w:r>
      <w:r>
        <w:rPr>
          <w:rFonts w:hint="default" w:ascii="Times New Roman" w:hAnsi="Times New Roman" w:eastAsia="方正仿宋简体" w:cs="Times New Roman"/>
          <w:color w:val="auto"/>
          <w:sz w:val="30"/>
          <w:szCs w:val="30"/>
          <w:lang w:val="en-US" w:eastAsia="zh-CN"/>
        </w:rPr>
        <w:t>300m</w:t>
      </w:r>
      <w:r>
        <w:rPr>
          <w:rFonts w:hint="eastAsia" w:ascii="Times New Roman" w:hAnsi="Times New Roman" w:eastAsia="方正仿宋简体" w:cs="Times New Roman"/>
          <w:color w:val="auto"/>
          <w:sz w:val="30"/>
          <w:szCs w:val="30"/>
          <w:lang w:val="en-US" w:eastAsia="zh-CN"/>
        </w:rPr>
        <w:t>，首采面长度为</w:t>
      </w:r>
      <w:r>
        <w:rPr>
          <w:rFonts w:hint="default" w:ascii="Times New Roman" w:hAnsi="Times New Roman" w:eastAsia="方正仿宋简体" w:cs="Times New Roman"/>
          <w:color w:val="auto"/>
          <w:sz w:val="30"/>
          <w:szCs w:val="30"/>
          <w:lang w:val="en-US" w:eastAsia="zh-CN"/>
        </w:rPr>
        <w:t>240m</w:t>
      </w:r>
      <w:r>
        <w:rPr>
          <w:rFonts w:hint="eastAsia" w:ascii="Times New Roman" w:hAnsi="Times New Roman" w:eastAsia="方正仿宋简体" w:cs="Times New Roman"/>
          <w:color w:val="auto"/>
          <w:sz w:val="30"/>
          <w:szCs w:val="30"/>
          <w:lang w:val="en-US" w:eastAsia="zh-CN"/>
        </w:rPr>
        <w:t>，平均采高</w:t>
      </w:r>
      <w:r>
        <w:rPr>
          <w:rFonts w:hint="default" w:ascii="Times New Roman" w:hAnsi="Times New Roman" w:eastAsia="方正仿宋简体" w:cs="Times New Roman"/>
          <w:color w:val="auto"/>
          <w:sz w:val="30"/>
          <w:szCs w:val="30"/>
          <w:lang w:val="en-US" w:eastAsia="zh-CN"/>
        </w:rPr>
        <w:t>4.8m</w:t>
      </w:r>
      <w:r>
        <w:rPr>
          <w:rFonts w:hint="eastAsia" w:ascii="Times New Roman" w:hAnsi="Times New Roman" w:eastAsia="方正仿宋简体" w:cs="Times New Roman"/>
          <w:color w:val="auto"/>
          <w:sz w:val="30"/>
          <w:szCs w:val="30"/>
          <w:lang w:val="en-US" w:eastAsia="zh-CN"/>
        </w:rPr>
        <w:t>，生产能力为</w:t>
      </w:r>
      <w:r>
        <w:rPr>
          <w:rFonts w:hint="default" w:ascii="Times New Roman" w:hAnsi="Times New Roman" w:eastAsia="方正仿宋简体" w:cs="Times New Roman"/>
          <w:color w:val="auto"/>
          <w:sz w:val="30"/>
          <w:szCs w:val="30"/>
          <w:lang w:val="en-US" w:eastAsia="zh-CN"/>
        </w:rPr>
        <w:t>600</w:t>
      </w:r>
      <w:r>
        <w:rPr>
          <w:rFonts w:hint="eastAsia" w:ascii="Times New Roman" w:hAnsi="Times New Roman" w:eastAsia="方正仿宋简体" w:cs="Times New Roman"/>
          <w:color w:val="auto"/>
          <w:sz w:val="30"/>
          <w:szCs w:val="30"/>
          <w:lang w:val="en-US" w:eastAsia="zh-CN"/>
        </w:rPr>
        <w:t>万吨</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年左右，配套建设同等规模的选煤厂。</w:t>
      </w:r>
    </w:p>
    <w:p w14:paraId="4373AF5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lang w:val="en-US" w:eastAsia="zh-CN"/>
        </w:rPr>
      </w:pPr>
      <w:r>
        <w:rPr>
          <w:rFonts w:hint="eastAsia" w:ascii="Times New Roman" w:hAnsi="Times New Roman" w:eastAsia="方正仿宋简体" w:cs="Times New Roman"/>
          <w:color w:val="auto"/>
          <w:sz w:val="30"/>
          <w:szCs w:val="30"/>
          <w:lang w:val="en-US" w:eastAsia="zh-CN"/>
        </w:rPr>
        <w:t xml:space="preserve">4、本矿井煤矸石和矿井水综合利用率均符合原国土资源部关于煤炭资源合理开发利用“三率”指标要求“煤矸石和矿井水综合利用率均应达到 </w:t>
      </w:r>
      <w:r>
        <w:rPr>
          <w:rFonts w:hint="default" w:ascii="Times New Roman" w:hAnsi="Times New Roman" w:eastAsia="方正仿宋简体" w:cs="Times New Roman"/>
          <w:color w:val="auto"/>
          <w:sz w:val="30"/>
          <w:szCs w:val="30"/>
          <w:lang w:val="en-US" w:eastAsia="zh-CN"/>
        </w:rPr>
        <w:t>75%</w:t>
      </w:r>
      <w:r>
        <w:rPr>
          <w:rFonts w:hint="eastAsia" w:ascii="Times New Roman" w:hAnsi="Times New Roman" w:eastAsia="方正仿宋简体" w:cs="Times New Roman"/>
          <w:color w:val="auto"/>
          <w:sz w:val="30"/>
          <w:szCs w:val="30"/>
          <w:lang w:val="en-US" w:eastAsia="zh-CN"/>
        </w:rPr>
        <w:t>以上”的规定，指标先进。</w:t>
      </w:r>
    </w:p>
    <w:p w14:paraId="4AF7AD5A">
      <w:pPr>
        <w:keepNext w:val="0"/>
        <w:keepLines w:val="0"/>
        <w:pageBreakBefore w:val="0"/>
        <w:widowControl w:val="0"/>
        <w:kinsoku/>
        <w:wordWrap w:val="0"/>
        <w:overflowPunct/>
        <w:topLinePunct w:val="0"/>
        <w:autoSpaceDE/>
        <w:autoSpaceDN/>
        <w:bidi w:val="0"/>
        <w:adjustRightInd/>
        <w:snapToGrid/>
        <w:spacing w:line="240" w:lineRule="auto"/>
        <w:ind w:firstLine="600" w:firstLineChars="200"/>
        <w:jc w:val="both"/>
        <w:textAlignment w:val="auto"/>
        <w:outlineLvl w:val="1"/>
        <w:rPr>
          <w:rFonts w:hint="eastAsia" w:ascii="Times New Roman" w:hAnsi="Times New Roman" w:eastAsia="方正仿宋简体" w:cs="Times New Roman"/>
          <w:bCs/>
          <w:sz w:val="30"/>
          <w:szCs w:val="30"/>
          <w:lang w:val="en-US" w:eastAsia="zh-CN"/>
        </w:rPr>
      </w:pPr>
      <w:bookmarkStart w:id="7" w:name="_Toc14965"/>
      <w:r>
        <w:rPr>
          <w:rFonts w:hint="eastAsia" w:ascii="Times New Roman" w:hAnsi="Times New Roman" w:eastAsia="方正仿宋简体" w:cs="Times New Roman"/>
          <w:bCs/>
          <w:sz w:val="30"/>
          <w:szCs w:val="30"/>
          <w:lang w:val="en-US" w:eastAsia="zh-CN"/>
        </w:rPr>
        <w:t>第二节 矿山土地损毁现状</w:t>
      </w:r>
      <w:bookmarkEnd w:id="7"/>
    </w:p>
    <w:p w14:paraId="3F9823B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sz w:val="30"/>
          <w:szCs w:val="30"/>
          <w:highlight w:val="none"/>
          <w:lang w:val="en-US" w:eastAsia="zh-CN"/>
        </w:rPr>
      </w:pPr>
      <w:r>
        <w:rPr>
          <w:rFonts w:hint="eastAsia" w:ascii="Times New Roman" w:hAnsi="Times New Roman" w:eastAsia="方正仿宋简体" w:cs="Times New Roman"/>
          <w:color w:val="auto"/>
          <w:sz w:val="30"/>
          <w:szCs w:val="30"/>
          <w:lang w:val="en-US" w:eastAsia="zh-CN"/>
        </w:rPr>
        <w:t>矿区地形较平坦，起伏不大，无不良工程地质体，现状条件下不存在崩塌、滑坡等地质灾害；矿区内地形切割微弱，沟谷不发育，排</w:t>
      </w:r>
      <w:r>
        <w:rPr>
          <w:rFonts w:hint="eastAsia" w:ascii="Times New Roman" w:hAnsi="Times New Roman" w:eastAsia="方正仿宋简体" w:cs="Times New Roman"/>
          <w:color w:val="auto"/>
          <w:sz w:val="30"/>
          <w:szCs w:val="30"/>
          <w:highlight w:val="none"/>
          <w:lang w:val="en-US" w:eastAsia="zh-CN"/>
        </w:rPr>
        <w:t>矸场目前已治理，未发现不稳定斜坡及泥石流等地质灾害；矿山目前形成7处综采采空区。</w:t>
      </w:r>
    </w:p>
    <w:p w14:paraId="3F7F67D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sz w:val="30"/>
          <w:szCs w:val="30"/>
          <w:highlight w:val="none"/>
          <w:lang w:val="en-US" w:eastAsia="zh-CN"/>
        </w:rPr>
      </w:pPr>
      <w:r>
        <w:rPr>
          <w:rFonts w:hint="eastAsia" w:ascii="Times New Roman" w:hAnsi="Times New Roman" w:eastAsia="方正仿宋简体" w:cs="Times New Roman"/>
          <w:color w:val="auto"/>
          <w:sz w:val="30"/>
          <w:szCs w:val="30"/>
          <w:highlight w:val="none"/>
          <w:lang w:val="en-US" w:eastAsia="zh-CN"/>
        </w:rPr>
        <w:t>1、采空区现状：母杜柴登煤矿为地下综采开采方式，目前正在开采</w:t>
      </w:r>
      <w:r>
        <w:rPr>
          <w:rFonts w:hint="default" w:ascii="Times New Roman" w:hAnsi="Times New Roman" w:eastAsia="方正仿宋简体" w:cs="Times New Roman"/>
          <w:color w:val="auto"/>
          <w:sz w:val="30"/>
          <w:szCs w:val="30"/>
          <w:highlight w:val="none"/>
          <w:lang w:val="en-US" w:eastAsia="zh-CN"/>
        </w:rPr>
        <w:t>3-1</w:t>
      </w:r>
      <w:r>
        <w:rPr>
          <w:rFonts w:hint="eastAsia" w:ascii="Times New Roman" w:hAnsi="Times New Roman" w:eastAsia="方正仿宋简体" w:cs="Times New Roman"/>
          <w:color w:val="auto"/>
          <w:sz w:val="30"/>
          <w:szCs w:val="30"/>
          <w:highlight w:val="none"/>
          <w:lang w:val="en-US" w:eastAsia="zh-CN"/>
        </w:rPr>
        <w:t>号煤层。截至2025年12月31日，共形成综采采空区7块，30201工作面采空区面积85.1533公顷，30202工作面采空区面积102.8091公顷，30208工作面采空区面积45.7317公顷，30209工作面空区面积100.7107公顷，30210工作面采空区面积49.7925公顷，30207工作面采空区面积191.1944公顷，30101工作面采空区面积80.3113公顷。</w:t>
      </w:r>
    </w:p>
    <w:p w14:paraId="63E1F65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lang w:val="en-US" w:eastAsia="zh-CN"/>
        </w:rPr>
      </w:pPr>
      <w:r>
        <w:rPr>
          <w:rFonts w:hint="eastAsia" w:ascii="Times New Roman" w:hAnsi="Times New Roman" w:eastAsia="方正仿宋简体" w:cs="Times New Roman"/>
          <w:color w:val="auto"/>
          <w:sz w:val="30"/>
          <w:szCs w:val="30"/>
          <w:lang w:val="en-US" w:eastAsia="zh-CN"/>
        </w:rPr>
        <w:t>2、排矸场现状：排矸场已完成治理，现状地质灾害不发育，矿山地质环境影响程度较轻。</w:t>
      </w:r>
    </w:p>
    <w:p w14:paraId="623AE2E5">
      <w:pPr>
        <w:pStyle w:val="3"/>
        <w:keepNext w:val="0"/>
        <w:keepLines w:val="0"/>
        <w:pageBreakBefore w:val="0"/>
        <w:widowControl w:val="0"/>
        <w:kinsoku/>
        <w:wordWrap w:val="0"/>
        <w:overflowPunct/>
        <w:topLinePunct w:val="0"/>
        <w:autoSpaceDE/>
        <w:autoSpaceDN/>
        <w:bidi w:val="0"/>
        <w:adjustRightInd/>
        <w:snapToGrid/>
        <w:spacing w:line="240" w:lineRule="auto"/>
        <w:ind w:left="0" w:leftChars="0" w:firstLine="600" w:firstLineChars="200"/>
        <w:textAlignment w:val="auto"/>
        <w:outlineLvl w:val="1"/>
        <w:rPr>
          <w:rFonts w:hint="eastAsia" w:ascii="Times New Roman" w:hAnsi="Times New Roman" w:eastAsia="方正仿宋简体" w:cs="Times New Roman"/>
          <w:bCs/>
          <w:sz w:val="30"/>
          <w:szCs w:val="30"/>
          <w:highlight w:val="none"/>
          <w:lang w:val="en-US" w:eastAsia="zh-CN"/>
        </w:rPr>
      </w:pPr>
      <w:bookmarkStart w:id="8" w:name="_Toc21566"/>
      <w:r>
        <w:rPr>
          <w:rFonts w:hint="eastAsia" w:ascii="Times New Roman" w:hAnsi="Times New Roman" w:eastAsia="方正仿宋简体" w:cs="Times New Roman"/>
          <w:bCs/>
          <w:sz w:val="30"/>
          <w:szCs w:val="30"/>
          <w:highlight w:val="none"/>
          <w:lang w:val="en-US" w:eastAsia="zh-CN"/>
        </w:rPr>
        <w:t>第三节 本年度生产计划</w:t>
      </w:r>
      <w:bookmarkEnd w:id="8"/>
    </w:p>
    <w:p w14:paraId="0E13B245">
      <w:pPr>
        <w:keepNext w:val="0"/>
        <w:keepLines w:val="0"/>
        <w:pageBreakBefore w:val="0"/>
        <w:kinsoku/>
        <w:wordWrap w:val="0"/>
        <w:overflowPunct/>
        <w:topLinePunct w:val="0"/>
        <w:autoSpaceDE/>
        <w:autoSpaceDN/>
        <w:bidi w:val="0"/>
        <w:adjustRightInd/>
        <w:snapToGrid/>
        <w:spacing w:line="240" w:lineRule="auto"/>
        <w:ind w:firstLine="600" w:firstLineChars="200"/>
        <w:textAlignment w:val="auto"/>
        <w:rPr>
          <w:rFonts w:hint="default"/>
          <w:highlight w:val="none"/>
          <w:lang w:val="en-US" w:eastAsia="zh-CN"/>
        </w:rPr>
      </w:pPr>
      <w:r>
        <w:rPr>
          <w:rFonts w:hint="eastAsia" w:ascii="Times New Roman" w:hAnsi="Times New Roman" w:eastAsia="方正仿宋简体" w:cs="Times New Roman"/>
          <w:bCs/>
          <w:sz w:val="30"/>
          <w:szCs w:val="30"/>
          <w:highlight w:val="none"/>
          <w:lang w:val="en-US" w:eastAsia="zh-CN"/>
        </w:rPr>
        <w:t>母杜柴登煤矿2026年煤炭产量计划600万吨，掘进进尺计划9990米，开采煤层为3-1煤层，开采工作面为30210、30102工作面。</w:t>
      </w:r>
    </w:p>
    <w:p w14:paraId="199E38E4">
      <w:pPr>
        <w:pStyle w:val="3"/>
        <w:keepNext w:val="0"/>
        <w:keepLines w:val="0"/>
        <w:pageBreakBefore w:val="0"/>
        <w:widowControl w:val="0"/>
        <w:kinsoku/>
        <w:wordWrap w:val="0"/>
        <w:overflowPunct/>
        <w:topLinePunct w:val="0"/>
        <w:autoSpaceDE/>
        <w:autoSpaceDN/>
        <w:bidi w:val="0"/>
        <w:adjustRightInd/>
        <w:snapToGrid/>
        <w:spacing w:line="240" w:lineRule="auto"/>
        <w:ind w:left="0" w:leftChars="0" w:firstLine="600" w:firstLineChars="200"/>
        <w:textAlignment w:val="auto"/>
        <w:outlineLvl w:val="1"/>
        <w:rPr>
          <w:rFonts w:hint="eastAsia" w:ascii="Times New Roman" w:hAnsi="Times New Roman" w:eastAsia="方正仿宋简体" w:cs="Times New Roman"/>
          <w:bCs/>
          <w:sz w:val="30"/>
          <w:szCs w:val="30"/>
          <w:lang w:val="en-US" w:eastAsia="zh-CN"/>
        </w:rPr>
      </w:pPr>
      <w:bookmarkStart w:id="9" w:name="_Toc19867"/>
      <w:r>
        <w:rPr>
          <w:rFonts w:hint="eastAsia" w:ascii="Times New Roman" w:hAnsi="Times New Roman" w:eastAsia="方正仿宋简体" w:cs="Times New Roman"/>
          <w:bCs/>
          <w:sz w:val="30"/>
          <w:szCs w:val="30"/>
          <w:lang w:val="en-US" w:eastAsia="zh-CN"/>
        </w:rPr>
        <w:t>第四节 治理范围</w:t>
      </w:r>
      <w:bookmarkEnd w:id="9"/>
    </w:p>
    <w:p w14:paraId="1739554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lang w:val="en-US" w:eastAsia="zh-CN"/>
        </w:rPr>
      </w:pPr>
      <w:r>
        <w:rPr>
          <w:rFonts w:hint="eastAsia" w:ascii="Times New Roman" w:hAnsi="Times New Roman" w:eastAsia="方正仿宋简体" w:cs="Times New Roman"/>
          <w:color w:val="auto"/>
          <w:sz w:val="30"/>
          <w:szCs w:val="30"/>
          <w:lang w:val="en-US" w:eastAsia="zh-CN"/>
        </w:rPr>
        <w:t>土地复垦近期（近</w:t>
      </w:r>
      <w:r>
        <w:rPr>
          <w:rFonts w:hint="default" w:ascii="Times New Roman" w:hAnsi="Times New Roman" w:eastAsia="方正仿宋简体" w:cs="Times New Roman"/>
          <w:color w:val="auto"/>
          <w:sz w:val="30"/>
          <w:szCs w:val="30"/>
          <w:lang w:val="en-US" w:eastAsia="zh-CN"/>
        </w:rPr>
        <w:t>5</w:t>
      </w:r>
      <w:r>
        <w:rPr>
          <w:rFonts w:hint="eastAsia" w:ascii="Times New Roman" w:hAnsi="Times New Roman" w:eastAsia="方正仿宋简体" w:cs="Times New Roman"/>
          <w:color w:val="auto"/>
          <w:sz w:val="30"/>
          <w:szCs w:val="30"/>
          <w:lang w:val="en-US" w:eastAsia="zh-CN"/>
        </w:rPr>
        <w:t>年）主要工作为开采塌陷范围内的区域进行监测和林草地管护，包括土壤质量监测、植被监测和对林草地进行平时管护。树立警示牌，指定监测人员和巡查人员，开展已开采区的地质灾害预警工程；开展地下水监测体系，含水层的水位、水质、水量监测工作；结合生产进度，制定延缓矿区主要充水含水层水位下降的措施并实施；进行地形地貌景观人工及遥感监测；进行水土污染监测工作。</w:t>
      </w:r>
    </w:p>
    <w:p w14:paraId="5275A34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sz w:val="30"/>
          <w:szCs w:val="30"/>
          <w:lang w:val="en-US" w:eastAsia="zh-CN"/>
        </w:rPr>
      </w:pPr>
      <w:r>
        <w:rPr>
          <w:rFonts w:hint="eastAsia" w:ascii="Times New Roman" w:hAnsi="Times New Roman" w:eastAsia="方正仿宋简体" w:cs="Times New Roman"/>
          <w:color w:val="auto"/>
          <w:sz w:val="30"/>
          <w:szCs w:val="30"/>
          <w:lang w:val="en-US" w:eastAsia="zh-CN"/>
        </w:rPr>
        <w:t>对临时排矸场（</w:t>
      </w:r>
      <w:r>
        <w:rPr>
          <w:rFonts w:hint="default" w:ascii="Times New Roman" w:hAnsi="Times New Roman" w:eastAsia="方正仿宋简体" w:cs="Times New Roman"/>
          <w:color w:val="auto"/>
          <w:sz w:val="30"/>
          <w:szCs w:val="30"/>
          <w:lang w:val="en-US" w:eastAsia="zh-CN"/>
        </w:rPr>
        <w:t>6.30hm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）撒播草籽</w:t>
      </w:r>
      <w:r>
        <w:rPr>
          <w:rFonts w:hint="default" w:ascii="Times New Roman" w:hAnsi="Times New Roman" w:eastAsia="方正仿宋简体" w:cs="Times New Roman"/>
          <w:color w:val="auto"/>
          <w:sz w:val="30"/>
          <w:szCs w:val="30"/>
          <w:lang w:val="en-US" w:eastAsia="zh-CN"/>
        </w:rPr>
        <w:t>30kg/hm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、对塌陷区内林草地撒播草籽，撒播面积</w:t>
      </w:r>
      <w:r>
        <w:rPr>
          <w:rFonts w:hint="default" w:ascii="Times New Roman" w:hAnsi="Times New Roman" w:eastAsia="方正仿宋简体" w:cs="Times New Roman"/>
          <w:color w:val="auto"/>
          <w:sz w:val="30"/>
          <w:szCs w:val="30"/>
          <w:lang w:val="en-US" w:eastAsia="zh-CN"/>
        </w:rPr>
        <w:t>5569.96hm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，密度为</w:t>
      </w:r>
      <w:r>
        <w:rPr>
          <w:rFonts w:hint="default" w:ascii="Times New Roman" w:hAnsi="Times New Roman" w:eastAsia="方正仿宋简体" w:cs="Times New Roman"/>
          <w:color w:val="auto"/>
          <w:sz w:val="30"/>
          <w:szCs w:val="30"/>
          <w:lang w:val="en-US" w:eastAsia="zh-CN"/>
        </w:rPr>
        <w:t>30kg/hm</w:t>
      </w:r>
      <w:r>
        <w:rPr>
          <w:rFonts w:hint="default" w:ascii="Times New Roman" w:hAnsi="Times New Roman" w:eastAsia="方正仿宋简体" w:cs="Times New Roman"/>
          <w:color w:val="auto"/>
          <w:sz w:val="30"/>
          <w:szCs w:val="30"/>
          <w:vertAlign w:val="superscript"/>
          <w:lang w:val="en-US" w:eastAsia="zh-CN"/>
        </w:rPr>
        <w:t>2</w:t>
      </w:r>
      <w:r>
        <w:rPr>
          <w:rFonts w:hint="eastAsia" w:ascii="Times New Roman" w:hAnsi="Times New Roman" w:eastAsia="方正仿宋简体" w:cs="Times New Roman"/>
          <w:color w:val="auto"/>
          <w:sz w:val="30"/>
          <w:szCs w:val="30"/>
          <w:lang w:val="en-US" w:eastAsia="zh-CN"/>
        </w:rPr>
        <w:t>。对临时排矸场草地进行监测和人工管护。</w:t>
      </w:r>
    </w:p>
    <w:p w14:paraId="23C6071D">
      <w:pPr>
        <w:pStyle w:val="3"/>
        <w:keepNext w:val="0"/>
        <w:keepLines w:val="0"/>
        <w:pageBreakBefore w:val="0"/>
        <w:widowControl w:val="0"/>
        <w:kinsoku/>
        <w:wordWrap w:val="0"/>
        <w:overflowPunct/>
        <w:topLinePunct w:val="0"/>
        <w:autoSpaceDE/>
        <w:autoSpaceDN/>
        <w:bidi w:val="0"/>
        <w:adjustRightInd/>
        <w:snapToGrid/>
        <w:spacing w:line="240" w:lineRule="auto"/>
        <w:ind w:left="0" w:leftChars="0" w:firstLine="600" w:firstLineChars="200"/>
        <w:textAlignment w:val="auto"/>
        <w:outlineLvl w:val="1"/>
        <w:rPr>
          <w:rFonts w:hint="default" w:ascii="Times New Roman" w:hAnsi="Times New Roman" w:eastAsia="黑体" w:cs="Times New Roman"/>
          <w:sz w:val="30"/>
          <w:szCs w:val="30"/>
          <w:lang w:val="en-US" w:eastAsia="zh-CN"/>
        </w:rPr>
      </w:pPr>
      <w:bookmarkStart w:id="10" w:name="_Toc2807"/>
      <w:r>
        <w:rPr>
          <w:rFonts w:hint="eastAsia" w:ascii="Times New Roman" w:hAnsi="Times New Roman" w:eastAsia="方正仿宋简体" w:cs="Times New Roman"/>
          <w:bCs/>
          <w:sz w:val="30"/>
          <w:szCs w:val="30"/>
          <w:lang w:val="en-US" w:eastAsia="zh-CN"/>
        </w:rPr>
        <w:t>第五节 本年度基金使用计划</w:t>
      </w:r>
      <w:bookmarkEnd w:id="10"/>
    </w:p>
    <w:p w14:paraId="597F66CB">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楷体" w:cs="Times New Roman"/>
          <w:sz w:val="30"/>
          <w:szCs w:val="30"/>
          <w:lang w:val="en-US" w:eastAsia="zh-CN"/>
        </w:rPr>
      </w:pPr>
      <w:r>
        <w:rPr>
          <w:rFonts w:hint="default" w:ascii="Times New Roman" w:hAnsi="Times New Roman" w:eastAsia="楷体" w:cs="Times New Roman"/>
          <w:sz w:val="30"/>
          <w:szCs w:val="30"/>
          <w:lang w:val="en-US" w:eastAsia="zh-CN"/>
        </w:rPr>
        <w:t>（一）基金账户建立及计提情况</w:t>
      </w:r>
    </w:p>
    <w:p w14:paraId="180D472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lang w:val="en-US" w:eastAsia="zh-CN"/>
        </w:rPr>
      </w:pPr>
      <w:r>
        <w:rPr>
          <w:rFonts w:hint="default" w:ascii="Times New Roman" w:hAnsi="Times New Roman" w:eastAsia="方正仿宋简体" w:cs="Times New Roman"/>
          <w:color w:val="auto"/>
          <w:sz w:val="30"/>
          <w:szCs w:val="30"/>
          <w:lang w:val="en-US" w:eastAsia="zh-CN"/>
        </w:rPr>
        <w:t>我公司在中国银行乌审旗支行设立了矿山地质环境治理恢复基金账户，根据《乌审旗自然资源局关于母杜柴登煤矿缴存202</w:t>
      </w:r>
      <w:r>
        <w:rPr>
          <w:rFonts w:hint="eastAsia" w:ascii="Times New Roman" w:hAnsi="Times New Roman" w:eastAsia="方正仿宋简体" w:cs="Times New Roman"/>
          <w:color w:val="auto"/>
          <w:sz w:val="30"/>
          <w:szCs w:val="30"/>
          <w:lang w:val="en-US" w:eastAsia="zh-CN"/>
        </w:rPr>
        <w:t>6</w:t>
      </w:r>
      <w:r>
        <w:rPr>
          <w:rFonts w:hint="default" w:ascii="Times New Roman" w:hAnsi="Times New Roman" w:eastAsia="方正仿宋简体" w:cs="Times New Roman"/>
          <w:color w:val="auto"/>
          <w:sz w:val="30"/>
          <w:szCs w:val="30"/>
          <w:lang w:val="en-US" w:eastAsia="zh-CN"/>
        </w:rPr>
        <w:t>年度矿山地质环境治理恢复基金的通知》（乌自然函〔202</w:t>
      </w:r>
      <w:r>
        <w:rPr>
          <w:rFonts w:hint="eastAsia" w:ascii="Times New Roman" w:hAnsi="Times New Roman" w:eastAsia="方正仿宋简体" w:cs="Times New Roman"/>
          <w:color w:val="auto"/>
          <w:sz w:val="30"/>
          <w:szCs w:val="30"/>
          <w:lang w:val="en-US" w:eastAsia="zh-CN"/>
        </w:rPr>
        <w:t>6</w:t>
      </w:r>
      <w:r>
        <w:rPr>
          <w:rFonts w:hint="default" w:ascii="Times New Roman" w:hAnsi="Times New Roman" w:eastAsia="方正仿宋简体" w:cs="Times New Roman"/>
          <w:color w:val="auto"/>
          <w:sz w:val="30"/>
          <w:szCs w:val="30"/>
          <w:lang w:val="en-US" w:eastAsia="zh-CN"/>
        </w:rPr>
        <w:t>〕</w:t>
      </w:r>
      <w:r>
        <w:rPr>
          <w:rFonts w:hint="eastAsia" w:ascii="Times New Roman" w:hAnsi="Times New Roman" w:eastAsia="方正仿宋简体" w:cs="Times New Roman"/>
          <w:color w:val="auto"/>
          <w:sz w:val="30"/>
          <w:szCs w:val="30"/>
          <w:lang w:val="en-US" w:eastAsia="zh-CN"/>
        </w:rPr>
        <w:t>96</w:t>
      </w:r>
      <w:r>
        <w:rPr>
          <w:rFonts w:hint="default" w:ascii="Times New Roman" w:hAnsi="Times New Roman" w:eastAsia="方正仿宋简体" w:cs="Times New Roman"/>
          <w:color w:val="auto"/>
          <w:sz w:val="30"/>
          <w:szCs w:val="30"/>
          <w:lang w:val="en-US" w:eastAsia="zh-CN"/>
        </w:rPr>
        <w:t>号）要求，</w:t>
      </w:r>
      <w:r>
        <w:rPr>
          <w:rFonts w:hint="eastAsia" w:ascii="Times New Roman" w:hAnsi="Times New Roman" w:eastAsia="方正仿宋简体" w:cs="Times New Roman"/>
          <w:color w:val="auto"/>
          <w:sz w:val="30"/>
          <w:szCs w:val="30"/>
          <w:lang w:val="en-US" w:eastAsia="zh-CN"/>
        </w:rPr>
        <w:t>2026年2月已</w:t>
      </w:r>
      <w:r>
        <w:rPr>
          <w:rFonts w:hint="default" w:ascii="Times New Roman" w:hAnsi="Times New Roman" w:eastAsia="方正仿宋简体" w:cs="Times New Roman"/>
          <w:color w:val="auto"/>
          <w:sz w:val="30"/>
          <w:szCs w:val="30"/>
          <w:lang w:val="en-US" w:eastAsia="zh-CN"/>
        </w:rPr>
        <w:t>完成本年度</w:t>
      </w:r>
      <w:r>
        <w:rPr>
          <w:rFonts w:hint="eastAsia" w:ascii="Times New Roman" w:hAnsi="Times New Roman" w:eastAsia="方正仿宋简体" w:cs="Times New Roman"/>
          <w:color w:val="auto"/>
          <w:sz w:val="30"/>
          <w:szCs w:val="30"/>
          <w:lang w:val="en-US" w:eastAsia="zh-CN"/>
        </w:rPr>
        <w:t>6213.108</w:t>
      </w:r>
      <w:r>
        <w:rPr>
          <w:rFonts w:hint="default" w:ascii="Times New Roman" w:hAnsi="Times New Roman" w:eastAsia="方正仿宋简体" w:cs="Times New Roman"/>
          <w:color w:val="auto"/>
          <w:sz w:val="30"/>
          <w:szCs w:val="30"/>
          <w:lang w:val="en-US" w:eastAsia="zh-CN"/>
        </w:rPr>
        <w:t>万元基金缴存工作。</w:t>
      </w:r>
    </w:p>
    <w:p w14:paraId="15F51EE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楷体" w:cs="Times New Roman"/>
          <w:sz w:val="30"/>
          <w:szCs w:val="30"/>
          <w:u w:val="none"/>
          <w:lang w:val="en-US" w:eastAsia="zh-CN"/>
        </w:rPr>
      </w:pPr>
      <w:r>
        <w:rPr>
          <w:rFonts w:hint="default" w:ascii="Times New Roman" w:hAnsi="Times New Roman" w:eastAsia="楷体" w:cs="Times New Roman"/>
          <w:sz w:val="30"/>
          <w:szCs w:val="30"/>
          <w:u w:val="none"/>
          <w:lang w:val="en-US" w:eastAsia="zh-CN"/>
        </w:rPr>
        <w:t>（二）202</w:t>
      </w:r>
      <w:r>
        <w:rPr>
          <w:rFonts w:hint="eastAsia" w:ascii="Times New Roman" w:hAnsi="Times New Roman" w:eastAsia="楷体" w:cs="Times New Roman"/>
          <w:sz w:val="30"/>
          <w:szCs w:val="30"/>
          <w:u w:val="none"/>
          <w:lang w:val="en-US" w:eastAsia="zh-CN"/>
        </w:rPr>
        <w:t>6</w:t>
      </w:r>
      <w:r>
        <w:rPr>
          <w:rFonts w:hint="default" w:ascii="Times New Roman" w:hAnsi="Times New Roman" w:eastAsia="楷体" w:cs="Times New Roman"/>
          <w:sz w:val="30"/>
          <w:szCs w:val="30"/>
          <w:u w:val="none"/>
          <w:lang w:val="en-US" w:eastAsia="zh-CN"/>
        </w:rPr>
        <w:t>年度矿山地质环境及土地复垦</w:t>
      </w:r>
      <w:r>
        <w:rPr>
          <w:rFonts w:hint="eastAsia" w:ascii="Times New Roman" w:hAnsi="Times New Roman" w:eastAsia="楷体" w:cs="Times New Roman"/>
          <w:sz w:val="30"/>
          <w:szCs w:val="30"/>
          <w:u w:val="none"/>
          <w:lang w:val="en-US" w:eastAsia="zh-CN"/>
        </w:rPr>
        <w:t>项目</w:t>
      </w:r>
      <w:r>
        <w:rPr>
          <w:rFonts w:hint="default" w:ascii="Times New Roman" w:hAnsi="Times New Roman" w:eastAsia="楷体" w:cs="Times New Roman"/>
          <w:sz w:val="30"/>
          <w:szCs w:val="30"/>
          <w:u w:val="none"/>
          <w:lang w:val="en-US" w:eastAsia="zh-CN"/>
        </w:rPr>
        <w:t>实施计划</w:t>
      </w:r>
    </w:p>
    <w:p w14:paraId="237A419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1.</w:t>
      </w:r>
      <w:r>
        <w:rPr>
          <w:rFonts w:hint="default" w:ascii="Times New Roman" w:hAnsi="Times New Roman" w:eastAsia="方正仿宋简体" w:cs="Times New Roman"/>
          <w:color w:val="auto"/>
          <w:sz w:val="30"/>
          <w:szCs w:val="30"/>
          <w:u w:val="none"/>
          <w:lang w:val="en-US" w:eastAsia="zh-CN"/>
        </w:rPr>
        <w:t>2026年度新增缴存基金分配情况</w:t>
      </w:r>
    </w:p>
    <w:p w14:paraId="0EBBE64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eastAsia"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202</w:t>
      </w:r>
      <w:r>
        <w:rPr>
          <w:rFonts w:hint="eastAsia" w:ascii="Times New Roman" w:hAnsi="Times New Roman" w:eastAsia="方正仿宋简体" w:cs="Times New Roman"/>
          <w:color w:val="auto"/>
          <w:sz w:val="30"/>
          <w:szCs w:val="30"/>
          <w:u w:val="none"/>
          <w:lang w:val="en-US" w:eastAsia="zh-CN"/>
        </w:rPr>
        <w:t>6</w:t>
      </w:r>
      <w:r>
        <w:rPr>
          <w:rFonts w:hint="default" w:ascii="Times New Roman" w:hAnsi="Times New Roman" w:eastAsia="方正仿宋简体" w:cs="Times New Roman"/>
          <w:color w:val="auto"/>
          <w:sz w:val="30"/>
          <w:szCs w:val="30"/>
          <w:u w:val="none"/>
          <w:lang w:val="en-US" w:eastAsia="zh-CN"/>
        </w:rPr>
        <w:t>年计划使用矿山地质环境及土地复垦基金</w:t>
      </w:r>
      <w:r>
        <w:rPr>
          <w:rFonts w:hint="eastAsia" w:ascii="Times New Roman" w:hAnsi="Times New Roman" w:eastAsia="方正仿宋简体" w:cs="Times New Roman"/>
          <w:color w:val="auto"/>
          <w:sz w:val="30"/>
          <w:szCs w:val="30"/>
          <w:lang w:val="en-US" w:eastAsia="zh-CN"/>
        </w:rPr>
        <w:t>6213.108</w:t>
      </w:r>
      <w:r>
        <w:rPr>
          <w:rFonts w:hint="default" w:ascii="Times New Roman" w:hAnsi="Times New Roman" w:eastAsia="方正仿宋简体" w:cs="Times New Roman"/>
          <w:color w:val="auto"/>
          <w:sz w:val="30"/>
          <w:szCs w:val="30"/>
          <w:u w:val="none"/>
          <w:lang w:val="en-US" w:eastAsia="zh-CN"/>
        </w:rPr>
        <w:t>万元</w:t>
      </w:r>
      <w:r>
        <w:rPr>
          <w:rFonts w:hint="eastAsia" w:ascii="Times New Roman" w:hAnsi="Times New Roman" w:eastAsia="方正仿宋简体" w:cs="Times New Roman"/>
          <w:color w:val="auto"/>
          <w:sz w:val="30"/>
          <w:szCs w:val="30"/>
          <w:u w:val="none"/>
          <w:lang w:val="en-US" w:eastAsia="zh-CN"/>
        </w:rPr>
        <w:t>，矿业公司使用4532.612928万元，1680.495072万元用于</w:t>
      </w:r>
      <w:r>
        <w:rPr>
          <w:rFonts w:hint="default" w:ascii="Times New Roman" w:hAnsi="Times New Roman" w:eastAsia="方正仿宋简体" w:cs="Times New Roman"/>
          <w:sz w:val="30"/>
          <w:szCs w:val="30"/>
          <w:highlight w:val="none"/>
          <w:lang w:val="en-US" w:eastAsia="zh-CN"/>
        </w:rPr>
        <w:t>矿区周边10千米范围内或受矿区影响的苏木乡镇辖区范围</w:t>
      </w:r>
      <w:r>
        <w:rPr>
          <w:rFonts w:hint="eastAsia" w:ascii="Times New Roman" w:hAnsi="Times New Roman" w:eastAsia="方正仿宋简体" w:cs="Times New Roman"/>
          <w:color w:val="auto"/>
          <w:sz w:val="30"/>
          <w:szCs w:val="30"/>
          <w:u w:val="none"/>
          <w:lang w:val="en-US" w:eastAsia="zh-CN"/>
        </w:rPr>
        <w:t>。</w:t>
      </w:r>
    </w:p>
    <w:p w14:paraId="0AD2386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2.</w:t>
      </w:r>
      <w:r>
        <w:rPr>
          <w:rFonts w:hint="default" w:ascii="Times New Roman" w:hAnsi="Times New Roman" w:eastAsia="方正仿宋简体" w:cs="Times New Roman"/>
          <w:color w:val="auto"/>
          <w:sz w:val="30"/>
          <w:szCs w:val="30"/>
          <w:u w:val="none"/>
          <w:lang w:val="en-US" w:eastAsia="zh-CN"/>
        </w:rPr>
        <w:t>2024-2025年往期结余基金结转情况</w:t>
      </w:r>
    </w:p>
    <w:p w14:paraId="343351C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对2024年、2025年已完工项目结余资金及未实施项目结转资金进行梳理汇总，全部申请结转至2026年度统筹列支使用，具体明细如下：</w:t>
      </w:r>
    </w:p>
    <w:p w14:paraId="1A26236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2024年度结余资金：全年基金项目实施完成后，累计结余资金335.38775万元。其中：呼吉尔特农业生产与生态绿化用水项目结余282.84775万元、母杜柴登煤矿空气质量自动监测标准站点建设项目结余52.54万元。</w:t>
      </w:r>
    </w:p>
    <w:p w14:paraId="3BFC608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2025年度结余及结转资金：全年累计可结转使用资金1149.564238万元。包含四类未实施结转项目资金：应急水池泵房工程项目300万元、伊化矿业公司工业广场和采区环境整治项目300万元、2025年春季煤矿矿区及规模以上企业造林绿化工程项目50万元、采煤沉陷区调查评估项目</w:t>
      </w:r>
      <w:r>
        <w:rPr>
          <w:rFonts w:hint="eastAsia" w:ascii="Times New Roman" w:hAnsi="Times New Roman" w:eastAsia="方正仿宋简体" w:cs="Times New Roman"/>
          <w:color w:val="auto"/>
          <w:sz w:val="30"/>
          <w:szCs w:val="30"/>
          <w:u w:val="none"/>
          <w:lang w:val="en-US" w:eastAsia="zh-CN"/>
        </w:rPr>
        <w:t>35</w:t>
      </w:r>
      <w:r>
        <w:rPr>
          <w:rFonts w:hint="default" w:ascii="Times New Roman" w:hAnsi="Times New Roman" w:eastAsia="方正仿宋简体" w:cs="Times New Roman"/>
          <w:color w:val="auto"/>
          <w:sz w:val="30"/>
          <w:szCs w:val="30"/>
          <w:u w:val="none"/>
          <w:lang w:val="en-US" w:eastAsia="zh-CN"/>
        </w:rPr>
        <w:t>万元；同时包含四项完工项目结余资金：母杜柴登煤矿工业场地生活用水改造工程项目结余78.838571万元、锅炉脱硫系统维修服务项目结余237.947万元、矿区范围内垃圾处置费结余145.841667万元、母杜柴登采空区电力线路整改工程项目结余1.937万元。</w:t>
      </w:r>
    </w:p>
    <w:p w14:paraId="32A393A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2024年及2025年剩余资金共计1484.951988万元，申请列支2026年</w:t>
      </w:r>
      <w:r>
        <w:rPr>
          <w:rFonts w:hint="default" w:ascii="Times New Roman" w:hAnsi="Times New Roman" w:eastAsia="方正仿宋简体" w:cs="Times New Roman"/>
          <w:color w:val="auto"/>
          <w:sz w:val="30"/>
          <w:szCs w:val="30"/>
          <w:u w:val="none"/>
          <w:lang w:val="en-US" w:eastAsia="zh-CN"/>
        </w:rPr>
        <w:t>矿山地质环境及土地复垦基金</w:t>
      </w:r>
      <w:r>
        <w:rPr>
          <w:rFonts w:hint="eastAsia" w:ascii="Times New Roman" w:hAnsi="Times New Roman" w:eastAsia="方正仿宋简体" w:cs="Times New Roman"/>
          <w:color w:val="auto"/>
          <w:sz w:val="30"/>
          <w:szCs w:val="30"/>
          <w:u w:val="none"/>
          <w:lang w:val="en-US" w:eastAsia="zh-CN"/>
        </w:rPr>
        <w:t>。</w:t>
      </w:r>
    </w:p>
    <w:p w14:paraId="0D8D628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另外，2025年矿区周边10公里范围内或受矿区影响的苏木乡镇辖区范围内，在旗区、苏木乡镇人民政府指导下，经与企业协商一致，由企业自主或委托第三方治理和使用的30%基金（1704.014928万元）未在2025年度实施。根据《乌审旗市政公用事业服务中心关于商请实施图克项目区生态恢复治理事宜的函》（乌市政函〔2026〕21号）、《图克镇人民政府关于商请实施图克项目区生态恢复治理事宜的函》（图政函〔2026〕238号），商请使用矿山地质环境治理恢复基金用于图克项目区多处重点区域生态恢复治理。将2025年未实施周边治理基金1704.014928万元，结合2026年矿区周边治理基金</w:t>
      </w:r>
      <w:r>
        <w:rPr>
          <w:rFonts w:hint="eastAsia" w:ascii="Times New Roman" w:hAnsi="Times New Roman" w:eastAsia="方正仿宋简体" w:cs="Times New Roman"/>
          <w:color w:val="auto"/>
          <w:sz w:val="30"/>
          <w:szCs w:val="30"/>
          <w:u w:val="none"/>
          <w:lang w:val="en-US" w:eastAsia="zh-CN"/>
        </w:rPr>
        <w:t>1680.495072</w:t>
      </w:r>
      <w:r>
        <w:rPr>
          <w:rFonts w:hint="default" w:ascii="Times New Roman" w:hAnsi="Times New Roman" w:eastAsia="方正仿宋简体" w:cs="Times New Roman"/>
          <w:color w:val="auto"/>
          <w:sz w:val="30"/>
          <w:szCs w:val="30"/>
          <w:u w:val="none"/>
          <w:lang w:val="en-US" w:eastAsia="zh-CN"/>
        </w:rPr>
        <w:t>万元，合计</w:t>
      </w:r>
      <w:r>
        <w:rPr>
          <w:rFonts w:hint="default" w:ascii="Times New Roman" w:hAnsi="Times New Roman" w:eastAsia="方正仿宋简体" w:cs="Times New Roman"/>
          <w:sz w:val="30"/>
          <w:szCs w:val="30"/>
          <w:highlight w:val="none"/>
          <w:lang w:val="en-US" w:eastAsia="zh-CN"/>
        </w:rPr>
        <w:t>3384.51万元</w:t>
      </w:r>
      <w:r>
        <w:rPr>
          <w:rFonts w:hint="eastAsia" w:ascii="Times New Roman" w:hAnsi="Times New Roman" w:eastAsia="方正仿宋简体" w:cs="Times New Roman"/>
          <w:sz w:val="30"/>
          <w:szCs w:val="30"/>
          <w:highlight w:val="none"/>
          <w:lang w:val="en-US" w:eastAsia="zh-CN"/>
        </w:rPr>
        <w:t>，</w:t>
      </w:r>
      <w:r>
        <w:rPr>
          <w:rFonts w:hint="default" w:ascii="Times New Roman" w:hAnsi="Times New Roman" w:eastAsia="方正仿宋简体" w:cs="Times New Roman"/>
          <w:color w:val="auto"/>
          <w:sz w:val="30"/>
          <w:szCs w:val="30"/>
          <w:u w:val="none"/>
          <w:lang w:val="en-US" w:eastAsia="zh-CN"/>
        </w:rPr>
        <w:t>专项用于图克项目区生态恢复治理工作。</w:t>
      </w:r>
    </w:p>
    <w:p w14:paraId="38ABCFE0">
      <w:pPr>
        <w:keepNext w:val="0"/>
        <w:keepLines w:val="0"/>
        <w:widowControl/>
        <w:suppressLineNumbers w:val="0"/>
        <w:ind w:firstLine="600" w:firstLineChars="200"/>
        <w:jc w:val="left"/>
        <w:rPr>
          <w:rFonts w:hint="eastAsia"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2026年</w:t>
      </w:r>
      <w:r>
        <w:rPr>
          <w:rFonts w:hint="default" w:ascii="Times New Roman" w:hAnsi="Times New Roman" w:eastAsia="方正仿宋简体" w:cs="Times New Roman"/>
          <w:color w:val="auto"/>
          <w:sz w:val="30"/>
          <w:szCs w:val="30"/>
          <w:u w:val="none"/>
          <w:lang w:val="en-US" w:eastAsia="zh-CN"/>
        </w:rPr>
        <w:t>矿山地质环境及土地复垦基金</w:t>
      </w:r>
      <w:r>
        <w:rPr>
          <w:rFonts w:hint="eastAsia" w:ascii="Times New Roman" w:hAnsi="Times New Roman" w:eastAsia="方正仿宋简体" w:cs="Times New Roman"/>
          <w:color w:val="auto"/>
          <w:sz w:val="30"/>
          <w:szCs w:val="30"/>
          <w:u w:val="none"/>
          <w:lang w:val="en-US" w:eastAsia="zh-CN"/>
        </w:rPr>
        <w:t>使用如下：</w:t>
      </w:r>
    </w:p>
    <w:p w14:paraId="1968891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一是煤矸石治理项目，计划投入资金</w:t>
      </w:r>
      <w:r>
        <w:rPr>
          <w:rFonts w:hint="eastAsia" w:ascii="Times New Roman" w:hAnsi="Times New Roman" w:eastAsia="方正仿宋简体" w:cs="Times New Roman"/>
          <w:color w:val="auto"/>
          <w:sz w:val="30"/>
          <w:szCs w:val="30"/>
          <w:u w:val="none"/>
          <w:lang w:val="en-US" w:eastAsia="zh-CN"/>
        </w:rPr>
        <w:t>1500</w:t>
      </w:r>
      <w:r>
        <w:rPr>
          <w:rFonts w:hint="default" w:ascii="Times New Roman" w:hAnsi="Times New Roman" w:eastAsia="方正仿宋简体" w:cs="Times New Roman"/>
          <w:color w:val="auto"/>
          <w:sz w:val="30"/>
          <w:szCs w:val="30"/>
          <w:u w:val="none"/>
          <w:lang w:val="en-US" w:eastAsia="zh-CN"/>
        </w:rPr>
        <w:t>万元。资金主要用于矿区煤矸石规范化处置</w:t>
      </w:r>
      <w:r>
        <w:rPr>
          <w:rFonts w:hint="eastAsia" w:ascii="Times New Roman" w:hAnsi="Times New Roman" w:eastAsia="方正仿宋简体" w:cs="Times New Roman"/>
          <w:color w:val="auto"/>
          <w:sz w:val="30"/>
          <w:szCs w:val="30"/>
          <w:u w:val="none"/>
          <w:lang w:val="en-US" w:eastAsia="zh-CN"/>
        </w:rPr>
        <w:t>，</w:t>
      </w:r>
      <w:r>
        <w:rPr>
          <w:rFonts w:hint="default" w:ascii="Times New Roman" w:hAnsi="Times New Roman" w:eastAsia="方正仿宋简体" w:cs="Times New Roman"/>
          <w:color w:val="auto"/>
          <w:sz w:val="30"/>
          <w:szCs w:val="30"/>
          <w:u w:val="none"/>
          <w:lang w:val="en-US" w:eastAsia="zh-CN"/>
        </w:rPr>
        <w:t>提升矿区固废资源化、无害化治理水平，降低矿区生态环境风险。</w:t>
      </w:r>
    </w:p>
    <w:p w14:paraId="3434349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二是矿井水治理项目，计划投入资金</w:t>
      </w:r>
      <w:r>
        <w:rPr>
          <w:rFonts w:hint="eastAsia" w:ascii="Times New Roman" w:hAnsi="Times New Roman" w:eastAsia="方正仿宋简体" w:cs="Times New Roman"/>
          <w:snapToGrid/>
          <w:color w:val="auto"/>
          <w:kern w:val="21"/>
          <w:sz w:val="30"/>
          <w:szCs w:val="30"/>
          <w:u w:val="none"/>
          <w:lang w:val="en-US" w:eastAsia="zh-CN"/>
        </w:rPr>
        <w:t>3122.871166</w:t>
      </w:r>
      <w:r>
        <w:rPr>
          <w:rFonts w:hint="default" w:ascii="Times New Roman" w:hAnsi="Times New Roman" w:eastAsia="方正仿宋简体" w:cs="Times New Roman"/>
          <w:color w:val="auto"/>
          <w:sz w:val="30"/>
          <w:szCs w:val="30"/>
          <w:u w:val="none"/>
          <w:lang w:val="en-US" w:eastAsia="zh-CN"/>
        </w:rPr>
        <w:t>万元。持续提升矿井水处理</w:t>
      </w:r>
      <w:r>
        <w:rPr>
          <w:rFonts w:hint="eastAsia" w:ascii="Times New Roman" w:hAnsi="Times New Roman" w:eastAsia="方正仿宋简体" w:cs="Times New Roman"/>
          <w:color w:val="auto"/>
          <w:sz w:val="30"/>
          <w:szCs w:val="30"/>
          <w:u w:val="none"/>
          <w:lang w:val="en-US" w:eastAsia="zh-CN"/>
        </w:rPr>
        <w:t>能力</w:t>
      </w:r>
      <w:r>
        <w:rPr>
          <w:rFonts w:hint="default" w:ascii="Times New Roman" w:hAnsi="Times New Roman" w:eastAsia="方正仿宋简体" w:cs="Times New Roman"/>
          <w:color w:val="auto"/>
          <w:sz w:val="30"/>
          <w:szCs w:val="30"/>
          <w:u w:val="none"/>
          <w:lang w:val="en-US" w:eastAsia="zh-CN"/>
        </w:rPr>
        <w:t>与水资源利用率，完善矿区水资源</w:t>
      </w:r>
      <w:r>
        <w:rPr>
          <w:rFonts w:hint="eastAsia" w:ascii="Times New Roman" w:hAnsi="Times New Roman" w:eastAsia="方正仿宋简体" w:cs="Times New Roman"/>
          <w:color w:val="auto"/>
          <w:sz w:val="30"/>
          <w:szCs w:val="30"/>
          <w:u w:val="none"/>
          <w:lang w:val="en-US" w:eastAsia="zh-CN"/>
        </w:rPr>
        <w:t>综合利用</w:t>
      </w:r>
      <w:r>
        <w:rPr>
          <w:rFonts w:hint="default" w:ascii="Times New Roman" w:hAnsi="Times New Roman" w:eastAsia="方正仿宋简体" w:cs="Times New Roman"/>
          <w:color w:val="auto"/>
          <w:sz w:val="30"/>
          <w:szCs w:val="30"/>
          <w:u w:val="none"/>
          <w:lang w:val="en-US" w:eastAsia="zh-CN"/>
        </w:rPr>
        <w:t>体系</w:t>
      </w:r>
      <w:r>
        <w:rPr>
          <w:rFonts w:hint="eastAsia" w:ascii="Times New Roman" w:hAnsi="Times New Roman" w:eastAsia="方正仿宋简体" w:cs="Times New Roman"/>
          <w:color w:val="auto"/>
          <w:sz w:val="30"/>
          <w:szCs w:val="30"/>
          <w:u w:val="none"/>
          <w:lang w:val="en-US" w:eastAsia="zh-CN"/>
        </w:rPr>
        <w:t>。</w:t>
      </w:r>
    </w:p>
    <w:p w14:paraId="0F202B12">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三是母杜柴登煤矿地面应急水池泵房及管路改造工程项目，计划投入资金280.965526万元。主要用于矿区地面应急水池泵房主体设施</w:t>
      </w:r>
      <w:r>
        <w:rPr>
          <w:rFonts w:hint="eastAsia" w:ascii="Times New Roman" w:hAnsi="Times New Roman" w:eastAsia="方正仿宋简体" w:cs="Times New Roman"/>
          <w:color w:val="auto"/>
          <w:sz w:val="30"/>
          <w:szCs w:val="30"/>
          <w:u w:val="none"/>
          <w:lang w:val="en-US" w:eastAsia="zh-CN"/>
        </w:rPr>
        <w:t>改造</w:t>
      </w:r>
      <w:r>
        <w:rPr>
          <w:rFonts w:hint="default" w:ascii="Times New Roman" w:hAnsi="Times New Roman" w:eastAsia="方正仿宋简体" w:cs="Times New Roman"/>
          <w:color w:val="auto"/>
          <w:sz w:val="30"/>
          <w:szCs w:val="30"/>
          <w:u w:val="none"/>
          <w:lang w:val="en-US" w:eastAsia="zh-CN"/>
        </w:rPr>
        <w:t>、输水管道更换及管网优化改造等工作，进一步完善矿区应急</w:t>
      </w:r>
      <w:r>
        <w:rPr>
          <w:rFonts w:hint="eastAsia" w:ascii="Times New Roman" w:hAnsi="Times New Roman" w:eastAsia="方正仿宋简体" w:cs="Times New Roman"/>
          <w:color w:val="auto"/>
          <w:sz w:val="30"/>
          <w:szCs w:val="30"/>
          <w:u w:val="none"/>
          <w:lang w:val="en-US" w:eastAsia="zh-CN"/>
        </w:rPr>
        <w:t>排</w:t>
      </w:r>
      <w:r>
        <w:rPr>
          <w:rFonts w:hint="default" w:ascii="Times New Roman" w:hAnsi="Times New Roman" w:eastAsia="方正仿宋简体" w:cs="Times New Roman"/>
          <w:color w:val="auto"/>
          <w:sz w:val="30"/>
          <w:szCs w:val="30"/>
          <w:u w:val="none"/>
          <w:lang w:val="en-US" w:eastAsia="zh-CN"/>
        </w:rPr>
        <w:t>水保障体系，提升矿区应急防灾处置能力</w:t>
      </w:r>
      <w:r>
        <w:rPr>
          <w:rFonts w:hint="eastAsia" w:ascii="Times New Roman" w:hAnsi="Times New Roman" w:eastAsia="方正仿宋简体" w:cs="Times New Roman"/>
          <w:color w:val="auto"/>
          <w:sz w:val="30"/>
          <w:szCs w:val="30"/>
          <w:u w:val="none"/>
          <w:lang w:val="en-US" w:eastAsia="zh-CN"/>
        </w:rPr>
        <w:t>。</w:t>
      </w:r>
    </w:p>
    <w:p w14:paraId="66DA195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四</w:t>
      </w:r>
      <w:r>
        <w:rPr>
          <w:rFonts w:hint="default" w:ascii="Times New Roman" w:hAnsi="Times New Roman" w:eastAsia="方正仿宋简体" w:cs="Times New Roman"/>
          <w:color w:val="auto"/>
          <w:sz w:val="30"/>
          <w:szCs w:val="30"/>
          <w:u w:val="none"/>
          <w:lang w:val="en-US" w:eastAsia="zh-CN"/>
        </w:rPr>
        <w:t>是乌审旗疏干水综合利用管线工程项目，计划投入资金780.76万元。用于矿区疏干水输送管网铺设，进一步打通疏干水综合利用通道，扩大疏干水回用范围，提升矿区水资源综合利用效率。</w:t>
      </w:r>
    </w:p>
    <w:p w14:paraId="45DE7D1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五</w:t>
      </w:r>
      <w:r>
        <w:rPr>
          <w:rFonts w:hint="default" w:ascii="Times New Roman" w:hAnsi="Times New Roman" w:eastAsia="方正仿宋简体" w:cs="Times New Roman"/>
          <w:color w:val="auto"/>
          <w:sz w:val="30"/>
          <w:szCs w:val="30"/>
          <w:u w:val="none"/>
          <w:lang w:val="en-US" w:eastAsia="zh-CN"/>
        </w:rPr>
        <w:t>是矸石山绿化灌溉管道改造工程，计划投入资金64.030896万元。主要针对矸石山现有绿化灌溉管网老化、布局不合理、灌溉覆盖率不足等问题，开展管道检修、更换、延伸及优化改造工作，完善矸石山生态绿化灌溉体系，保障矸石山植被养护用水需求，提升矸石山绿化成活率与生态修复成效，持续改善矸石山区域生态环境。</w:t>
      </w:r>
    </w:p>
    <w:p w14:paraId="03C95B4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六</w:t>
      </w:r>
      <w:r>
        <w:rPr>
          <w:rFonts w:hint="default" w:ascii="Times New Roman" w:hAnsi="Times New Roman" w:eastAsia="方正仿宋简体" w:cs="Times New Roman"/>
          <w:color w:val="auto"/>
          <w:sz w:val="30"/>
          <w:szCs w:val="30"/>
          <w:u w:val="none"/>
          <w:lang w:val="en-US" w:eastAsia="zh-CN"/>
        </w:rPr>
        <w:t>是环境整治服务项目，计划投入资金26.5万元。专项用于矿区全域常态化环境整治工作，包含矿区环境卫生清理服务支出，持续保持矿区环境整洁规范，提升矿区整体环境风貌。</w:t>
      </w:r>
    </w:p>
    <w:p w14:paraId="07336EE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七</w:t>
      </w:r>
      <w:r>
        <w:rPr>
          <w:rFonts w:hint="default" w:ascii="Times New Roman" w:hAnsi="Times New Roman" w:eastAsia="方正仿宋简体" w:cs="Times New Roman"/>
          <w:color w:val="auto"/>
          <w:sz w:val="30"/>
          <w:szCs w:val="30"/>
          <w:u w:val="none"/>
          <w:lang w:val="en-US" w:eastAsia="zh-CN"/>
        </w:rPr>
        <w:t>是生活垃圾处理服务项目，计划投入资金25万元。主要用于矿区生产生活区日常生活垃圾的统一收集、转运、无害化处置等外包服务费用，建立常态化生活垃圾处置机制，保障矿区生活区环境卫生达标，筑牢矿区人居生态环境底线。</w:t>
      </w:r>
    </w:p>
    <w:p w14:paraId="176F522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八</w:t>
      </w:r>
      <w:r>
        <w:rPr>
          <w:rFonts w:hint="default" w:ascii="Times New Roman" w:hAnsi="Times New Roman" w:eastAsia="方正仿宋简体" w:cs="Times New Roman"/>
          <w:color w:val="auto"/>
          <w:sz w:val="30"/>
          <w:szCs w:val="30"/>
          <w:u w:val="none"/>
          <w:lang w:val="en-US" w:eastAsia="zh-CN"/>
        </w:rPr>
        <w:t>是工业垃圾拉运及处置项目，计划投入资金34万元。用于矿区生产过程中产生的一般工业固废、废弃物料、生产杂物的集中清运、规范处置工作，严格落实工业垃圾分类处置、统一清运要求，防范工业垃圾无序堆放引发的环境污染问题，规范矿区工业固废管理。</w:t>
      </w:r>
    </w:p>
    <w:p w14:paraId="29BD739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九是图克项目区生态恢复治理项目。委托乌审旗市政公用事业服务中心对</w:t>
      </w:r>
      <w:r>
        <w:rPr>
          <w:rFonts w:hint="default" w:ascii="Times New Roman" w:hAnsi="Times New Roman" w:eastAsia="方正仿宋简体" w:cs="Times New Roman"/>
          <w:color w:val="auto"/>
          <w:sz w:val="30"/>
          <w:szCs w:val="30"/>
          <w:u w:val="none"/>
          <w:lang w:val="en-US" w:eastAsia="zh-CN"/>
        </w:rPr>
        <w:t>图克项目区多处重点区域生态植被恢复、生态修复等工程，助力属地全域生态环境提质升级，落实政企协同生态治理责任。</w:t>
      </w:r>
    </w:p>
    <w:p w14:paraId="2ABE5DA9">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600" w:firstLineChars="200"/>
        <w:jc w:val="left"/>
        <w:textAlignment w:val="auto"/>
        <w:rPr>
          <w:rFonts w:hint="default" w:ascii="Times New Roman" w:hAnsi="Times New Roman" w:eastAsia="方正仿宋简体" w:cs="Times New Roman"/>
          <w:color w:val="auto"/>
          <w:sz w:val="30"/>
          <w:szCs w:val="30"/>
          <w:u w:val="none"/>
          <w:lang w:val="en-US" w:eastAsia="zh-CN"/>
        </w:rPr>
      </w:pPr>
      <w:r>
        <w:rPr>
          <w:rFonts w:hint="eastAsia" w:ascii="Times New Roman" w:hAnsi="Times New Roman" w:eastAsia="方正仿宋简体" w:cs="Times New Roman"/>
          <w:color w:val="auto"/>
          <w:sz w:val="30"/>
          <w:szCs w:val="30"/>
          <w:u w:val="none"/>
          <w:lang w:val="en-US" w:eastAsia="zh-CN"/>
        </w:rPr>
        <w:t>十是</w:t>
      </w:r>
      <w:r>
        <w:rPr>
          <w:rFonts w:hint="eastAsia" w:ascii="Times New Roman" w:hAnsi="Times New Roman" w:eastAsia="方正仿宋简体" w:cs="Times New Roman"/>
          <w:i w:val="0"/>
          <w:iCs w:val="0"/>
          <w:color w:val="000000"/>
          <w:kern w:val="0"/>
          <w:sz w:val="30"/>
          <w:szCs w:val="30"/>
          <w:u w:val="none"/>
          <w:lang w:val="en-US" w:eastAsia="zh-CN" w:bidi="ar"/>
        </w:rPr>
        <w:t>图克镇人民政府矿区移民航拍测</w:t>
      </w:r>
      <w:bookmarkStart w:id="11" w:name="_GoBack"/>
      <w:bookmarkEnd w:id="11"/>
      <w:r>
        <w:rPr>
          <w:rFonts w:hint="eastAsia" w:ascii="Times New Roman" w:hAnsi="Times New Roman" w:eastAsia="方正仿宋简体" w:cs="Times New Roman"/>
          <w:i w:val="0"/>
          <w:iCs w:val="0"/>
          <w:color w:val="000000"/>
          <w:kern w:val="0"/>
          <w:sz w:val="30"/>
          <w:szCs w:val="30"/>
          <w:u w:val="none"/>
          <w:lang w:val="en-US" w:eastAsia="zh-CN" w:bidi="ar"/>
        </w:rPr>
        <w:t>绘服务项目。</w:t>
      </w:r>
      <w:r>
        <w:rPr>
          <w:rFonts w:hint="eastAsia" w:ascii="Times New Roman" w:hAnsi="Times New Roman" w:eastAsia="方正仿宋简体" w:cs="Times New Roman"/>
          <w:color w:val="auto"/>
          <w:sz w:val="30"/>
          <w:szCs w:val="30"/>
          <w:u w:val="none"/>
          <w:lang w:val="en-US" w:eastAsia="zh-CN"/>
        </w:rPr>
        <w:t>根据图克镇人民政府《图克镇人民政府关于矿区移民相关费用的函》（图政函〔2026</w:t>
      </w:r>
      <w:r>
        <w:rPr>
          <w:rFonts w:hint="default" w:ascii="Times New Roman" w:hAnsi="Times New Roman" w:eastAsia="方正仿宋简体" w:cs="Times New Roman"/>
          <w:color w:val="auto"/>
          <w:sz w:val="30"/>
          <w:szCs w:val="30"/>
          <w:u w:val="none"/>
          <w:lang w:val="en-US" w:eastAsia="zh-CN"/>
        </w:rPr>
        <w:t>〕313 号）</w:t>
      </w:r>
      <w:r>
        <w:rPr>
          <w:rFonts w:hint="eastAsia" w:ascii="Times New Roman" w:hAnsi="Times New Roman" w:eastAsia="方正仿宋简体" w:cs="Times New Roman"/>
          <w:color w:val="auto"/>
          <w:sz w:val="30"/>
          <w:szCs w:val="30"/>
          <w:u w:val="none"/>
          <w:lang w:val="en-US" w:eastAsia="zh-CN"/>
        </w:rPr>
        <w:t>文件要求，</w:t>
      </w:r>
      <w:r>
        <w:rPr>
          <w:rFonts w:hint="default" w:ascii="Times New Roman" w:hAnsi="Times New Roman" w:eastAsia="方正仿宋简体" w:cs="Times New Roman"/>
          <w:color w:val="auto"/>
          <w:sz w:val="30"/>
          <w:szCs w:val="30"/>
          <w:u w:val="none"/>
          <w:lang w:val="en-US" w:eastAsia="zh-CN"/>
        </w:rPr>
        <w:t>为稳步推进后续土地沉陷补偿各项工作，为地表附着物清点核查、权属认定等工作提供精准详实的数据支撑与法定依据，</w:t>
      </w:r>
      <w:r>
        <w:rPr>
          <w:rFonts w:hint="eastAsia" w:ascii="Times New Roman" w:hAnsi="Times New Roman" w:eastAsia="方正仿宋简体" w:cs="Times New Roman"/>
          <w:color w:val="auto"/>
          <w:sz w:val="30"/>
          <w:szCs w:val="30"/>
          <w:u w:val="none"/>
          <w:lang w:val="en-US" w:eastAsia="zh-CN"/>
        </w:rPr>
        <w:t>实施</w:t>
      </w:r>
      <w:r>
        <w:rPr>
          <w:rFonts w:hint="eastAsia" w:ascii="Times New Roman" w:hAnsi="Times New Roman" w:eastAsia="方正仿宋简体" w:cs="Times New Roman"/>
          <w:i w:val="0"/>
          <w:iCs w:val="0"/>
          <w:color w:val="000000"/>
          <w:kern w:val="0"/>
          <w:sz w:val="30"/>
          <w:szCs w:val="30"/>
          <w:u w:val="none"/>
          <w:lang w:val="en-US" w:eastAsia="zh-CN" w:bidi="ar"/>
        </w:rPr>
        <w:t>图克镇人民政府矿区移民航拍测绘服务项目</w:t>
      </w:r>
      <w:r>
        <w:rPr>
          <w:rFonts w:hint="default" w:ascii="Times New Roman" w:hAnsi="Times New Roman" w:eastAsia="方正仿宋简体" w:cs="Times New Roman"/>
          <w:color w:val="auto"/>
          <w:sz w:val="30"/>
          <w:szCs w:val="30"/>
          <w:u w:val="none"/>
          <w:lang w:val="en-US" w:eastAsia="zh-CN"/>
        </w:rPr>
        <w:t>。</w:t>
      </w:r>
    </w:p>
    <w:tbl>
      <w:tblPr>
        <w:tblStyle w:val="8"/>
        <w:tblpPr w:leftFromText="180" w:rightFromText="180" w:vertAnchor="text" w:horzAnchor="page" w:tblpX="1064" w:tblpY="1025"/>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1"/>
        <w:gridCol w:w="2707"/>
      </w:tblGrid>
      <w:tr w14:paraId="36D5E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7431" w:type="dxa"/>
            <w:tcBorders>
              <w:top w:val="single" w:color="000000" w:sz="4" w:space="0"/>
              <w:left w:val="single" w:color="000000" w:sz="4" w:space="0"/>
              <w:bottom w:val="single" w:color="000000" w:sz="4" w:space="0"/>
              <w:right w:val="single" w:color="000000" w:sz="4" w:space="0"/>
            </w:tcBorders>
            <w:noWrap/>
            <w:vAlign w:val="center"/>
          </w:tcPr>
          <w:p w14:paraId="591AC508">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30"/>
                <w:szCs w:val="30"/>
                <w:u w:val="none"/>
              </w:rPr>
            </w:pPr>
            <w:r>
              <w:rPr>
                <w:rFonts w:hint="eastAsia" w:ascii="方正仿宋简体" w:hAnsi="方正仿宋简体" w:eastAsia="方正仿宋简体" w:cs="方正仿宋简体"/>
                <w:i w:val="0"/>
                <w:iCs w:val="0"/>
                <w:color w:val="000000"/>
                <w:kern w:val="0"/>
                <w:sz w:val="30"/>
                <w:szCs w:val="30"/>
                <w:u w:val="none"/>
                <w:lang w:val="en-US" w:eastAsia="zh-CN" w:bidi="ar"/>
              </w:rPr>
              <w:t>项目名称</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52160F8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30"/>
                <w:szCs w:val="30"/>
                <w:u w:val="none"/>
              </w:rPr>
            </w:pPr>
            <w:r>
              <w:rPr>
                <w:rFonts w:hint="eastAsia" w:ascii="方正仿宋简体" w:hAnsi="方正仿宋简体" w:eastAsia="方正仿宋简体" w:cs="方正仿宋简体"/>
                <w:i w:val="0"/>
                <w:iCs w:val="0"/>
                <w:color w:val="000000"/>
                <w:kern w:val="0"/>
                <w:sz w:val="30"/>
                <w:szCs w:val="30"/>
                <w:u w:val="none"/>
                <w:lang w:val="en-US" w:eastAsia="zh-CN" w:bidi="ar"/>
              </w:rPr>
              <w:t>计划实施费用</w:t>
            </w:r>
          </w:p>
        </w:tc>
      </w:tr>
      <w:tr w14:paraId="3EF0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6E500E7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30"/>
                <w:szCs w:val="30"/>
                <w:u w:val="none"/>
                <w:lang w:val="en-US" w:eastAsia="zh-CN" w:bidi="ar"/>
              </w:rPr>
            </w:pPr>
            <w:r>
              <w:rPr>
                <w:rFonts w:hint="eastAsia" w:ascii="方正仿宋简体" w:hAnsi="方正仿宋简体" w:eastAsia="方正仿宋简体" w:cs="方正仿宋简体"/>
                <w:i w:val="0"/>
                <w:iCs w:val="0"/>
                <w:color w:val="000000"/>
                <w:kern w:val="0"/>
                <w:sz w:val="30"/>
                <w:szCs w:val="30"/>
                <w:u w:val="none"/>
                <w:lang w:val="en-US" w:eastAsia="zh-CN" w:bidi="ar"/>
              </w:rPr>
              <w:t>煤矸石治理费</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79AD624F">
            <w:pPr>
              <w:keepNext w:val="0"/>
              <w:keepLines w:val="0"/>
              <w:widowControl/>
              <w:suppressLineNumbers w:val="0"/>
              <w:jc w:val="center"/>
              <w:textAlignment w:val="center"/>
              <w:rPr>
                <w:rFonts w:hint="eastAsia"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snapToGrid/>
                <w:color w:val="auto"/>
                <w:kern w:val="21"/>
                <w:sz w:val="30"/>
                <w:szCs w:val="30"/>
                <w:u w:val="none"/>
                <w:lang w:val="en-US" w:eastAsia="zh-CN"/>
              </w:rPr>
              <w:t>1500万元</w:t>
            </w:r>
          </w:p>
        </w:tc>
      </w:tr>
      <w:tr w14:paraId="1CE0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78641BB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30"/>
                <w:szCs w:val="30"/>
                <w:u w:val="none"/>
                <w:lang w:val="en-US" w:eastAsia="zh-CN" w:bidi="ar"/>
              </w:rPr>
            </w:pPr>
            <w:r>
              <w:rPr>
                <w:rFonts w:hint="eastAsia" w:ascii="方正仿宋简体" w:hAnsi="方正仿宋简体" w:eastAsia="方正仿宋简体" w:cs="方正仿宋简体"/>
                <w:i w:val="0"/>
                <w:iCs w:val="0"/>
                <w:color w:val="000000"/>
                <w:kern w:val="0"/>
                <w:sz w:val="30"/>
                <w:szCs w:val="30"/>
                <w:u w:val="none"/>
                <w:lang w:val="en-US" w:eastAsia="zh-CN" w:bidi="ar"/>
              </w:rPr>
              <w:t>矿井水治理费</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0B37B3FF">
            <w:pPr>
              <w:keepNext w:val="0"/>
              <w:keepLines w:val="0"/>
              <w:widowControl/>
              <w:suppressLineNumbers w:val="0"/>
              <w:jc w:val="center"/>
              <w:textAlignment w:val="center"/>
              <w:rPr>
                <w:rFonts w:hint="eastAsia" w:ascii="Times New Roman" w:hAnsi="Times New Roman" w:eastAsia="方正仿宋简体" w:cs="Times New Roman"/>
                <w:snapToGrid/>
                <w:color w:val="auto"/>
                <w:kern w:val="21"/>
                <w:sz w:val="30"/>
                <w:szCs w:val="30"/>
                <w:u w:val="none"/>
                <w:lang w:val="en-US" w:eastAsia="zh-CN"/>
              </w:rPr>
            </w:pPr>
            <w:r>
              <w:rPr>
                <w:rFonts w:hint="eastAsia" w:ascii="Times New Roman" w:hAnsi="Times New Roman" w:eastAsia="方正仿宋简体" w:cs="Times New Roman"/>
                <w:snapToGrid/>
                <w:color w:val="auto"/>
                <w:kern w:val="21"/>
                <w:sz w:val="30"/>
                <w:szCs w:val="30"/>
                <w:u w:val="none"/>
                <w:lang w:val="en-US" w:eastAsia="zh-CN"/>
              </w:rPr>
              <w:t>3197.716494万元</w:t>
            </w:r>
          </w:p>
        </w:tc>
      </w:tr>
      <w:tr w14:paraId="327D9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6BD6294F">
            <w:pPr>
              <w:keepNext w:val="0"/>
              <w:keepLines w:val="0"/>
              <w:widowControl/>
              <w:suppressLineNumbers w:val="0"/>
              <w:jc w:val="center"/>
              <w:rPr>
                <w:rFonts w:hint="default" w:ascii="方正仿宋简体" w:hAnsi="方正仿宋简体" w:eastAsia="方正仿宋简体" w:cs="方正仿宋简体"/>
                <w:i w:val="0"/>
                <w:iCs w:val="0"/>
                <w:color w:val="000000"/>
                <w:sz w:val="30"/>
                <w:szCs w:val="30"/>
                <w:u w:val="none"/>
                <w:lang w:val="en-US"/>
              </w:rPr>
            </w:pPr>
            <w:r>
              <w:rPr>
                <w:rFonts w:hint="eastAsia" w:ascii="方正仿宋简体" w:hAnsi="方正仿宋简体" w:eastAsia="方正仿宋简体" w:cs="方正仿宋简体"/>
                <w:i w:val="0"/>
                <w:iCs w:val="0"/>
                <w:color w:val="000000"/>
                <w:kern w:val="0"/>
                <w:sz w:val="30"/>
                <w:szCs w:val="30"/>
                <w:u w:val="none"/>
                <w:lang w:val="en-US" w:eastAsia="zh-CN" w:bidi="ar"/>
              </w:rPr>
              <w:t>母杜柴登煤矿地面应急水池泵房及管路改造工程项目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740DFFCA">
            <w:pPr>
              <w:keepNext w:val="0"/>
              <w:keepLines w:val="0"/>
              <w:widowControl/>
              <w:suppressLineNumbers w:val="0"/>
              <w:jc w:val="center"/>
              <w:textAlignment w:val="center"/>
              <w:rPr>
                <w:rFonts w:hint="default" w:ascii="Times New Roman" w:hAnsi="Times New Roman" w:eastAsia="方正仿宋简体" w:cs="Times New Roman"/>
                <w:i w:val="0"/>
                <w:iCs w:val="0"/>
                <w:color w:val="000000"/>
                <w:sz w:val="30"/>
                <w:szCs w:val="30"/>
                <w:u w:val="none"/>
              </w:rPr>
            </w:pPr>
            <w:r>
              <w:rPr>
                <w:rFonts w:hint="eastAsia" w:ascii="Times New Roman" w:hAnsi="Times New Roman" w:eastAsia="方正仿宋简体" w:cs="Times New Roman"/>
                <w:i w:val="0"/>
                <w:iCs w:val="0"/>
                <w:color w:val="000000"/>
                <w:kern w:val="0"/>
                <w:sz w:val="30"/>
                <w:szCs w:val="30"/>
                <w:u w:val="none"/>
                <w:lang w:val="en-US" w:eastAsia="zh-CN" w:bidi="ar"/>
              </w:rPr>
              <w:t>280.965526</w:t>
            </w:r>
            <w:r>
              <w:rPr>
                <w:rFonts w:hint="default" w:ascii="Times New Roman" w:hAnsi="Times New Roman" w:eastAsia="方正仿宋简体" w:cs="Times New Roman"/>
                <w:i w:val="0"/>
                <w:iCs w:val="0"/>
                <w:color w:val="000000"/>
                <w:kern w:val="0"/>
                <w:sz w:val="30"/>
                <w:szCs w:val="30"/>
                <w:u w:val="none"/>
                <w:lang w:val="en-US" w:eastAsia="zh-CN" w:bidi="ar"/>
              </w:rPr>
              <w:t>万元</w:t>
            </w:r>
          </w:p>
        </w:tc>
      </w:tr>
      <w:tr w14:paraId="3079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4482406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sz w:val="30"/>
                <w:szCs w:val="30"/>
                <w:u w:val="none"/>
                <w:lang w:val="en-US" w:eastAsia="zh-CN"/>
              </w:rPr>
            </w:pPr>
            <w:r>
              <w:rPr>
                <w:rFonts w:hint="eastAsia" w:ascii="方正仿宋简体" w:hAnsi="方正仿宋简体" w:eastAsia="方正仿宋简体" w:cs="方正仿宋简体"/>
                <w:i w:val="0"/>
                <w:iCs w:val="0"/>
                <w:color w:val="000000"/>
                <w:sz w:val="30"/>
                <w:szCs w:val="30"/>
                <w:u w:val="none"/>
                <w:lang w:val="en-US" w:eastAsia="zh-CN"/>
              </w:rPr>
              <w:t>乌审旗疏干水综合利用管线工程项目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12B6BAC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sz w:val="30"/>
                <w:szCs w:val="30"/>
                <w:u w:val="none"/>
                <w:lang w:val="en-US" w:eastAsia="zh-CN"/>
              </w:rPr>
            </w:pPr>
            <w:r>
              <w:rPr>
                <w:rFonts w:hint="eastAsia" w:ascii="Times New Roman" w:hAnsi="Times New Roman" w:eastAsia="方正仿宋简体" w:cs="Times New Roman"/>
                <w:i w:val="0"/>
                <w:iCs w:val="0"/>
                <w:color w:val="000000"/>
                <w:kern w:val="0"/>
                <w:sz w:val="30"/>
                <w:szCs w:val="30"/>
                <w:u w:val="none"/>
                <w:lang w:val="en-US" w:eastAsia="zh-CN" w:bidi="ar"/>
              </w:rPr>
              <w:t>780.76</w:t>
            </w:r>
            <w:r>
              <w:rPr>
                <w:rFonts w:hint="default" w:ascii="Times New Roman" w:hAnsi="Times New Roman" w:eastAsia="方正仿宋简体" w:cs="Times New Roman"/>
                <w:i w:val="0"/>
                <w:iCs w:val="0"/>
                <w:color w:val="000000"/>
                <w:kern w:val="0"/>
                <w:sz w:val="30"/>
                <w:szCs w:val="30"/>
                <w:u w:val="none"/>
                <w:lang w:val="en-US" w:eastAsia="zh-CN" w:bidi="ar"/>
              </w:rPr>
              <w:t>万元</w:t>
            </w:r>
          </w:p>
        </w:tc>
      </w:tr>
      <w:tr w14:paraId="423B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5D79DEE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sz w:val="30"/>
                <w:szCs w:val="30"/>
                <w:u w:val="none"/>
                <w:lang w:val="en-US" w:eastAsia="zh-CN"/>
              </w:rPr>
            </w:pPr>
            <w:r>
              <w:rPr>
                <w:rFonts w:hint="eastAsia" w:ascii="方正仿宋简体" w:hAnsi="方正仿宋简体" w:eastAsia="方正仿宋简体" w:cs="方正仿宋简体"/>
                <w:i w:val="0"/>
                <w:iCs w:val="0"/>
                <w:color w:val="000000"/>
                <w:sz w:val="30"/>
                <w:szCs w:val="30"/>
                <w:u w:val="none"/>
                <w:lang w:val="en-US" w:eastAsia="zh-CN"/>
              </w:rPr>
              <w:t>矸石山绿化灌溉管道改造工程</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16C2084E">
            <w:pPr>
              <w:keepNext w:val="0"/>
              <w:keepLines w:val="0"/>
              <w:widowControl/>
              <w:suppressLineNumbers w:val="0"/>
              <w:jc w:val="center"/>
              <w:textAlignment w:val="center"/>
              <w:rPr>
                <w:rFonts w:hint="default" w:ascii="Times New Roman" w:hAnsi="Times New Roman" w:eastAsia="方正仿宋简体" w:cs="Times New Roman"/>
                <w:i w:val="0"/>
                <w:iCs w:val="0"/>
                <w:color w:val="000000"/>
                <w:sz w:val="30"/>
                <w:szCs w:val="30"/>
                <w:u w:val="none"/>
                <w:lang w:val="en-US" w:eastAsia="zh-CN"/>
              </w:rPr>
            </w:pPr>
            <w:r>
              <w:rPr>
                <w:rFonts w:hint="eastAsia" w:ascii="Times New Roman" w:hAnsi="Times New Roman" w:eastAsia="方正仿宋简体" w:cs="Times New Roman"/>
                <w:i w:val="0"/>
                <w:iCs w:val="0"/>
                <w:color w:val="000000"/>
                <w:sz w:val="30"/>
                <w:szCs w:val="30"/>
                <w:u w:val="none"/>
                <w:lang w:val="en-US" w:eastAsia="zh-CN"/>
              </w:rPr>
              <w:t>64.030896万元</w:t>
            </w:r>
          </w:p>
        </w:tc>
      </w:tr>
      <w:tr w14:paraId="6043C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59BBB5E9">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环境整治服务项目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1927E79B">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26.5万元</w:t>
            </w:r>
          </w:p>
        </w:tc>
      </w:tr>
      <w:tr w14:paraId="6DAF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244BD01A">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生活垃圾处理服务项目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1B21950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25万元</w:t>
            </w:r>
          </w:p>
        </w:tc>
      </w:tr>
      <w:tr w14:paraId="170C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5F5D37D2">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工业垃圾拉运及处置项目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6EC80D86">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34万元</w:t>
            </w:r>
          </w:p>
        </w:tc>
      </w:tr>
      <w:tr w14:paraId="7443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4909707B">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图克项目区生态恢复治理项目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557762B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default" w:ascii="Times New Roman" w:hAnsi="Times New Roman" w:eastAsia="方正仿宋简体" w:cs="Times New Roman"/>
                <w:sz w:val="30"/>
                <w:szCs w:val="30"/>
                <w:highlight w:val="none"/>
                <w:lang w:val="en-US" w:eastAsia="zh-CN"/>
              </w:rPr>
              <w:t>3384.51</w:t>
            </w:r>
            <w:r>
              <w:rPr>
                <w:rFonts w:hint="eastAsia" w:ascii="Times New Roman" w:hAnsi="Times New Roman" w:eastAsia="方正仿宋简体" w:cs="Times New Roman"/>
                <w:sz w:val="30"/>
                <w:szCs w:val="30"/>
                <w:highlight w:val="none"/>
                <w:lang w:val="en-US" w:eastAsia="zh-CN"/>
              </w:rPr>
              <w:t>万元</w:t>
            </w:r>
          </w:p>
        </w:tc>
      </w:tr>
      <w:tr w14:paraId="077E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783A472C">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图克镇人民政府矿区移民航拍测绘服务项目</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4342C3E9">
            <w:pPr>
              <w:keepNext w:val="0"/>
              <w:keepLines w:val="0"/>
              <w:widowControl/>
              <w:suppressLineNumbers w:val="0"/>
              <w:jc w:val="center"/>
              <w:textAlignment w:val="center"/>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108.592</w:t>
            </w:r>
            <w:r>
              <w:rPr>
                <w:rFonts w:hint="eastAsia" w:ascii="Times New Roman" w:hAnsi="Times New Roman" w:eastAsia="方正仿宋简体" w:cs="Times New Roman"/>
                <w:sz w:val="30"/>
                <w:szCs w:val="30"/>
                <w:highlight w:val="none"/>
                <w:lang w:val="en-US" w:eastAsia="zh-CN"/>
              </w:rPr>
              <w:t>万元</w:t>
            </w:r>
          </w:p>
        </w:tc>
      </w:tr>
      <w:tr w14:paraId="6E5FD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7431" w:type="dxa"/>
            <w:tcBorders>
              <w:top w:val="single" w:color="000000" w:sz="4" w:space="0"/>
              <w:left w:val="single" w:color="000000" w:sz="4" w:space="0"/>
              <w:bottom w:val="single" w:color="000000" w:sz="4" w:space="0"/>
              <w:right w:val="single" w:color="000000" w:sz="4" w:space="0"/>
            </w:tcBorders>
            <w:noWrap w:val="0"/>
            <w:vAlign w:val="center"/>
          </w:tcPr>
          <w:p w14:paraId="53C107D5">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合计</w:t>
            </w:r>
          </w:p>
        </w:tc>
        <w:tc>
          <w:tcPr>
            <w:tcW w:w="2707" w:type="dxa"/>
            <w:tcBorders>
              <w:top w:val="single" w:color="000000" w:sz="4" w:space="0"/>
              <w:left w:val="single" w:color="000000" w:sz="4" w:space="0"/>
              <w:bottom w:val="single" w:color="000000" w:sz="4" w:space="0"/>
              <w:right w:val="single" w:color="000000" w:sz="4" w:space="0"/>
            </w:tcBorders>
            <w:noWrap/>
            <w:vAlign w:val="center"/>
          </w:tcPr>
          <w:p w14:paraId="05B7C1B1">
            <w:pPr>
              <w:keepNext w:val="0"/>
              <w:keepLines w:val="0"/>
              <w:widowControl/>
              <w:suppressLineNumbers w:val="0"/>
              <w:jc w:val="center"/>
              <w:textAlignment w:val="center"/>
              <w:rPr>
                <w:rFonts w:hint="default" w:ascii="Times New Roman" w:hAnsi="Times New Roman" w:eastAsia="方正仿宋简体" w:cs="Times New Roman"/>
                <w:i w:val="0"/>
                <w:iCs w:val="0"/>
                <w:color w:val="000000"/>
                <w:kern w:val="0"/>
                <w:sz w:val="30"/>
                <w:szCs w:val="30"/>
                <w:u w:val="none"/>
                <w:lang w:val="en-US" w:eastAsia="zh-CN" w:bidi="ar"/>
              </w:rPr>
            </w:pPr>
            <w:r>
              <w:rPr>
                <w:rFonts w:hint="eastAsia" w:ascii="Times New Roman" w:hAnsi="Times New Roman" w:eastAsia="方正仿宋简体" w:cs="Times New Roman"/>
                <w:i w:val="0"/>
                <w:iCs w:val="0"/>
                <w:color w:val="000000"/>
                <w:kern w:val="0"/>
                <w:sz w:val="30"/>
                <w:szCs w:val="30"/>
                <w:u w:val="none"/>
                <w:lang w:val="en-US" w:eastAsia="zh-CN" w:bidi="ar"/>
              </w:rPr>
              <w:t>9402.074916万元</w:t>
            </w:r>
          </w:p>
        </w:tc>
      </w:tr>
    </w:tbl>
    <w:p w14:paraId="4A3C56DF">
      <w:pPr>
        <w:keepNext w:val="0"/>
        <w:keepLines w:val="0"/>
        <w:pageBreakBefore w:val="0"/>
        <w:kinsoku/>
        <w:wordWrap w:val="0"/>
        <w:overflowPunct/>
        <w:topLinePunct w:val="0"/>
        <w:autoSpaceDE/>
        <w:autoSpaceDN/>
        <w:bidi w:val="0"/>
        <w:snapToGrid w:val="0"/>
        <w:spacing w:line="560" w:lineRule="exact"/>
        <w:jc w:val="both"/>
        <w:textAlignment w:val="auto"/>
        <w:rPr>
          <w:rFonts w:hint="default" w:ascii="Times New Roman" w:hAnsi="Times New Roman" w:eastAsia="方正仿宋简体" w:cs="Times New Roman"/>
          <w:bCs/>
          <w:sz w:val="30"/>
          <w:szCs w:val="30"/>
          <w:lang w:val="en-US" w:eastAsia="zh-CN"/>
        </w:rPr>
      </w:pPr>
      <w:r>
        <w:rPr>
          <w:rFonts w:hint="eastAsia" w:ascii="Times New Roman" w:hAnsi="Times New Roman" w:eastAsia="方正仿宋简体" w:cs="Times New Roman"/>
          <w:bCs/>
          <w:sz w:val="30"/>
          <w:szCs w:val="30"/>
          <w:lang w:val="en-US" w:eastAsia="zh-CN"/>
        </w:rPr>
        <w:t>项目费用明细如下：</w:t>
      </w:r>
    </w:p>
    <w:p w14:paraId="619F4B9D">
      <w:pPr>
        <w:keepNext w:val="0"/>
        <w:keepLines w:val="0"/>
        <w:pageBreakBefore w:val="0"/>
        <w:kinsoku/>
        <w:wordWrap w:val="0"/>
        <w:overflowPunct/>
        <w:topLinePunct w:val="0"/>
        <w:autoSpaceDE/>
        <w:autoSpaceDN/>
        <w:bidi w:val="0"/>
        <w:snapToGrid w:val="0"/>
        <w:spacing w:line="560" w:lineRule="exact"/>
        <w:ind w:firstLine="600" w:firstLineChars="200"/>
        <w:jc w:val="center"/>
        <w:textAlignment w:val="auto"/>
        <w:rPr>
          <w:rFonts w:hint="eastAsia" w:ascii="Times New Roman" w:hAnsi="Times New Roman" w:eastAsia="方正仿宋简体" w:cs="Times New Roman"/>
          <w:bCs/>
          <w:sz w:val="30"/>
          <w:szCs w:val="30"/>
          <w:lang w:val="en-US" w:eastAsia="zh-CN"/>
        </w:rPr>
      </w:pPr>
    </w:p>
    <w:p w14:paraId="7A814FD4">
      <w:pPr>
        <w:keepNext w:val="0"/>
        <w:keepLines w:val="0"/>
        <w:pageBreakBefore w:val="0"/>
        <w:kinsoku/>
        <w:wordWrap w:val="0"/>
        <w:overflowPunct/>
        <w:topLinePunct w:val="0"/>
        <w:autoSpaceDE/>
        <w:autoSpaceDN/>
        <w:bidi w:val="0"/>
        <w:spacing w:line="560" w:lineRule="exact"/>
        <w:jc w:val="both"/>
        <w:textAlignment w:val="auto"/>
        <w:rPr>
          <w:rFonts w:hint="default" w:ascii="Times New Roman" w:hAnsi="Times New Roman" w:eastAsia="方正仿宋简体" w:cs="Times New Roman"/>
          <w:sz w:val="30"/>
          <w:szCs w:val="30"/>
          <w:lang w:val="en-US" w:eastAsia="zh-CN"/>
        </w:rPr>
      </w:pPr>
    </w:p>
    <w:p w14:paraId="71E60EA9"/>
    <w:sectPr>
      <w:footerReference r:id="rId4" w:type="default"/>
      <w:pgSz w:w="11906" w:h="16838"/>
      <w:pgMar w:top="1440" w:right="1800" w:bottom="1440" w:left="1800" w:header="851" w:footer="992" w:gutter="0"/>
      <w:pgNumType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7C780E-23AD-4880-A03B-F002C12D70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8D7D87D0-4081-4BA2-B6BB-3DA0D21401DE}"/>
  </w:font>
  <w:font w:name="方正仿宋简体">
    <w:panose1 w:val="02000000000000000000"/>
    <w:charset w:val="86"/>
    <w:family w:val="auto"/>
    <w:pitch w:val="default"/>
    <w:sig w:usb0="A00002BF" w:usb1="184F6CFA" w:usb2="00000012" w:usb3="00000000" w:csb0="00040001" w:csb1="00000000"/>
    <w:embedRegular r:id="rId3" w:fontKey="{2979D762-AEFB-462B-A151-BBFCB1D7FDB9}"/>
  </w:font>
  <w:font w:name="方正仿宋_GB2312">
    <w:panose1 w:val="02000000000000000000"/>
    <w:charset w:val="86"/>
    <w:family w:val="auto"/>
    <w:pitch w:val="default"/>
    <w:sig w:usb0="A00002BF" w:usb1="184F6CFA" w:usb2="00000012" w:usb3="00000000" w:csb0="00040001" w:csb1="00000000"/>
    <w:embedRegular r:id="rId4" w:fontKey="{7C45B7EB-91A5-44DD-A0BB-D8EAF6B633F7}"/>
  </w:font>
  <w:font w:name="楷体">
    <w:panose1 w:val="02010609060101010101"/>
    <w:charset w:val="86"/>
    <w:family w:val="auto"/>
    <w:pitch w:val="default"/>
    <w:sig w:usb0="800002BF" w:usb1="38CF7CFA" w:usb2="00000016" w:usb3="00000000" w:csb0="00040001" w:csb1="00000000"/>
    <w:embedRegular r:id="rId5" w:fontKey="{E4ED08C6-AE54-4A17-9867-4B72FDC36DF4}"/>
  </w:font>
  <w:font w:name="FZFSJW--GB1-0">
    <w:altName w:val="AMGDT"/>
    <w:panose1 w:val="00000000000000000000"/>
    <w:charset w:val="00"/>
    <w:family w:val="auto"/>
    <w:pitch w:val="default"/>
    <w:sig w:usb0="00000000" w:usb1="00000000" w:usb2="00000000" w:usb3="00000000" w:csb0="00000000" w:csb1="00000000"/>
  </w:font>
  <w:font w:name="TimesNewRoman">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1ED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9BD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C0C1E5">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30C0C1E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867A1F"/>
    <w:multiLevelType w:val="singleLevel"/>
    <w:tmpl w:val="DF867A1F"/>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67118"/>
    <w:rsid w:val="1FB10EE9"/>
    <w:rsid w:val="45BC2474"/>
    <w:rsid w:val="704C034C"/>
    <w:rsid w:val="7CB67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Cs w:val="24"/>
    </w:rPr>
  </w:style>
  <w:style w:type="paragraph" w:styleId="3">
    <w:name w:val="Block Text"/>
    <w:basedOn w:val="1"/>
    <w:next w:val="1"/>
    <w:qFormat/>
    <w:uiPriority w:val="0"/>
    <w:pPr>
      <w:ind w:left="1440" w:leftChars="700" w:right="700" w:rightChars="700"/>
    </w:pPr>
  </w:style>
  <w:style w:type="paragraph" w:styleId="4">
    <w:name w:val="footer"/>
    <w:basedOn w:val="1"/>
    <w:uiPriority w:val="0"/>
    <w:pPr>
      <w:tabs>
        <w:tab w:val="center" w:pos="4153"/>
        <w:tab w:val="right" w:pos="8306"/>
      </w:tabs>
      <w:snapToGrid w:val="0"/>
      <w:jc w:val="left"/>
    </w:pPr>
    <w:rPr>
      <w:sz w:val="18"/>
    </w:rPr>
  </w:style>
  <w:style w:type="paragraph" w:styleId="5">
    <w:name w:val="toc 1"/>
    <w:basedOn w:val="1"/>
    <w:next w:val="1"/>
    <w:uiPriority w:val="0"/>
  </w:style>
  <w:style w:type="paragraph" w:styleId="6">
    <w:name w:val="toc 2"/>
    <w:basedOn w:val="1"/>
    <w:next w:val="1"/>
    <w:qFormat/>
    <w:uiPriority w:val="0"/>
    <w:pPr>
      <w:ind w:left="420" w:leftChars="200"/>
    </w:pPr>
  </w:style>
  <w:style w:type="paragraph" w:styleId="7">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6567</Words>
  <Characters>7814</Characters>
  <Lines>0</Lines>
  <Paragraphs>0</Paragraphs>
  <TotalTime>4</TotalTime>
  <ScaleCrop>false</ScaleCrop>
  <LinksUpToDate>false</LinksUpToDate>
  <CharactersWithSpaces>7863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2026-08-20T00:01:00Z</dcterms:created>
  <dc:creator>孟显</dc:creator>
  <cp:lastModifiedBy>孟显</cp:lastModifiedBy>
  <dcterms:modified xsi:type="dcterms:W3CDTF">2026-09-07T00:10:21Z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1639511D26664BC38F79185ED2DC934B_13</vt:lpwstr>
  </property>
  <property fmtid="{D5CDD505-2E9C-101B-9397-08002B2CF9AE}" pid="4" name="KSOTemplateDocerSaveRecord">
    <vt:lpwstr>eyJoZGlkIjoiNjBiZDYzOWM2Njg1ZTZkOTc5YjhkY2E5OTcxNDMyNmYiLCJ1c2VySWQiOiIyNDIyNjA3NzEifQ==</vt:lpwstr>
  </property>
</Properties>
</file>