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FEE22">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color w:val="auto"/>
          <w:sz w:val="52"/>
          <w:szCs w:val="52"/>
          <w:highlight w:val="none"/>
          <w:lang w:val="en-US" w:eastAsia="zh-CN"/>
        </w:rPr>
      </w:pPr>
      <w:r>
        <w:rPr>
          <w:rFonts w:hint="default" w:ascii="Times New Roman" w:hAnsi="Times New Roman" w:eastAsia="方正小标宋简体" w:cs="Times New Roman"/>
          <w:color w:val="auto"/>
          <w:sz w:val="52"/>
          <w:szCs w:val="52"/>
          <w:highlight w:val="none"/>
          <w:lang w:val="en-US" w:eastAsia="zh-CN"/>
        </w:rPr>
        <w:t>葫芦素煤矿202</w:t>
      </w:r>
      <w:r>
        <w:rPr>
          <w:rFonts w:hint="eastAsia" w:eastAsia="方正小标宋简体" w:cs="Times New Roman"/>
          <w:color w:val="auto"/>
          <w:sz w:val="52"/>
          <w:szCs w:val="52"/>
          <w:highlight w:val="none"/>
          <w:lang w:val="en-US" w:eastAsia="zh-CN"/>
        </w:rPr>
        <w:t>6</w:t>
      </w:r>
      <w:r>
        <w:rPr>
          <w:rFonts w:hint="default" w:ascii="Times New Roman" w:hAnsi="Times New Roman" w:eastAsia="方正小标宋简体" w:cs="Times New Roman"/>
          <w:color w:val="auto"/>
          <w:sz w:val="52"/>
          <w:szCs w:val="52"/>
          <w:highlight w:val="none"/>
          <w:lang w:val="en-US" w:eastAsia="zh-CN"/>
        </w:rPr>
        <w:t>年度</w:t>
      </w:r>
      <w:bookmarkStart w:id="0" w:name="_Toc16160"/>
      <w:bookmarkStart w:id="1" w:name="_Toc27454"/>
      <w:bookmarkStart w:id="2" w:name="_Toc18915"/>
      <w:r>
        <w:rPr>
          <w:rFonts w:hint="default" w:ascii="Times New Roman" w:hAnsi="Times New Roman" w:eastAsia="方正小标宋简体" w:cs="Times New Roman"/>
          <w:color w:val="auto"/>
          <w:sz w:val="52"/>
          <w:szCs w:val="52"/>
          <w:highlight w:val="none"/>
          <w:lang w:val="en-US" w:eastAsia="zh-CN"/>
        </w:rPr>
        <w:t>矿山地质环境</w:t>
      </w:r>
    </w:p>
    <w:p w14:paraId="5D57F015">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color w:val="auto"/>
          <w:sz w:val="52"/>
          <w:szCs w:val="52"/>
          <w:highlight w:val="none"/>
          <w:lang w:val="en-US" w:eastAsia="zh-CN"/>
        </w:rPr>
      </w:pPr>
      <w:r>
        <w:rPr>
          <w:rFonts w:hint="default" w:ascii="Times New Roman" w:hAnsi="Times New Roman" w:eastAsia="方正小标宋简体" w:cs="Times New Roman"/>
          <w:color w:val="auto"/>
          <w:sz w:val="52"/>
          <w:szCs w:val="52"/>
          <w:highlight w:val="none"/>
          <w:lang w:val="en-US" w:eastAsia="zh-CN"/>
        </w:rPr>
        <w:t>治理计划书</w:t>
      </w:r>
      <w:bookmarkEnd w:id="0"/>
      <w:bookmarkEnd w:id="1"/>
      <w:bookmarkEnd w:id="2"/>
    </w:p>
    <w:p w14:paraId="5B270768">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2CEA7F4C">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535E3772">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69B14B55">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65BE9426">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0D1C7A9A">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1E3DCC7D">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55BCFB34">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41C42AD7">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54B5E4A8">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4F2D08A3">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475C9AE4">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0907BF9A">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lang w:val="en-US" w:eastAsia="zh-CN"/>
        </w:rPr>
      </w:pPr>
    </w:p>
    <w:p w14:paraId="3E140256">
      <w:pPr>
        <w:pStyle w:val="3"/>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简体" w:cs="Times New Roman"/>
          <w:kern w:val="2"/>
          <w:sz w:val="30"/>
          <w:szCs w:val="30"/>
          <w:lang w:val="en-US" w:eastAsia="zh-CN" w:bidi="ar-SA"/>
        </w:rPr>
      </w:pPr>
      <w:r>
        <w:rPr>
          <w:rFonts w:hint="default" w:ascii="Times New Roman" w:hAnsi="Times New Roman" w:eastAsia="方正仿宋简体" w:cs="Times New Roman"/>
          <w:kern w:val="2"/>
          <w:sz w:val="30"/>
          <w:szCs w:val="30"/>
          <w:lang w:val="en-US" w:eastAsia="zh-CN" w:bidi="ar-SA"/>
        </w:rPr>
        <w:t>葫芦素煤矿</w:t>
      </w:r>
    </w:p>
    <w:p w14:paraId="3BD7F3D4">
      <w:pPr>
        <w:pStyle w:val="3"/>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黑体" w:cs="Times New Roman"/>
          <w:color w:val="auto"/>
          <w:sz w:val="30"/>
          <w:szCs w:val="30"/>
          <w:highlight w:val="none"/>
          <w:lang w:val="en-US" w:eastAsia="zh-CN"/>
        </w:rPr>
      </w:pPr>
      <w:r>
        <w:rPr>
          <w:rFonts w:hint="default" w:ascii="Times New Roman" w:hAnsi="Times New Roman" w:eastAsia="方正仿宋简体" w:cs="Times New Roman"/>
          <w:kern w:val="2"/>
          <w:sz w:val="30"/>
          <w:szCs w:val="30"/>
          <w:lang w:val="en-US" w:eastAsia="zh-CN" w:bidi="ar-SA"/>
        </w:rPr>
        <w:t>202</w:t>
      </w:r>
      <w:r>
        <w:rPr>
          <w:rFonts w:hint="eastAsia" w:eastAsia="方正仿宋简体" w:cs="Times New Roman"/>
          <w:kern w:val="2"/>
          <w:sz w:val="30"/>
          <w:szCs w:val="30"/>
          <w:lang w:val="en-US" w:eastAsia="zh-CN" w:bidi="ar-SA"/>
        </w:rPr>
        <w:t>6</w:t>
      </w:r>
      <w:r>
        <w:rPr>
          <w:rFonts w:hint="default" w:ascii="Times New Roman" w:hAnsi="Times New Roman" w:eastAsia="方正仿宋简体" w:cs="Times New Roman"/>
          <w:kern w:val="2"/>
          <w:sz w:val="30"/>
          <w:szCs w:val="30"/>
          <w:lang w:val="en-US" w:eastAsia="zh-CN" w:bidi="ar-SA"/>
        </w:rPr>
        <w:t>年</w:t>
      </w:r>
      <w:r>
        <w:rPr>
          <w:rFonts w:hint="eastAsia" w:eastAsia="方正仿宋简体" w:cs="Times New Roman"/>
          <w:kern w:val="2"/>
          <w:sz w:val="30"/>
          <w:szCs w:val="30"/>
          <w:lang w:val="en-US" w:eastAsia="zh-CN" w:bidi="ar-SA"/>
        </w:rPr>
        <w:t>4</w:t>
      </w:r>
      <w:r>
        <w:rPr>
          <w:rFonts w:hint="default" w:ascii="Times New Roman" w:hAnsi="Times New Roman" w:eastAsia="方正仿宋简体" w:cs="Times New Roman"/>
          <w:kern w:val="2"/>
          <w:sz w:val="30"/>
          <w:szCs w:val="30"/>
          <w:lang w:val="en-US" w:eastAsia="zh-CN" w:bidi="ar-SA"/>
        </w:rPr>
        <w:t>月</w:t>
      </w:r>
    </w:p>
    <w:p w14:paraId="1A1E0C91">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黑体" w:cs="Times New Roman"/>
          <w:color w:val="auto"/>
          <w:sz w:val="30"/>
          <w:szCs w:val="30"/>
          <w:highlight w:val="none"/>
        </w:rPr>
      </w:pPr>
    </w:p>
    <w:p w14:paraId="74731922">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color w:val="auto"/>
          <w:sz w:val="30"/>
          <w:szCs w:val="30"/>
          <w:highlight w:val="none"/>
        </w:rPr>
      </w:pPr>
    </w:p>
    <w:p w14:paraId="300761FE">
      <w:pPr>
        <w:spacing w:before="0" w:beforeLines="0" w:after="0" w:afterLines="0" w:line="240" w:lineRule="auto"/>
        <w:ind w:left="0" w:leftChars="0" w:right="0" w:rightChars="0" w:firstLine="0" w:firstLineChars="0"/>
        <w:jc w:val="center"/>
        <w:rPr>
          <w:rFonts w:ascii="宋体" w:hAnsi="宋体" w:eastAsia="宋体"/>
          <w:sz w:val="56"/>
          <w:szCs w:val="96"/>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p>
    <w:p w14:paraId="687132AA">
      <w:pPr>
        <w:spacing w:before="0" w:beforeLines="0" w:after="0" w:afterLines="0" w:line="240" w:lineRule="auto"/>
        <w:ind w:left="0" w:leftChars="0" w:right="0" w:rightChars="0" w:firstLine="0" w:firstLineChars="0"/>
        <w:jc w:val="center"/>
        <w:rPr>
          <w:rFonts w:ascii="宋体" w:hAnsi="宋体" w:eastAsia="宋体"/>
          <w:sz w:val="56"/>
          <w:szCs w:val="96"/>
        </w:rPr>
        <w:sectPr>
          <w:pgSz w:w="11906" w:h="16838"/>
          <w:pgMar w:top="2098" w:right="1474" w:bottom="1985" w:left="1588" w:header="851" w:footer="992" w:gutter="0"/>
          <w:pgNumType w:fmt="numberInDash"/>
          <w:cols w:space="425" w:num="1"/>
          <w:docGrid w:type="lines" w:linePitch="312" w:charSpace="0"/>
        </w:sectPr>
      </w:pPr>
    </w:p>
    <w:p w14:paraId="028064DB">
      <w:pPr>
        <w:spacing w:before="0" w:beforeLines="0" w:after="0" w:afterLines="0" w:line="240" w:lineRule="auto"/>
        <w:ind w:left="0" w:leftChars="0" w:right="0" w:rightChars="0" w:firstLine="0" w:firstLineChars="0"/>
        <w:jc w:val="center"/>
        <w:rPr>
          <w:rFonts w:ascii="宋体" w:hAnsi="宋体" w:eastAsia="宋体"/>
          <w:sz w:val="56"/>
          <w:szCs w:val="96"/>
        </w:rPr>
      </w:pPr>
      <w:r>
        <w:rPr>
          <w:rFonts w:ascii="宋体" w:hAnsi="宋体" w:eastAsia="宋体"/>
          <w:sz w:val="56"/>
          <w:szCs w:val="96"/>
        </w:rPr>
        <w:t>目</w:t>
      </w:r>
      <w:r>
        <w:rPr>
          <w:rFonts w:hint="eastAsia" w:ascii="宋体" w:hAnsi="宋体" w:eastAsia="宋体"/>
          <w:sz w:val="56"/>
          <w:szCs w:val="96"/>
          <w:lang w:val="en-US" w:eastAsia="zh-CN"/>
        </w:rPr>
        <w:t xml:space="preserve">  </w:t>
      </w:r>
      <w:r>
        <w:rPr>
          <w:rFonts w:ascii="宋体" w:hAnsi="宋体" w:eastAsia="宋体"/>
          <w:sz w:val="56"/>
          <w:szCs w:val="96"/>
        </w:rPr>
        <w:t>录</w:t>
      </w:r>
    </w:p>
    <w:p w14:paraId="340000B5">
      <w:pPr>
        <w:spacing w:before="0" w:beforeLines="0" w:after="0" w:afterLines="0" w:line="240" w:lineRule="auto"/>
        <w:ind w:left="0" w:leftChars="0" w:right="0" w:rightChars="0" w:firstLine="0" w:firstLineChars="0"/>
        <w:jc w:val="center"/>
        <w:rPr>
          <w:rFonts w:ascii="宋体" w:hAnsi="宋体" w:eastAsia="宋体"/>
          <w:sz w:val="56"/>
          <w:szCs w:val="96"/>
        </w:rPr>
      </w:pPr>
    </w:p>
    <w:p w14:paraId="1DB5718B">
      <w:pPr>
        <w:pStyle w:val="7"/>
        <w:tabs>
          <w:tab w:val="right" w:leader="dot" w:pos="8844"/>
        </w:tabs>
        <w:rPr>
          <w:sz w:val="32"/>
          <w:szCs w:val="40"/>
        </w:rPr>
      </w:pPr>
      <w:r>
        <w:rPr>
          <w:rFonts w:hint="default" w:ascii="Times New Roman" w:hAnsi="Times New Roman" w:eastAsia="黑体" w:cs="Times New Roman"/>
          <w:b/>
          <w:color w:val="auto"/>
          <w:sz w:val="60"/>
          <w:szCs w:val="112"/>
          <w:highlight w:val="none"/>
        </w:rPr>
        <w:fldChar w:fldCharType="begin"/>
      </w:r>
      <w:r>
        <w:rPr>
          <w:rFonts w:hint="default" w:ascii="Times New Roman" w:hAnsi="Times New Roman" w:eastAsia="黑体" w:cs="Times New Roman"/>
          <w:b/>
          <w:color w:val="auto"/>
          <w:sz w:val="60"/>
          <w:szCs w:val="112"/>
          <w:highlight w:val="none"/>
        </w:rPr>
        <w:instrText xml:space="preserve">TOC \o "1-3" \h \u </w:instrText>
      </w:r>
      <w:r>
        <w:rPr>
          <w:rFonts w:hint="default" w:ascii="Times New Roman" w:hAnsi="Times New Roman" w:eastAsia="黑体" w:cs="Times New Roman"/>
          <w:b/>
          <w:color w:val="auto"/>
          <w:sz w:val="60"/>
          <w:szCs w:val="112"/>
          <w:highlight w:val="none"/>
        </w:rPr>
        <w:fldChar w:fldCharType="separate"/>
      </w: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_Toc12895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黑体" w:cs="Times New Roman"/>
          <w:sz w:val="32"/>
          <w:szCs w:val="44"/>
          <w:highlight w:val="none"/>
        </w:rPr>
        <w:t>第一章 矿山企业概况</w:t>
      </w:r>
      <w:r>
        <w:rPr>
          <w:sz w:val="32"/>
          <w:szCs w:val="40"/>
        </w:rPr>
        <w:tab/>
      </w:r>
      <w:r>
        <w:rPr>
          <w:sz w:val="32"/>
          <w:szCs w:val="40"/>
        </w:rPr>
        <w:fldChar w:fldCharType="begin"/>
      </w:r>
      <w:r>
        <w:rPr>
          <w:sz w:val="32"/>
          <w:szCs w:val="40"/>
        </w:rPr>
        <w:instrText xml:space="preserve"> PAGEREF _Toc12895 \h </w:instrText>
      </w:r>
      <w:r>
        <w:rPr>
          <w:sz w:val="32"/>
          <w:szCs w:val="40"/>
        </w:rPr>
        <w:fldChar w:fldCharType="separate"/>
      </w:r>
      <w:r>
        <w:rPr>
          <w:sz w:val="32"/>
          <w:szCs w:val="40"/>
        </w:rPr>
        <w:t>- 1 -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11744F5F">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_Toc906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highlight w:val="none"/>
        </w:rPr>
        <w:t>第一节 矿区基本情况概述</w:t>
      </w:r>
      <w:r>
        <w:rPr>
          <w:sz w:val="32"/>
          <w:szCs w:val="40"/>
        </w:rPr>
        <w:tab/>
      </w:r>
      <w:r>
        <w:rPr>
          <w:sz w:val="32"/>
          <w:szCs w:val="40"/>
        </w:rPr>
        <w:fldChar w:fldCharType="begin"/>
      </w:r>
      <w:r>
        <w:rPr>
          <w:sz w:val="32"/>
          <w:szCs w:val="40"/>
        </w:rPr>
        <w:instrText xml:space="preserve"> PAGEREF _Toc906 \h </w:instrText>
      </w:r>
      <w:r>
        <w:rPr>
          <w:sz w:val="32"/>
          <w:szCs w:val="40"/>
        </w:rPr>
        <w:fldChar w:fldCharType="separate"/>
      </w:r>
      <w:r>
        <w:rPr>
          <w:sz w:val="32"/>
          <w:szCs w:val="40"/>
        </w:rPr>
        <w:t>- 1 -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39014E6A">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_Toc25616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kern w:val="2"/>
          <w:sz w:val="32"/>
          <w:szCs w:val="44"/>
          <w:lang w:val="en-US" w:eastAsia="zh-CN" w:bidi="ar-SA"/>
        </w:rPr>
        <w:t>第二节</w:t>
      </w:r>
      <w:r>
        <w:rPr>
          <w:rFonts w:hint="eastAsia" w:eastAsia="楷体" w:cs="Times New Roman"/>
          <w:kern w:val="2"/>
          <w:sz w:val="32"/>
          <w:szCs w:val="44"/>
          <w:lang w:val="en-US" w:eastAsia="zh-CN" w:bidi="ar-SA"/>
        </w:rPr>
        <w:t xml:space="preserve"> </w:t>
      </w:r>
      <w:r>
        <w:rPr>
          <w:rFonts w:hint="default" w:ascii="Times New Roman" w:hAnsi="Times New Roman" w:eastAsia="楷体" w:cs="Times New Roman"/>
          <w:sz w:val="32"/>
          <w:szCs w:val="44"/>
          <w:highlight w:val="none"/>
        </w:rPr>
        <w:t>矿山基本情况概述</w:t>
      </w:r>
      <w:r>
        <w:rPr>
          <w:sz w:val="32"/>
          <w:szCs w:val="40"/>
        </w:rPr>
        <w:tab/>
      </w:r>
      <w:r>
        <w:rPr>
          <w:sz w:val="32"/>
          <w:szCs w:val="40"/>
        </w:rPr>
        <w:fldChar w:fldCharType="begin"/>
      </w:r>
      <w:r>
        <w:rPr>
          <w:sz w:val="32"/>
          <w:szCs w:val="40"/>
        </w:rPr>
        <w:instrText xml:space="preserve"> PAGEREF _Toc25616 \h </w:instrText>
      </w:r>
      <w:r>
        <w:rPr>
          <w:sz w:val="32"/>
          <w:szCs w:val="40"/>
        </w:rPr>
        <w:fldChar w:fldCharType="separate"/>
      </w:r>
      <w:r>
        <w:rPr>
          <w:sz w:val="32"/>
          <w:szCs w:val="40"/>
        </w:rPr>
        <w:t>- 1 -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416610BA">
      <w:pPr>
        <w:pStyle w:val="8"/>
        <w:tabs>
          <w:tab w:val="right" w:leader="dot" w:pos="8844"/>
        </w:tabs>
        <w:rPr>
          <w:rFonts w:hint="default" w:ascii="Times New Roman" w:hAnsi="Times New Roman" w:eastAsia="黑体" w:cs="Times New Roman"/>
          <w:color w:val="auto"/>
          <w:sz w:val="32"/>
          <w:szCs w:val="112"/>
          <w:highlight w:val="none"/>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_Toc12825 </w:instrText>
      </w:r>
      <w:r>
        <w:rPr>
          <w:rFonts w:hint="default" w:ascii="Times New Roman" w:hAnsi="Times New Roman" w:eastAsia="黑体" w:cs="Times New Roman"/>
          <w:sz w:val="32"/>
          <w:szCs w:val="112"/>
          <w:highlight w:val="none"/>
        </w:rPr>
        <w:fldChar w:fldCharType="separate"/>
      </w:r>
      <w:r>
        <w:rPr>
          <w:rFonts w:hint="eastAsia" w:ascii="Times New Roman" w:hAnsi="Times New Roman" w:eastAsia="楷体" w:cs="Times New Roman"/>
          <w:sz w:val="32"/>
          <w:szCs w:val="44"/>
          <w:highlight w:val="none"/>
          <w:lang w:val="en-US" w:eastAsia="zh-CN"/>
        </w:rPr>
        <w:t xml:space="preserve">第三节 </w:t>
      </w:r>
      <w:r>
        <w:rPr>
          <w:rFonts w:hint="default" w:ascii="Times New Roman" w:hAnsi="Times New Roman" w:eastAsia="楷体" w:cs="Times New Roman"/>
          <w:sz w:val="32"/>
          <w:szCs w:val="44"/>
          <w:highlight w:val="none"/>
          <w:lang w:val="en-US" w:eastAsia="zh-CN"/>
        </w:rPr>
        <w:t>《矿山地质环境保护与土地复垦方案》适用情况</w:t>
      </w:r>
      <w:r>
        <w:rPr>
          <w:sz w:val="32"/>
          <w:szCs w:val="40"/>
        </w:rPr>
        <w:tab/>
      </w:r>
      <w:r>
        <w:rPr>
          <w:sz w:val="32"/>
          <w:szCs w:val="40"/>
        </w:rPr>
        <w:fldChar w:fldCharType="begin"/>
      </w:r>
      <w:r>
        <w:rPr>
          <w:sz w:val="32"/>
          <w:szCs w:val="40"/>
        </w:rPr>
        <w:instrText xml:space="preserve"> PAGEREF _Toc12825 \h </w:instrText>
      </w:r>
      <w:r>
        <w:rPr>
          <w:sz w:val="32"/>
          <w:szCs w:val="40"/>
        </w:rPr>
        <w:fldChar w:fldCharType="separate"/>
      </w:r>
      <w:r>
        <w:rPr>
          <w:sz w:val="32"/>
          <w:szCs w:val="40"/>
        </w:rPr>
        <w:t>- 3 -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37E1496B">
      <w:pPr>
        <w:pStyle w:val="8"/>
        <w:tabs>
          <w:tab w:val="right" w:leader="dot" w:pos="8844"/>
        </w:tabs>
        <w:rPr>
          <w:rFonts w:hint="default" w:ascii="Times New Roman" w:hAnsi="Times New Roman" w:eastAsia="黑体" w:cs="Times New Roman"/>
          <w:color w:val="auto"/>
          <w:sz w:val="32"/>
          <w:szCs w:val="112"/>
          <w:highlight w:val="none"/>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_Toc12825 </w:instrText>
      </w:r>
      <w:r>
        <w:rPr>
          <w:rFonts w:hint="default" w:ascii="Times New Roman" w:hAnsi="Times New Roman" w:eastAsia="黑体" w:cs="Times New Roman"/>
          <w:sz w:val="32"/>
          <w:szCs w:val="112"/>
          <w:highlight w:val="none"/>
        </w:rPr>
        <w:fldChar w:fldCharType="separate"/>
      </w:r>
      <w:r>
        <w:rPr>
          <w:rFonts w:hint="eastAsia" w:ascii="Times New Roman" w:hAnsi="Times New Roman" w:eastAsia="楷体" w:cs="Times New Roman"/>
          <w:sz w:val="32"/>
          <w:szCs w:val="44"/>
          <w:highlight w:val="none"/>
          <w:lang w:val="en-US" w:eastAsia="zh-CN"/>
        </w:rPr>
        <w:t>第四节 地表构筑物单元现状</w:t>
      </w:r>
      <w:r>
        <w:rPr>
          <w:sz w:val="32"/>
          <w:szCs w:val="40"/>
        </w:rPr>
        <w:tab/>
      </w:r>
      <w:r>
        <w:rPr>
          <w:sz w:val="32"/>
          <w:szCs w:val="40"/>
        </w:rPr>
        <w:fldChar w:fldCharType="begin"/>
      </w:r>
      <w:r>
        <w:rPr>
          <w:sz w:val="32"/>
          <w:szCs w:val="40"/>
        </w:rPr>
        <w:instrText xml:space="preserve"> PAGEREF _Toc12825 \h </w:instrText>
      </w:r>
      <w:r>
        <w:rPr>
          <w:sz w:val="32"/>
          <w:szCs w:val="40"/>
        </w:rPr>
        <w:fldChar w:fldCharType="separate"/>
      </w:r>
      <w:r>
        <w:rPr>
          <w:sz w:val="32"/>
          <w:szCs w:val="40"/>
        </w:rPr>
        <w:t>- 3 -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4B208D8D">
      <w:pPr>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_Toc30239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黑体" w:cs="Times New Roman"/>
          <w:sz w:val="32"/>
          <w:szCs w:val="44"/>
          <w:lang w:val="en-US" w:eastAsia="zh-CN"/>
        </w:rPr>
        <w:t xml:space="preserve">第二章 </w:t>
      </w:r>
      <w:r>
        <w:rPr>
          <w:rFonts w:hint="default" w:ascii="Times New Roman" w:hAnsi="Times New Roman" w:eastAsia="黑体" w:cs="Times New Roman"/>
          <w:sz w:val="32"/>
          <w:szCs w:val="44"/>
        </w:rPr>
        <w:t>202</w:t>
      </w:r>
      <w:r>
        <w:rPr>
          <w:rFonts w:hint="eastAsia" w:eastAsia="黑体" w:cs="Times New Roman"/>
          <w:sz w:val="32"/>
          <w:szCs w:val="44"/>
          <w:lang w:val="en-US" w:eastAsia="zh-CN"/>
        </w:rPr>
        <w:t>5</w:t>
      </w:r>
      <w:r>
        <w:rPr>
          <w:rFonts w:hint="default" w:ascii="Times New Roman" w:hAnsi="Times New Roman" w:eastAsia="黑体" w:cs="Times New Roman"/>
          <w:sz w:val="32"/>
          <w:szCs w:val="44"/>
        </w:rPr>
        <w:t>年矿山地质环境治理情况</w:t>
      </w:r>
      <w:r>
        <w:rPr>
          <w:rFonts w:hint="eastAsia" w:eastAsia="黑体" w:cs="Times New Roman"/>
          <w:sz w:val="32"/>
          <w:szCs w:val="44"/>
          <w:lang w:val="en-US" w:eastAsia="zh-CN"/>
        </w:rPr>
        <w:t xml:space="preserve">                </w:t>
      </w:r>
      <w:r>
        <w:rPr>
          <w:sz w:val="32"/>
          <w:szCs w:val="40"/>
        </w:rPr>
        <w:tab/>
      </w:r>
      <w:r>
        <w:rPr>
          <w:sz w:val="32"/>
          <w:szCs w:val="40"/>
        </w:rPr>
        <w:fldChar w:fldCharType="begin"/>
      </w:r>
      <w:r>
        <w:rPr>
          <w:sz w:val="32"/>
          <w:szCs w:val="40"/>
        </w:rPr>
        <w:instrText xml:space="preserve"> PAGEREF _Toc30239 \h </w:instrText>
      </w:r>
      <w:r>
        <w:rPr>
          <w:sz w:val="32"/>
          <w:szCs w:val="40"/>
        </w:rPr>
        <w:fldChar w:fldCharType="separate"/>
      </w:r>
      <w:r>
        <w:rPr>
          <w:sz w:val="32"/>
          <w:szCs w:val="40"/>
        </w:rPr>
        <w:t>- 6 -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0CE0C3A6">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_Toc26845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lang w:val="en-US" w:eastAsia="zh-CN"/>
        </w:rPr>
        <w:t>第一节 以往矿山地质环境治理情况</w:t>
      </w:r>
      <w:r>
        <w:rPr>
          <w:sz w:val="32"/>
          <w:szCs w:val="40"/>
        </w:rPr>
        <w:tab/>
      </w:r>
      <w:r>
        <w:rPr>
          <w:sz w:val="32"/>
          <w:szCs w:val="40"/>
        </w:rPr>
        <w:fldChar w:fldCharType="begin"/>
      </w:r>
      <w:r>
        <w:rPr>
          <w:sz w:val="32"/>
          <w:szCs w:val="40"/>
        </w:rPr>
        <w:instrText xml:space="preserve"> PAGEREF _Toc26845 \h </w:instrText>
      </w:r>
      <w:r>
        <w:rPr>
          <w:sz w:val="32"/>
          <w:szCs w:val="40"/>
        </w:rPr>
        <w:fldChar w:fldCharType="separate"/>
      </w:r>
      <w:r>
        <w:rPr>
          <w:sz w:val="32"/>
          <w:szCs w:val="40"/>
        </w:rPr>
        <w:t>- 6 -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7330257F">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_Toc14502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lang w:val="en-US" w:eastAsia="zh-CN"/>
        </w:rPr>
        <w:t>第二节 上年度治理情况</w:t>
      </w:r>
      <w:r>
        <w:rPr>
          <w:sz w:val="32"/>
          <w:szCs w:val="40"/>
        </w:rPr>
        <w:tab/>
      </w:r>
      <w:r>
        <w:rPr>
          <w:sz w:val="32"/>
          <w:szCs w:val="40"/>
        </w:rPr>
        <w:fldChar w:fldCharType="begin"/>
      </w:r>
      <w:r>
        <w:rPr>
          <w:sz w:val="32"/>
          <w:szCs w:val="40"/>
        </w:rPr>
        <w:instrText xml:space="preserve"> PAGEREF _Toc14502 \h </w:instrText>
      </w:r>
      <w:r>
        <w:rPr>
          <w:sz w:val="32"/>
          <w:szCs w:val="40"/>
        </w:rPr>
        <w:fldChar w:fldCharType="separate"/>
      </w:r>
      <w:r>
        <w:rPr>
          <w:sz w:val="32"/>
          <w:szCs w:val="40"/>
        </w:rPr>
        <w:t>- 7 -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1F03D829">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_Toc25580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lang w:val="en-US" w:eastAsia="zh-CN"/>
        </w:rPr>
        <w:t>第三节 基金使用情况</w:t>
      </w:r>
      <w:r>
        <w:rPr>
          <w:sz w:val="32"/>
          <w:szCs w:val="40"/>
        </w:rPr>
        <w:tab/>
      </w:r>
      <w:r>
        <w:rPr>
          <w:sz w:val="32"/>
          <w:szCs w:val="40"/>
        </w:rPr>
        <w:fldChar w:fldCharType="begin"/>
      </w:r>
      <w:r>
        <w:rPr>
          <w:sz w:val="32"/>
          <w:szCs w:val="40"/>
        </w:rPr>
        <w:instrText xml:space="preserve"> PAGEREF _Toc25580 \h </w:instrText>
      </w:r>
      <w:r>
        <w:rPr>
          <w:sz w:val="32"/>
          <w:szCs w:val="40"/>
        </w:rPr>
        <w:fldChar w:fldCharType="separate"/>
      </w:r>
      <w:r>
        <w:rPr>
          <w:sz w:val="32"/>
          <w:szCs w:val="40"/>
        </w:rPr>
        <w:t>- 9 -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55CD9049">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_Toc6696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lang w:val="en-US" w:eastAsia="zh-CN"/>
        </w:rPr>
        <w:t>第</w:t>
      </w:r>
      <w:r>
        <w:rPr>
          <w:rFonts w:hint="eastAsia" w:ascii="Times New Roman" w:hAnsi="Times New Roman" w:eastAsia="楷体" w:cs="Times New Roman"/>
          <w:sz w:val="32"/>
          <w:szCs w:val="44"/>
          <w:lang w:val="en-US" w:eastAsia="zh-CN"/>
        </w:rPr>
        <w:t>四</w:t>
      </w:r>
      <w:r>
        <w:rPr>
          <w:rFonts w:hint="default" w:ascii="Times New Roman" w:hAnsi="Times New Roman" w:eastAsia="楷体" w:cs="Times New Roman"/>
          <w:sz w:val="32"/>
          <w:szCs w:val="44"/>
          <w:lang w:val="en-US" w:eastAsia="zh-CN"/>
        </w:rPr>
        <w:t xml:space="preserve">节 </w:t>
      </w:r>
      <w:r>
        <w:rPr>
          <w:rFonts w:hint="eastAsia" w:ascii="Times New Roman" w:hAnsi="Times New Roman" w:eastAsia="楷体" w:cs="Times New Roman"/>
          <w:sz w:val="32"/>
          <w:szCs w:val="44"/>
          <w:lang w:val="en-US" w:eastAsia="zh-CN"/>
        </w:rPr>
        <w:t>以往治理成效</w:t>
      </w:r>
      <w:r>
        <w:rPr>
          <w:sz w:val="32"/>
          <w:szCs w:val="40"/>
        </w:rPr>
        <w:tab/>
      </w:r>
      <w:r>
        <w:rPr>
          <w:sz w:val="32"/>
          <w:szCs w:val="40"/>
        </w:rPr>
        <w:fldChar w:fldCharType="begin"/>
      </w:r>
      <w:r>
        <w:rPr>
          <w:sz w:val="32"/>
          <w:szCs w:val="40"/>
        </w:rPr>
        <w:instrText xml:space="preserve"> PAGEREF _Toc6696 \h </w:instrText>
      </w:r>
      <w:r>
        <w:rPr>
          <w:sz w:val="32"/>
          <w:szCs w:val="40"/>
        </w:rPr>
        <w:fldChar w:fldCharType="separate"/>
      </w:r>
      <w:r>
        <w:rPr>
          <w:sz w:val="32"/>
          <w:szCs w:val="40"/>
        </w:rPr>
        <w:t>- 9 -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5DD2A891">
      <w:pPr>
        <w:pStyle w:val="7"/>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_Toc30589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黑体" w:cs="Times New Roman"/>
          <w:sz w:val="32"/>
          <w:szCs w:val="44"/>
          <w:lang w:val="en-US" w:eastAsia="zh-CN"/>
        </w:rPr>
        <w:t>第三章 202</w:t>
      </w:r>
      <w:r>
        <w:rPr>
          <w:rFonts w:hint="eastAsia" w:eastAsia="黑体" w:cs="Times New Roman"/>
          <w:sz w:val="32"/>
          <w:szCs w:val="44"/>
          <w:lang w:val="en-US" w:eastAsia="zh-CN"/>
        </w:rPr>
        <w:t>6</w:t>
      </w:r>
      <w:r>
        <w:rPr>
          <w:rFonts w:hint="default" w:ascii="Times New Roman" w:hAnsi="Times New Roman" w:eastAsia="黑体" w:cs="Times New Roman"/>
          <w:sz w:val="32"/>
          <w:szCs w:val="44"/>
        </w:rPr>
        <w:t>年矿山地质环境治理</w:t>
      </w:r>
      <w:r>
        <w:rPr>
          <w:rFonts w:hint="default" w:ascii="Times New Roman" w:hAnsi="Times New Roman" w:eastAsia="黑体" w:cs="Times New Roman"/>
          <w:sz w:val="32"/>
          <w:szCs w:val="44"/>
          <w:lang w:val="en-US" w:eastAsia="zh-CN"/>
        </w:rPr>
        <w:t>计划</w:t>
      </w:r>
      <w:r>
        <w:rPr>
          <w:sz w:val="32"/>
          <w:szCs w:val="40"/>
        </w:rPr>
        <w:tab/>
      </w:r>
      <w:r>
        <w:rPr>
          <w:sz w:val="32"/>
          <w:szCs w:val="40"/>
        </w:rPr>
        <w:fldChar w:fldCharType="begin"/>
      </w:r>
      <w:r>
        <w:rPr>
          <w:sz w:val="32"/>
          <w:szCs w:val="40"/>
        </w:rPr>
        <w:instrText xml:space="preserve"> PAGEREF _Toc30589 \h </w:instrText>
      </w:r>
      <w:r>
        <w:rPr>
          <w:sz w:val="32"/>
          <w:szCs w:val="40"/>
        </w:rPr>
        <w:fldChar w:fldCharType="separate"/>
      </w:r>
      <w:r>
        <w:rPr>
          <w:sz w:val="32"/>
          <w:szCs w:val="40"/>
        </w:rPr>
        <w:t>- 10 -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38302B5E">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_Toc9935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lang w:val="en-US" w:eastAsia="zh-CN"/>
        </w:rPr>
        <w:t>第一节 矿山开采历史及现状</w:t>
      </w:r>
      <w:r>
        <w:rPr>
          <w:sz w:val="32"/>
          <w:szCs w:val="40"/>
        </w:rPr>
        <w:tab/>
      </w:r>
      <w:r>
        <w:rPr>
          <w:sz w:val="32"/>
          <w:szCs w:val="40"/>
        </w:rPr>
        <w:fldChar w:fldCharType="begin"/>
      </w:r>
      <w:r>
        <w:rPr>
          <w:sz w:val="32"/>
          <w:szCs w:val="40"/>
        </w:rPr>
        <w:instrText xml:space="preserve"> PAGEREF _Toc9935 \h </w:instrText>
      </w:r>
      <w:r>
        <w:rPr>
          <w:sz w:val="32"/>
          <w:szCs w:val="40"/>
        </w:rPr>
        <w:fldChar w:fldCharType="separate"/>
      </w:r>
      <w:r>
        <w:rPr>
          <w:sz w:val="32"/>
          <w:szCs w:val="40"/>
        </w:rPr>
        <w:t>- 10 -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7AD5209F">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_Toc11421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highlight w:val="none"/>
          <w:lang w:val="en-US" w:eastAsia="zh-CN"/>
        </w:rPr>
        <w:t>第</w:t>
      </w:r>
      <w:r>
        <w:rPr>
          <w:rFonts w:hint="eastAsia" w:eastAsia="楷体" w:cs="Times New Roman"/>
          <w:sz w:val="32"/>
          <w:szCs w:val="44"/>
          <w:highlight w:val="none"/>
          <w:lang w:val="en-US" w:eastAsia="zh-CN"/>
        </w:rPr>
        <w:t>二</w:t>
      </w:r>
      <w:r>
        <w:rPr>
          <w:rFonts w:hint="default" w:ascii="Times New Roman" w:hAnsi="Times New Roman" w:eastAsia="楷体" w:cs="Times New Roman"/>
          <w:sz w:val="32"/>
          <w:szCs w:val="44"/>
          <w:highlight w:val="none"/>
          <w:lang w:val="en-US" w:eastAsia="zh-CN"/>
        </w:rPr>
        <w:t>节 本年度生产计划</w:t>
      </w:r>
      <w:r>
        <w:rPr>
          <w:sz w:val="32"/>
          <w:szCs w:val="40"/>
        </w:rPr>
        <w:tab/>
      </w:r>
      <w:r>
        <w:rPr>
          <w:sz w:val="32"/>
          <w:szCs w:val="40"/>
        </w:rPr>
        <w:fldChar w:fldCharType="begin"/>
      </w:r>
      <w:r>
        <w:rPr>
          <w:sz w:val="32"/>
          <w:szCs w:val="40"/>
        </w:rPr>
        <w:instrText xml:space="preserve"> PAGEREF _Toc11421 \h </w:instrText>
      </w:r>
      <w:r>
        <w:rPr>
          <w:sz w:val="32"/>
          <w:szCs w:val="40"/>
        </w:rPr>
        <w:fldChar w:fldCharType="separate"/>
      </w:r>
      <w:r>
        <w:rPr>
          <w:sz w:val="32"/>
          <w:szCs w:val="40"/>
        </w:rPr>
        <w:t>- 11 -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266B3EC0">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_Toc25301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highlight w:val="none"/>
          <w:lang w:val="en-US" w:eastAsia="zh-CN"/>
        </w:rPr>
        <w:t>第</w:t>
      </w:r>
      <w:r>
        <w:rPr>
          <w:rFonts w:hint="eastAsia" w:eastAsia="楷体" w:cs="Times New Roman"/>
          <w:sz w:val="32"/>
          <w:szCs w:val="44"/>
          <w:highlight w:val="none"/>
          <w:lang w:val="en-US" w:eastAsia="zh-CN"/>
        </w:rPr>
        <w:t>三</w:t>
      </w:r>
      <w:r>
        <w:rPr>
          <w:rFonts w:hint="default" w:ascii="Times New Roman" w:hAnsi="Times New Roman" w:eastAsia="楷体" w:cs="Times New Roman"/>
          <w:sz w:val="32"/>
          <w:szCs w:val="44"/>
          <w:highlight w:val="none"/>
          <w:lang w:val="en-US" w:eastAsia="zh-CN"/>
        </w:rPr>
        <w:t>节 治理范围</w:t>
      </w:r>
      <w:r>
        <w:rPr>
          <w:sz w:val="32"/>
          <w:szCs w:val="40"/>
        </w:rPr>
        <w:tab/>
      </w:r>
      <w:r>
        <w:rPr>
          <w:sz w:val="32"/>
          <w:szCs w:val="40"/>
        </w:rPr>
        <w:fldChar w:fldCharType="begin"/>
      </w:r>
      <w:r>
        <w:rPr>
          <w:sz w:val="32"/>
          <w:szCs w:val="40"/>
        </w:rPr>
        <w:instrText xml:space="preserve"> PAGEREF _Toc25301 \h </w:instrText>
      </w:r>
      <w:r>
        <w:rPr>
          <w:sz w:val="32"/>
          <w:szCs w:val="40"/>
        </w:rPr>
        <w:fldChar w:fldCharType="separate"/>
      </w:r>
      <w:r>
        <w:rPr>
          <w:sz w:val="32"/>
          <w:szCs w:val="40"/>
        </w:rPr>
        <w:t>- 11 -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5DC6DBC6">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_Toc8305 </w:instrText>
      </w:r>
      <w:r>
        <w:rPr>
          <w:rFonts w:hint="default" w:ascii="Times New Roman" w:hAnsi="Times New Roman" w:eastAsia="黑体" w:cs="Times New Roman"/>
          <w:sz w:val="32"/>
          <w:szCs w:val="112"/>
          <w:highlight w:val="none"/>
        </w:rPr>
        <w:fldChar w:fldCharType="separate"/>
      </w:r>
      <w:r>
        <w:rPr>
          <w:rFonts w:hint="eastAsia" w:ascii="Times New Roman" w:hAnsi="Times New Roman" w:eastAsia="楷体" w:cs="Times New Roman"/>
          <w:kern w:val="2"/>
          <w:sz w:val="32"/>
          <w:szCs w:val="44"/>
          <w:lang w:val="en-US" w:eastAsia="zh-CN" w:bidi="ar-SA"/>
        </w:rPr>
        <w:t>第</w:t>
      </w:r>
      <w:r>
        <w:rPr>
          <w:rFonts w:hint="eastAsia" w:eastAsia="楷体" w:cs="Times New Roman"/>
          <w:kern w:val="2"/>
          <w:sz w:val="32"/>
          <w:szCs w:val="44"/>
          <w:lang w:val="en-US" w:eastAsia="zh-CN" w:bidi="ar-SA"/>
        </w:rPr>
        <w:t>四</w:t>
      </w:r>
      <w:r>
        <w:rPr>
          <w:rFonts w:hint="eastAsia" w:ascii="Times New Roman" w:hAnsi="Times New Roman" w:eastAsia="楷体" w:cs="Times New Roman"/>
          <w:kern w:val="2"/>
          <w:sz w:val="32"/>
          <w:szCs w:val="44"/>
          <w:lang w:val="en-US" w:eastAsia="zh-CN" w:bidi="ar-SA"/>
        </w:rPr>
        <w:t>节</w:t>
      </w:r>
      <w:r>
        <w:rPr>
          <w:rFonts w:hint="eastAsia" w:eastAsia="楷体" w:cs="Times New Roman"/>
          <w:kern w:val="2"/>
          <w:sz w:val="32"/>
          <w:szCs w:val="44"/>
          <w:lang w:val="en-US" w:eastAsia="zh-CN" w:bidi="ar-SA"/>
        </w:rPr>
        <w:t xml:space="preserve"> </w:t>
      </w:r>
      <w:r>
        <w:rPr>
          <w:rFonts w:hint="default" w:ascii="Times New Roman" w:hAnsi="Times New Roman" w:eastAsia="楷体" w:cs="Times New Roman"/>
          <w:sz w:val="32"/>
          <w:szCs w:val="44"/>
          <w:lang w:val="en-US" w:eastAsia="zh-CN"/>
        </w:rPr>
        <w:t>本年度基金计提情况</w:t>
      </w:r>
      <w:r>
        <w:rPr>
          <w:sz w:val="32"/>
          <w:szCs w:val="40"/>
        </w:rPr>
        <w:tab/>
      </w:r>
      <w:r>
        <w:rPr>
          <w:sz w:val="32"/>
          <w:szCs w:val="40"/>
        </w:rPr>
        <w:fldChar w:fldCharType="begin"/>
      </w:r>
      <w:r>
        <w:rPr>
          <w:sz w:val="32"/>
          <w:szCs w:val="40"/>
        </w:rPr>
        <w:instrText xml:space="preserve"> PAGEREF _Toc8305 \h </w:instrText>
      </w:r>
      <w:r>
        <w:rPr>
          <w:sz w:val="32"/>
          <w:szCs w:val="40"/>
        </w:rPr>
        <w:fldChar w:fldCharType="separate"/>
      </w:r>
      <w:r>
        <w:rPr>
          <w:sz w:val="32"/>
          <w:szCs w:val="40"/>
        </w:rPr>
        <w:t>- 12 -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56B027A4">
      <w:pPr>
        <w:pStyle w:val="8"/>
        <w:tabs>
          <w:tab w:val="right" w:leader="dot" w:pos="8844"/>
        </w:tabs>
        <w:rPr>
          <w:sz w:val="32"/>
          <w:szCs w:val="40"/>
        </w:rPr>
      </w:pPr>
      <w:r>
        <w:rPr>
          <w:rFonts w:hint="default" w:ascii="Times New Roman" w:hAnsi="Times New Roman" w:eastAsia="黑体" w:cs="Times New Roman"/>
          <w:color w:val="auto"/>
          <w:sz w:val="32"/>
          <w:szCs w:val="112"/>
          <w:highlight w:val="none"/>
        </w:rPr>
        <w:fldChar w:fldCharType="begin"/>
      </w:r>
      <w:r>
        <w:rPr>
          <w:rFonts w:hint="default" w:ascii="Times New Roman" w:hAnsi="Times New Roman" w:eastAsia="黑体" w:cs="Times New Roman"/>
          <w:sz w:val="32"/>
          <w:szCs w:val="112"/>
          <w:highlight w:val="none"/>
        </w:rPr>
        <w:instrText xml:space="preserve"> HYPERLINK \l _Toc24899 </w:instrText>
      </w:r>
      <w:r>
        <w:rPr>
          <w:rFonts w:hint="default" w:ascii="Times New Roman" w:hAnsi="Times New Roman" w:eastAsia="黑体" w:cs="Times New Roman"/>
          <w:sz w:val="32"/>
          <w:szCs w:val="112"/>
          <w:highlight w:val="none"/>
        </w:rPr>
        <w:fldChar w:fldCharType="separate"/>
      </w:r>
      <w:r>
        <w:rPr>
          <w:rFonts w:hint="default" w:ascii="Times New Roman" w:hAnsi="Times New Roman" w:eastAsia="楷体" w:cs="Times New Roman"/>
          <w:sz w:val="32"/>
          <w:szCs w:val="44"/>
          <w:lang w:val="en-US" w:eastAsia="zh-CN"/>
        </w:rPr>
        <w:t>第</w:t>
      </w:r>
      <w:r>
        <w:rPr>
          <w:rFonts w:hint="eastAsia" w:eastAsia="楷体" w:cs="Times New Roman"/>
          <w:sz w:val="32"/>
          <w:szCs w:val="44"/>
          <w:lang w:val="en-US" w:eastAsia="zh-CN"/>
        </w:rPr>
        <w:t>五</w:t>
      </w:r>
      <w:r>
        <w:rPr>
          <w:rFonts w:hint="default" w:ascii="Times New Roman" w:hAnsi="Times New Roman" w:eastAsia="楷体" w:cs="Times New Roman"/>
          <w:sz w:val="32"/>
          <w:szCs w:val="44"/>
          <w:lang w:val="en-US" w:eastAsia="zh-CN"/>
        </w:rPr>
        <w:t xml:space="preserve">节 </w:t>
      </w:r>
      <w:r>
        <w:rPr>
          <w:rFonts w:hint="default" w:ascii="Times New Roman" w:hAnsi="Times New Roman" w:eastAsia="楷体" w:cs="Times New Roman"/>
          <w:sz w:val="32"/>
          <w:szCs w:val="44"/>
        </w:rPr>
        <w:t>本年度治理实施计划</w:t>
      </w:r>
      <w:r>
        <w:rPr>
          <w:sz w:val="32"/>
          <w:szCs w:val="40"/>
        </w:rPr>
        <w:tab/>
      </w:r>
      <w:r>
        <w:rPr>
          <w:sz w:val="32"/>
          <w:szCs w:val="40"/>
        </w:rPr>
        <w:fldChar w:fldCharType="begin"/>
      </w:r>
      <w:r>
        <w:rPr>
          <w:sz w:val="32"/>
          <w:szCs w:val="40"/>
        </w:rPr>
        <w:instrText xml:space="preserve"> PAGEREF _Toc24899 \h </w:instrText>
      </w:r>
      <w:r>
        <w:rPr>
          <w:sz w:val="32"/>
          <w:szCs w:val="40"/>
        </w:rPr>
        <w:fldChar w:fldCharType="separate"/>
      </w:r>
      <w:r>
        <w:rPr>
          <w:sz w:val="32"/>
          <w:szCs w:val="40"/>
        </w:rPr>
        <w:t>- 12 -</w:t>
      </w:r>
      <w:r>
        <w:rPr>
          <w:sz w:val="32"/>
          <w:szCs w:val="40"/>
        </w:rPr>
        <w:fldChar w:fldCharType="end"/>
      </w:r>
      <w:r>
        <w:rPr>
          <w:rFonts w:hint="default" w:ascii="Times New Roman" w:hAnsi="Times New Roman" w:eastAsia="黑体" w:cs="Times New Roman"/>
          <w:color w:val="auto"/>
          <w:sz w:val="32"/>
          <w:szCs w:val="112"/>
          <w:highlight w:val="none"/>
        </w:rPr>
        <w:fldChar w:fldCharType="end"/>
      </w:r>
    </w:p>
    <w:p w14:paraId="083A4BC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黑体" w:cs="Times New Roman"/>
          <w:b/>
          <w:color w:val="auto"/>
          <w:szCs w:val="30"/>
          <w:highlight w:val="none"/>
        </w:rPr>
        <w:sectPr>
          <w:pgSz w:w="11906" w:h="16838"/>
          <w:pgMar w:top="2098" w:right="1474" w:bottom="1985" w:left="1588" w:header="851" w:footer="992" w:gutter="0"/>
          <w:pgNumType w:fmt="numberInDash"/>
          <w:cols w:space="425" w:num="1"/>
          <w:docGrid w:type="lines" w:linePitch="312" w:charSpace="0"/>
        </w:sectPr>
      </w:pPr>
      <w:r>
        <w:rPr>
          <w:rFonts w:hint="default" w:ascii="Times New Roman" w:hAnsi="Times New Roman" w:eastAsia="黑体" w:cs="Times New Roman"/>
          <w:color w:val="auto"/>
          <w:sz w:val="32"/>
          <w:szCs w:val="112"/>
          <w:highlight w:val="none"/>
        </w:rPr>
        <w:fldChar w:fldCharType="end"/>
      </w:r>
    </w:p>
    <w:p w14:paraId="0DAADBAB">
      <w:pPr>
        <w:keepNext w:val="0"/>
        <w:keepLines w:val="0"/>
        <w:pageBreakBefore w:val="0"/>
        <w:kinsoku/>
        <w:wordWrap/>
        <w:overflowPunct/>
        <w:topLinePunct w:val="0"/>
        <w:autoSpaceDE/>
        <w:autoSpaceDN/>
        <w:bidi w:val="0"/>
        <w:spacing w:line="560" w:lineRule="exact"/>
        <w:ind w:firstLine="600" w:firstLineChars="200"/>
        <w:textAlignment w:val="auto"/>
        <w:outlineLvl w:val="0"/>
        <w:rPr>
          <w:rFonts w:hint="default" w:ascii="Times New Roman" w:hAnsi="Times New Roman" w:eastAsia="黑体" w:cs="Times New Roman"/>
          <w:color w:val="auto"/>
          <w:sz w:val="30"/>
          <w:szCs w:val="30"/>
          <w:highlight w:val="none"/>
        </w:rPr>
        <w:sectPr>
          <w:footerReference r:id="rId5" w:type="default"/>
          <w:footerReference r:id="rId6" w:type="even"/>
          <w:pgSz w:w="11906" w:h="16838"/>
          <w:pgMar w:top="2098" w:right="1474" w:bottom="1985" w:left="1588" w:header="851" w:footer="992" w:gutter="0"/>
          <w:pgNumType w:fmt="numberInDash" w:start="1"/>
          <w:cols w:space="425" w:num="1"/>
          <w:docGrid w:type="lines" w:linePitch="312" w:charSpace="0"/>
        </w:sectPr>
      </w:pPr>
      <w:bookmarkStart w:id="3" w:name="_Toc3288"/>
      <w:bookmarkStart w:id="4" w:name="_Toc13055"/>
    </w:p>
    <w:p w14:paraId="7292009E">
      <w:pPr>
        <w:keepNext w:val="0"/>
        <w:keepLines w:val="0"/>
        <w:pageBreakBefore w:val="0"/>
        <w:kinsoku/>
        <w:wordWrap/>
        <w:overflowPunct/>
        <w:topLinePunct w:val="0"/>
        <w:autoSpaceDE/>
        <w:autoSpaceDN/>
        <w:bidi w:val="0"/>
        <w:spacing w:line="560" w:lineRule="exact"/>
        <w:ind w:firstLine="600" w:firstLineChars="200"/>
        <w:textAlignment w:val="auto"/>
        <w:outlineLvl w:val="0"/>
        <w:rPr>
          <w:rFonts w:hint="default" w:ascii="Times New Roman" w:hAnsi="Times New Roman" w:eastAsia="黑体" w:cs="Times New Roman"/>
          <w:color w:val="auto"/>
          <w:sz w:val="30"/>
          <w:szCs w:val="30"/>
          <w:highlight w:val="none"/>
        </w:rPr>
      </w:pPr>
      <w:bookmarkStart w:id="5" w:name="_Toc12895"/>
      <w:r>
        <w:rPr>
          <w:rFonts w:hint="default" w:ascii="Times New Roman" w:hAnsi="Times New Roman" w:eastAsia="黑体" w:cs="Times New Roman"/>
          <w:color w:val="auto"/>
          <w:sz w:val="30"/>
          <w:szCs w:val="30"/>
          <w:highlight w:val="none"/>
        </w:rPr>
        <w:t>第一章 矿山企业概况</w:t>
      </w:r>
      <w:bookmarkEnd w:id="3"/>
      <w:bookmarkEnd w:id="4"/>
      <w:bookmarkEnd w:id="5"/>
    </w:p>
    <w:p w14:paraId="01D6ED02">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color w:val="auto"/>
          <w:sz w:val="30"/>
          <w:szCs w:val="30"/>
          <w:highlight w:val="none"/>
        </w:rPr>
      </w:pPr>
      <w:bookmarkStart w:id="6" w:name="_Toc6224"/>
      <w:bookmarkStart w:id="7" w:name="_Toc25065"/>
      <w:bookmarkStart w:id="8" w:name="_Toc906"/>
      <w:r>
        <w:rPr>
          <w:rFonts w:hint="default" w:ascii="Times New Roman" w:hAnsi="Times New Roman" w:eastAsia="楷体" w:cs="Times New Roman"/>
          <w:color w:val="auto"/>
          <w:sz w:val="30"/>
          <w:szCs w:val="30"/>
          <w:highlight w:val="none"/>
        </w:rPr>
        <w:t>第一节 矿区基本情况概述</w:t>
      </w:r>
      <w:bookmarkEnd w:id="6"/>
      <w:bookmarkEnd w:id="7"/>
      <w:bookmarkEnd w:id="8"/>
    </w:p>
    <w:p w14:paraId="1F4827B4">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本矿井位于东胜煤田呼吉尔特矿区，地处内蒙古自治区鄂尔多斯市境内，行政区划隶属乌审旗图克镇及伊金霍洛旗台格苏木管辖</w:t>
      </w:r>
      <w:r>
        <w:rPr>
          <w:rFonts w:hint="default" w:ascii="Times New Roman" w:hAnsi="Times New Roman" w:eastAsia="方正仿宋简体" w:cs="Times New Roman"/>
          <w:sz w:val="30"/>
          <w:szCs w:val="30"/>
          <w:lang w:eastAsia="zh-CN"/>
        </w:rPr>
        <w:t>。</w:t>
      </w:r>
      <w:r>
        <w:rPr>
          <w:rFonts w:hint="default" w:ascii="Times New Roman" w:hAnsi="Times New Roman" w:eastAsia="方正仿宋简体" w:cs="Times New Roman"/>
          <w:sz w:val="30"/>
          <w:szCs w:val="30"/>
        </w:rPr>
        <w:t>井田位置在高布格异常区（陕西省境内）的西北部，本区的总体构造形态为一向北西倾斜、并发育有次一级波状起伏的单斜构造。</w:t>
      </w:r>
    </w:p>
    <w:p w14:paraId="72E2C2C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方正仿宋简体" w:cs="Times New Roman"/>
          <w:sz w:val="30"/>
          <w:szCs w:val="30"/>
        </w:rPr>
        <w:t>井田具有典型的高原堆积型丘陵地貌特征，地表全部被第四系风积沙覆盖，在井田南部地形起伏较大，西北部（工业广场附近）地形较平坦。主要地貌为固定-半固定沙丘，植被稀疏，为沙漠-半沙漠地区。井田位于乌兰木伦河与无定河之间，区内的地表水属内陆水系，但因气候干燥，降雨微弱、地形破碎、植被稀少等因素，以致地表水流量有限。井田内没有常年地表径流，雨季大气降水由南向北汇集于洼地之中，通过风积沙渗入地下补给松散层潜水含水层。井田内地表水系不发育，也无水库、湖泊等地表水体。区内属于温带高原大陆型沙漠气候区，太阳辐射强烈，日照时间长，常年干燥少雨、风大沙多、无霜期短。冬季寒冷而漫长，夏季温热而短暂，春季回暖升温快，秋季气温下降显著。</w:t>
      </w:r>
    </w:p>
    <w:p w14:paraId="7039E3C1">
      <w:pPr>
        <w:keepNext w:val="0"/>
        <w:keepLines w:val="0"/>
        <w:pageBreakBefore w:val="0"/>
        <w:numPr>
          <w:ilvl w:val="0"/>
          <w:numId w:val="0"/>
        </w:numPr>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sz w:val="30"/>
          <w:szCs w:val="30"/>
        </w:rPr>
      </w:pPr>
      <w:bookmarkStart w:id="9" w:name="_Toc25616"/>
      <w:bookmarkStart w:id="10" w:name="_Toc12794"/>
      <w:bookmarkStart w:id="11" w:name="_Toc24480"/>
      <w:r>
        <w:rPr>
          <w:rFonts w:hint="default" w:ascii="Times New Roman" w:hAnsi="Times New Roman" w:eastAsia="楷体" w:cs="Times New Roman"/>
          <w:kern w:val="2"/>
          <w:sz w:val="30"/>
          <w:szCs w:val="30"/>
          <w:lang w:val="en-US" w:eastAsia="zh-CN" w:bidi="ar-SA"/>
        </w:rPr>
        <w:t>第二节</w:t>
      </w:r>
      <w:r>
        <w:rPr>
          <w:rFonts w:hint="eastAsia" w:eastAsia="楷体" w:cs="Times New Roman"/>
          <w:kern w:val="2"/>
          <w:sz w:val="30"/>
          <w:szCs w:val="30"/>
          <w:lang w:val="en-US" w:eastAsia="zh-CN" w:bidi="ar-SA"/>
        </w:rPr>
        <w:t xml:space="preserve"> </w:t>
      </w:r>
      <w:r>
        <w:rPr>
          <w:rFonts w:hint="default" w:ascii="Times New Roman" w:hAnsi="Times New Roman" w:eastAsia="楷体" w:cs="Times New Roman"/>
          <w:color w:val="auto"/>
          <w:sz w:val="30"/>
          <w:szCs w:val="30"/>
          <w:highlight w:val="none"/>
        </w:rPr>
        <w:t>矿山基本情况概述</w:t>
      </w:r>
      <w:bookmarkEnd w:id="9"/>
      <w:bookmarkEnd w:id="10"/>
      <w:bookmarkEnd w:id="11"/>
    </w:p>
    <w:p w14:paraId="6DAC4ABE">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葫芦素煤矿隶属中天合创能源有限责任公司。矿井位于东胜煤田呼吉尔特矿区，地处内蒙古自治区鄂尔多斯市境内，行政区划隶属乌审旗图克镇及伊金霍洛旗台格苏木管辖。葫芦素煤矿井田南北走向长度约7.4km，东西倾斜宽约12.9km。葫芦素煤矿</w:t>
      </w:r>
      <w:r>
        <w:rPr>
          <w:rFonts w:hint="default" w:ascii="Times New Roman" w:hAnsi="Times New Roman" w:eastAsia="方正仿宋简体" w:cs="Times New Roman"/>
          <w:sz w:val="30"/>
          <w:szCs w:val="30"/>
          <w:lang w:val="zh-CN" w:eastAsia="zh-CN"/>
        </w:rPr>
        <w:t>设计</w:t>
      </w:r>
      <w:r>
        <w:rPr>
          <w:rFonts w:hint="default" w:ascii="Times New Roman" w:hAnsi="Times New Roman" w:eastAsia="方正仿宋简体" w:cs="Times New Roman"/>
          <w:sz w:val="30"/>
          <w:szCs w:val="30"/>
          <w:lang w:val="en-US" w:eastAsia="zh-CN"/>
        </w:rPr>
        <w:t>生产能力为13.0Mt/a，核定生产能力为8.0Mt/a，可采煤层自上至下编号依次为2-1、2-2中、3-1、4-1、4-2中、5-1、5-2和6-2煤层。其中，2-1、2-2中、3-1、5-1、5-2和6-2煤层为全区可采的稳定煤层，4-1、4-2中煤层为全区大部分可采的较稳定煤层。</w:t>
      </w:r>
    </w:p>
    <w:p w14:paraId="47183735">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地理坐标:东经：109°25′43″-109°35′00″北纬：38°59′00″-38°03′01″</w:t>
      </w:r>
    </w:p>
    <w:p w14:paraId="02FA05BC">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矿区范围由12个拐点圈定，拐点坐标见下表：</w:t>
      </w:r>
    </w:p>
    <w:tbl>
      <w:tblPr>
        <w:tblStyle w:val="10"/>
        <w:tblpPr w:leftFromText="180" w:rightFromText="180" w:vertAnchor="text" w:horzAnchor="page" w:tblpX="1788" w:tblpY="517"/>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968"/>
        <w:gridCol w:w="1723"/>
        <w:gridCol w:w="799"/>
        <w:gridCol w:w="1975"/>
        <w:gridCol w:w="1838"/>
      </w:tblGrid>
      <w:tr w14:paraId="2FE6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000" w:type="pct"/>
            <w:gridSpan w:val="6"/>
            <w:noWrap w:val="0"/>
            <w:vAlign w:val="center"/>
          </w:tcPr>
          <w:p w14:paraId="54A6D4CE">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2000国家大地坐标系</w:t>
            </w:r>
          </w:p>
        </w:tc>
      </w:tr>
      <w:tr w14:paraId="21F4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418" w:type="pct"/>
            <w:noWrap w:val="0"/>
            <w:vAlign w:val="center"/>
          </w:tcPr>
          <w:p w14:paraId="68CF8764">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编号</w:t>
            </w:r>
          </w:p>
        </w:tc>
        <w:tc>
          <w:tcPr>
            <w:tcW w:w="1086" w:type="pct"/>
            <w:noWrap w:val="0"/>
            <w:vAlign w:val="center"/>
          </w:tcPr>
          <w:p w14:paraId="598415AC">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X</w:t>
            </w:r>
          </w:p>
        </w:tc>
        <w:tc>
          <w:tcPr>
            <w:tcW w:w="951" w:type="pct"/>
            <w:noWrap w:val="0"/>
            <w:vAlign w:val="center"/>
          </w:tcPr>
          <w:p w14:paraId="78F0B458">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Y</w:t>
            </w:r>
          </w:p>
        </w:tc>
        <w:tc>
          <w:tcPr>
            <w:tcW w:w="441" w:type="pct"/>
            <w:noWrap w:val="0"/>
            <w:vAlign w:val="center"/>
          </w:tcPr>
          <w:p w14:paraId="10140D4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编号</w:t>
            </w:r>
          </w:p>
        </w:tc>
        <w:tc>
          <w:tcPr>
            <w:tcW w:w="1090" w:type="pct"/>
            <w:noWrap w:val="0"/>
            <w:vAlign w:val="center"/>
          </w:tcPr>
          <w:p w14:paraId="5CD06FBE">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X</w:t>
            </w:r>
          </w:p>
        </w:tc>
        <w:tc>
          <w:tcPr>
            <w:tcW w:w="1012" w:type="pct"/>
            <w:noWrap w:val="0"/>
            <w:vAlign w:val="center"/>
          </w:tcPr>
          <w:p w14:paraId="2B7D54B4">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Y</w:t>
            </w:r>
          </w:p>
        </w:tc>
      </w:tr>
      <w:tr w14:paraId="3BFF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418" w:type="pct"/>
            <w:noWrap w:val="0"/>
            <w:vAlign w:val="center"/>
          </w:tcPr>
          <w:p w14:paraId="13365435">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1</w:t>
            </w:r>
          </w:p>
        </w:tc>
        <w:tc>
          <w:tcPr>
            <w:tcW w:w="1086" w:type="pct"/>
            <w:noWrap w:val="0"/>
            <w:vAlign w:val="center"/>
          </w:tcPr>
          <w:p w14:paraId="516D8F56">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4317794.92</w:t>
            </w:r>
          </w:p>
        </w:tc>
        <w:tc>
          <w:tcPr>
            <w:tcW w:w="951" w:type="pct"/>
            <w:noWrap w:val="0"/>
            <w:vAlign w:val="center"/>
          </w:tcPr>
          <w:p w14:paraId="65CBD79A">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36624341.09</w:t>
            </w:r>
          </w:p>
        </w:tc>
        <w:tc>
          <w:tcPr>
            <w:tcW w:w="441" w:type="pct"/>
            <w:noWrap w:val="0"/>
            <w:vAlign w:val="center"/>
          </w:tcPr>
          <w:p w14:paraId="0D1AF15A">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7</w:t>
            </w:r>
          </w:p>
        </w:tc>
        <w:tc>
          <w:tcPr>
            <w:tcW w:w="1090" w:type="pct"/>
            <w:noWrap w:val="0"/>
            <w:vAlign w:val="center"/>
          </w:tcPr>
          <w:p w14:paraId="35E5785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4325038.91</w:t>
            </w:r>
          </w:p>
        </w:tc>
        <w:tc>
          <w:tcPr>
            <w:tcW w:w="1012" w:type="pct"/>
            <w:noWrap w:val="0"/>
            <w:vAlign w:val="center"/>
          </w:tcPr>
          <w:p w14:paraId="03EF7EC9">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36628810.07</w:t>
            </w:r>
          </w:p>
        </w:tc>
      </w:tr>
      <w:tr w14:paraId="39E2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418" w:type="pct"/>
            <w:noWrap w:val="0"/>
            <w:vAlign w:val="center"/>
          </w:tcPr>
          <w:p w14:paraId="1B6AB566">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2</w:t>
            </w:r>
          </w:p>
        </w:tc>
        <w:tc>
          <w:tcPr>
            <w:tcW w:w="1086" w:type="pct"/>
            <w:noWrap w:val="0"/>
            <w:vAlign w:val="center"/>
          </w:tcPr>
          <w:p w14:paraId="35FF3E0F">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4324065.73</w:t>
            </w:r>
          </w:p>
        </w:tc>
        <w:tc>
          <w:tcPr>
            <w:tcW w:w="951" w:type="pct"/>
            <w:noWrap w:val="0"/>
            <w:vAlign w:val="center"/>
          </w:tcPr>
          <w:p w14:paraId="3FD155AD">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36624346.72</w:t>
            </w:r>
          </w:p>
        </w:tc>
        <w:tc>
          <w:tcPr>
            <w:tcW w:w="441" w:type="pct"/>
            <w:noWrap w:val="0"/>
            <w:vAlign w:val="center"/>
          </w:tcPr>
          <w:p w14:paraId="00DA4EB8">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8</w:t>
            </w:r>
          </w:p>
        </w:tc>
        <w:tc>
          <w:tcPr>
            <w:tcW w:w="1090" w:type="pct"/>
            <w:noWrap w:val="0"/>
            <w:vAlign w:val="center"/>
          </w:tcPr>
          <w:p w14:paraId="0140C15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4325157.81</w:t>
            </w:r>
          </w:p>
        </w:tc>
        <w:tc>
          <w:tcPr>
            <w:tcW w:w="1012" w:type="pct"/>
            <w:noWrap w:val="0"/>
            <w:vAlign w:val="center"/>
          </w:tcPr>
          <w:p w14:paraId="7F01421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36629602.81</w:t>
            </w:r>
          </w:p>
        </w:tc>
      </w:tr>
      <w:tr w14:paraId="7789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418" w:type="pct"/>
            <w:noWrap w:val="0"/>
            <w:vAlign w:val="center"/>
          </w:tcPr>
          <w:p w14:paraId="0EC1CD90">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3</w:t>
            </w:r>
          </w:p>
        </w:tc>
        <w:tc>
          <w:tcPr>
            <w:tcW w:w="1086" w:type="pct"/>
            <w:noWrap w:val="0"/>
            <w:vAlign w:val="center"/>
          </w:tcPr>
          <w:p w14:paraId="3F2B49DC">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4324408.97</w:t>
            </w:r>
          </w:p>
        </w:tc>
        <w:tc>
          <w:tcPr>
            <w:tcW w:w="951" w:type="pct"/>
            <w:noWrap w:val="0"/>
            <w:vAlign w:val="center"/>
          </w:tcPr>
          <w:p w14:paraId="6E114EE3">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36624610.19</w:t>
            </w:r>
          </w:p>
        </w:tc>
        <w:tc>
          <w:tcPr>
            <w:tcW w:w="441" w:type="pct"/>
            <w:noWrap w:val="0"/>
            <w:vAlign w:val="center"/>
          </w:tcPr>
          <w:p w14:paraId="3B176E44">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9</w:t>
            </w:r>
          </w:p>
        </w:tc>
        <w:tc>
          <w:tcPr>
            <w:tcW w:w="1090" w:type="pct"/>
            <w:noWrap w:val="0"/>
            <w:vAlign w:val="center"/>
          </w:tcPr>
          <w:p w14:paraId="261F1AFE">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4325289.22</w:t>
            </w:r>
          </w:p>
        </w:tc>
        <w:tc>
          <w:tcPr>
            <w:tcW w:w="1012" w:type="pct"/>
            <w:noWrap w:val="0"/>
            <w:vAlign w:val="center"/>
          </w:tcPr>
          <w:p w14:paraId="319D943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36637105.13</w:t>
            </w:r>
          </w:p>
        </w:tc>
      </w:tr>
      <w:tr w14:paraId="7564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418" w:type="pct"/>
            <w:noWrap w:val="0"/>
            <w:vAlign w:val="center"/>
          </w:tcPr>
          <w:p w14:paraId="7BA1874F">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4</w:t>
            </w:r>
          </w:p>
        </w:tc>
        <w:tc>
          <w:tcPr>
            <w:tcW w:w="1086" w:type="pct"/>
            <w:noWrap w:val="0"/>
            <w:vAlign w:val="center"/>
          </w:tcPr>
          <w:p w14:paraId="565696CD">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4324876.94</w:t>
            </w:r>
          </w:p>
        </w:tc>
        <w:tc>
          <w:tcPr>
            <w:tcW w:w="951" w:type="pct"/>
            <w:noWrap w:val="0"/>
            <w:vAlign w:val="center"/>
          </w:tcPr>
          <w:p w14:paraId="786C19F2">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36627730.22</w:t>
            </w:r>
          </w:p>
        </w:tc>
        <w:tc>
          <w:tcPr>
            <w:tcW w:w="441" w:type="pct"/>
            <w:noWrap w:val="0"/>
            <w:vAlign w:val="center"/>
          </w:tcPr>
          <w:p w14:paraId="6B506680">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10</w:t>
            </w:r>
          </w:p>
        </w:tc>
        <w:tc>
          <w:tcPr>
            <w:tcW w:w="1090" w:type="pct"/>
            <w:noWrap w:val="0"/>
            <w:vAlign w:val="center"/>
          </w:tcPr>
          <w:p w14:paraId="5B2EC5F9">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4317881.92</w:t>
            </w:r>
          </w:p>
        </w:tc>
        <w:tc>
          <w:tcPr>
            <w:tcW w:w="1012" w:type="pct"/>
            <w:noWrap w:val="0"/>
            <w:vAlign w:val="center"/>
          </w:tcPr>
          <w:p w14:paraId="7FDCCC1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36637233.99</w:t>
            </w:r>
          </w:p>
        </w:tc>
      </w:tr>
      <w:tr w14:paraId="3479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418" w:type="pct"/>
            <w:noWrap w:val="0"/>
            <w:vAlign w:val="center"/>
          </w:tcPr>
          <w:p w14:paraId="15973AD1">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5</w:t>
            </w:r>
          </w:p>
        </w:tc>
        <w:tc>
          <w:tcPr>
            <w:tcW w:w="1086" w:type="pct"/>
            <w:noWrap w:val="0"/>
            <w:vAlign w:val="center"/>
          </w:tcPr>
          <w:p w14:paraId="731BD794">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4324663.68</w:t>
            </w:r>
          </w:p>
        </w:tc>
        <w:tc>
          <w:tcPr>
            <w:tcW w:w="951" w:type="pct"/>
            <w:noWrap w:val="0"/>
            <w:vAlign w:val="center"/>
          </w:tcPr>
          <w:p w14:paraId="6E12EC37">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lang w:val="en-US" w:eastAsia="zh-CN"/>
              </w:rPr>
            </w:pPr>
            <w:r>
              <w:rPr>
                <w:rFonts w:hint="default" w:ascii="Times New Roman" w:hAnsi="Times New Roman" w:eastAsia="宋体" w:cs="Times New Roman"/>
                <w:color w:val="auto"/>
                <w:kern w:val="0"/>
                <w:sz w:val="21"/>
                <w:szCs w:val="24"/>
                <w:lang w:val="en-US" w:eastAsia="zh-CN"/>
              </w:rPr>
              <w:t>36627733.72</w:t>
            </w:r>
          </w:p>
        </w:tc>
        <w:tc>
          <w:tcPr>
            <w:tcW w:w="441" w:type="pct"/>
            <w:noWrap w:val="0"/>
            <w:vAlign w:val="center"/>
          </w:tcPr>
          <w:p w14:paraId="5B719E3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11</w:t>
            </w:r>
          </w:p>
        </w:tc>
        <w:tc>
          <w:tcPr>
            <w:tcW w:w="1090" w:type="pct"/>
            <w:noWrap w:val="0"/>
            <w:vAlign w:val="center"/>
          </w:tcPr>
          <w:p w14:paraId="633C2B81">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4317783.81</w:t>
            </w:r>
          </w:p>
        </w:tc>
        <w:tc>
          <w:tcPr>
            <w:tcW w:w="1012" w:type="pct"/>
            <w:noWrap w:val="0"/>
            <w:vAlign w:val="center"/>
          </w:tcPr>
          <w:p w14:paraId="1C8497D2">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36631456.88</w:t>
            </w:r>
          </w:p>
        </w:tc>
      </w:tr>
      <w:tr w14:paraId="3DDA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418" w:type="pct"/>
            <w:noWrap w:val="0"/>
            <w:vAlign w:val="center"/>
          </w:tcPr>
          <w:p w14:paraId="304EED92">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6</w:t>
            </w:r>
          </w:p>
        </w:tc>
        <w:tc>
          <w:tcPr>
            <w:tcW w:w="1086" w:type="pct"/>
            <w:noWrap w:val="0"/>
            <w:vAlign w:val="center"/>
          </w:tcPr>
          <w:p w14:paraId="1868861E">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4324681.30</w:t>
            </w:r>
          </w:p>
        </w:tc>
        <w:tc>
          <w:tcPr>
            <w:tcW w:w="951" w:type="pct"/>
            <w:noWrap w:val="0"/>
            <w:vAlign w:val="center"/>
          </w:tcPr>
          <w:p w14:paraId="2A9757E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lang w:val="en-US" w:eastAsia="zh-CN"/>
              </w:rPr>
              <w:t>36628815.92</w:t>
            </w:r>
          </w:p>
        </w:tc>
        <w:tc>
          <w:tcPr>
            <w:tcW w:w="441" w:type="pct"/>
            <w:noWrap w:val="0"/>
            <w:vAlign w:val="center"/>
          </w:tcPr>
          <w:p w14:paraId="744428DD">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12</w:t>
            </w:r>
          </w:p>
        </w:tc>
        <w:tc>
          <w:tcPr>
            <w:tcW w:w="1090" w:type="pct"/>
            <w:noWrap w:val="0"/>
            <w:vAlign w:val="center"/>
          </w:tcPr>
          <w:p w14:paraId="1F55478C">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4317675.10</w:t>
            </w:r>
          </w:p>
        </w:tc>
        <w:tc>
          <w:tcPr>
            <w:tcW w:w="1012" w:type="pct"/>
            <w:noWrap w:val="0"/>
            <w:vAlign w:val="center"/>
          </w:tcPr>
          <w:p w14:paraId="115EE223">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36624471.40</w:t>
            </w:r>
          </w:p>
        </w:tc>
      </w:tr>
      <w:tr w14:paraId="44E5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418" w:type="pct"/>
            <w:noWrap w:val="0"/>
            <w:vAlign w:val="center"/>
          </w:tcPr>
          <w:p w14:paraId="7517D3F0">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rPr>
              <w:t>标高</w:t>
            </w:r>
          </w:p>
        </w:tc>
        <w:tc>
          <w:tcPr>
            <w:tcW w:w="4581" w:type="pct"/>
            <w:gridSpan w:val="5"/>
            <w:noWrap w:val="0"/>
            <w:vAlign w:val="center"/>
          </w:tcPr>
          <w:p w14:paraId="6DED558A">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color w:val="auto"/>
                <w:kern w:val="0"/>
                <w:sz w:val="21"/>
                <w:szCs w:val="24"/>
              </w:rPr>
            </w:pPr>
            <w:r>
              <w:rPr>
                <w:rFonts w:hint="default" w:ascii="Times New Roman" w:hAnsi="Times New Roman" w:eastAsia="宋体" w:cs="Times New Roman"/>
                <w:color w:val="auto"/>
                <w:kern w:val="0"/>
                <w:sz w:val="21"/>
                <w:szCs w:val="24"/>
                <w:lang w:val="en-US" w:eastAsia="zh-CN"/>
              </w:rPr>
              <w:t>690</w:t>
            </w:r>
            <w:r>
              <w:rPr>
                <w:rFonts w:hint="default" w:ascii="Times New Roman" w:hAnsi="Times New Roman" w:eastAsia="宋体" w:cs="Times New Roman"/>
                <w:color w:val="auto"/>
                <w:kern w:val="0"/>
                <w:sz w:val="21"/>
                <w:szCs w:val="24"/>
              </w:rPr>
              <w:t>m-</w:t>
            </w:r>
            <w:r>
              <w:rPr>
                <w:rFonts w:hint="default" w:ascii="Times New Roman" w:hAnsi="Times New Roman" w:eastAsia="宋体" w:cs="Times New Roman"/>
                <w:color w:val="auto"/>
                <w:kern w:val="0"/>
                <w:sz w:val="21"/>
                <w:szCs w:val="24"/>
                <w:lang w:val="en-US" w:eastAsia="zh-CN"/>
              </w:rPr>
              <w:t>38</w:t>
            </w:r>
            <w:r>
              <w:rPr>
                <w:rFonts w:hint="default" w:ascii="Times New Roman" w:hAnsi="Times New Roman" w:eastAsia="宋体" w:cs="Times New Roman"/>
                <w:color w:val="auto"/>
                <w:kern w:val="0"/>
                <w:sz w:val="21"/>
                <w:szCs w:val="24"/>
              </w:rPr>
              <w:t>0m</w:t>
            </w:r>
          </w:p>
        </w:tc>
      </w:tr>
    </w:tbl>
    <w:p w14:paraId="7AE858BC">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矿山名称:中天合创能源有限责任公司葫芦素煤矿</w:t>
      </w:r>
    </w:p>
    <w:p w14:paraId="26653419">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采矿权人:中天合创能源有限责任公司</w:t>
      </w:r>
    </w:p>
    <w:p w14:paraId="019B7F8C">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许可证号:C1000002019081120148582</w:t>
      </w:r>
    </w:p>
    <w:p w14:paraId="0F206EF0">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经济类型：有限责任公司</w:t>
      </w:r>
    </w:p>
    <w:p w14:paraId="6C959CE1">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矿区面积：</w:t>
      </w:r>
      <w:r>
        <w:rPr>
          <w:rFonts w:hint="default" w:ascii="Times New Roman" w:hAnsi="Times New Roman" w:eastAsia="方正仿宋简体" w:cs="Times New Roman"/>
          <w:sz w:val="30"/>
          <w:szCs w:val="30"/>
          <w:lang w:val="en-US" w:eastAsia="zh-CN"/>
        </w:rPr>
        <w:t>92.7629</w:t>
      </w:r>
      <w:r>
        <w:rPr>
          <w:rFonts w:hint="default" w:ascii="Times New Roman" w:hAnsi="Times New Roman" w:eastAsia="方正仿宋简体" w:cs="Times New Roman"/>
          <w:sz w:val="30"/>
          <w:szCs w:val="30"/>
        </w:rPr>
        <w:t>km</w:t>
      </w:r>
      <w:r>
        <w:rPr>
          <w:rFonts w:hint="default" w:ascii="Times New Roman" w:hAnsi="Times New Roman" w:eastAsia="方正仿宋简体" w:cs="Times New Roman"/>
          <w:sz w:val="30"/>
          <w:szCs w:val="30"/>
          <w:vertAlign w:val="superscript"/>
        </w:rPr>
        <w:t>2</w:t>
      </w:r>
    </w:p>
    <w:p w14:paraId="46961F70">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开采方式：井工开采</w:t>
      </w:r>
    </w:p>
    <w:p w14:paraId="330D5470">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开采矿种：煤矿</w:t>
      </w:r>
    </w:p>
    <w:p w14:paraId="0F3B7B00">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生产规模：</w:t>
      </w:r>
      <w:r>
        <w:rPr>
          <w:rFonts w:hint="default" w:ascii="Times New Roman" w:hAnsi="Times New Roman" w:eastAsia="方正仿宋简体" w:cs="Times New Roman"/>
          <w:sz w:val="30"/>
          <w:szCs w:val="30"/>
          <w:lang w:val="en-US" w:eastAsia="zh-CN"/>
        </w:rPr>
        <w:t>核定生产能力为800万吨/年</w:t>
      </w:r>
    </w:p>
    <w:p w14:paraId="3D6A8FA0">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rPr>
      </w:pPr>
      <w:r>
        <w:rPr>
          <w:rFonts w:hint="default" w:ascii="Times New Roman" w:hAnsi="Times New Roman" w:eastAsia="方正仿宋简体" w:cs="Times New Roman"/>
          <w:sz w:val="30"/>
          <w:szCs w:val="30"/>
        </w:rPr>
        <w:t>开采标高：</w:t>
      </w:r>
      <w:r>
        <w:rPr>
          <w:rFonts w:hint="default" w:ascii="Times New Roman" w:hAnsi="Times New Roman" w:eastAsia="方正仿宋简体" w:cs="Times New Roman"/>
          <w:sz w:val="30"/>
          <w:szCs w:val="30"/>
          <w:lang w:val="en-US" w:eastAsia="zh-CN"/>
        </w:rPr>
        <w:t>690</w:t>
      </w:r>
      <w:r>
        <w:rPr>
          <w:rFonts w:hint="default" w:ascii="Times New Roman" w:hAnsi="Times New Roman" w:eastAsia="方正仿宋简体" w:cs="Times New Roman"/>
          <w:sz w:val="30"/>
          <w:szCs w:val="30"/>
        </w:rPr>
        <w:t>m-</w:t>
      </w:r>
      <w:r>
        <w:rPr>
          <w:rFonts w:hint="default" w:ascii="Times New Roman" w:hAnsi="Times New Roman" w:eastAsia="方正仿宋简体" w:cs="Times New Roman"/>
          <w:sz w:val="30"/>
          <w:szCs w:val="30"/>
          <w:lang w:val="en-US" w:eastAsia="zh-CN"/>
        </w:rPr>
        <w:t>380</w:t>
      </w:r>
      <w:r>
        <w:rPr>
          <w:rFonts w:hint="default" w:ascii="Times New Roman" w:hAnsi="Times New Roman" w:eastAsia="方正仿宋简体" w:cs="Times New Roman"/>
          <w:sz w:val="30"/>
          <w:szCs w:val="30"/>
        </w:rPr>
        <w:t>m</w:t>
      </w:r>
    </w:p>
    <w:p w14:paraId="6620FAC9">
      <w:pPr>
        <w:keepNext w:val="0"/>
        <w:keepLines w:val="0"/>
        <w:pageBreakBefore w:val="0"/>
        <w:kinsoku/>
        <w:wordWrap/>
        <w:overflowPunct/>
        <w:topLinePunct w:val="0"/>
        <w:autoSpaceDE/>
        <w:autoSpaceDN/>
        <w:bidi w:val="0"/>
        <w:spacing w:line="560" w:lineRule="exact"/>
        <w:ind w:firstLine="600" w:firstLineChars="200"/>
        <w:textAlignment w:val="auto"/>
        <w:rPr>
          <w:rFonts w:hint="eastAsia" w:ascii="Times New Roman" w:hAnsi="Times New Roman" w:eastAsia="方正仿宋简体" w:cs="Times New Roman"/>
          <w:sz w:val="30"/>
          <w:szCs w:val="30"/>
          <w:lang w:eastAsia="zh-CN"/>
        </w:rPr>
      </w:pPr>
      <w:r>
        <w:rPr>
          <w:rFonts w:hint="default" w:ascii="Times New Roman" w:hAnsi="Times New Roman" w:eastAsia="方正仿宋简体" w:cs="Times New Roman"/>
          <w:sz w:val="30"/>
          <w:szCs w:val="30"/>
        </w:rPr>
        <w:t>矿山剩余服务年限：</w:t>
      </w:r>
      <w:r>
        <w:rPr>
          <w:rFonts w:hint="eastAsia" w:ascii="Times New Roman" w:hAnsi="Times New Roman" w:eastAsia="方正仿宋简体" w:cs="Times New Roman"/>
          <w:sz w:val="30"/>
          <w:szCs w:val="30"/>
          <w:lang w:eastAsia="zh-CN"/>
        </w:rPr>
        <w:t>截至202</w:t>
      </w:r>
      <w:r>
        <w:rPr>
          <w:rFonts w:hint="eastAsia" w:eastAsia="方正仿宋简体" w:cs="Times New Roman"/>
          <w:sz w:val="30"/>
          <w:szCs w:val="30"/>
          <w:lang w:val="en-US" w:eastAsia="zh-CN"/>
        </w:rPr>
        <w:t>5</w:t>
      </w:r>
      <w:r>
        <w:rPr>
          <w:rFonts w:hint="eastAsia" w:ascii="Times New Roman" w:hAnsi="Times New Roman" w:eastAsia="方正仿宋简体" w:cs="Times New Roman"/>
          <w:sz w:val="30"/>
          <w:szCs w:val="30"/>
          <w:lang w:eastAsia="zh-CN"/>
        </w:rPr>
        <w:t>年12月31日，剩余服务年限为1</w:t>
      </w:r>
      <w:r>
        <w:rPr>
          <w:rFonts w:hint="eastAsia" w:eastAsia="方正仿宋简体" w:cs="Times New Roman"/>
          <w:sz w:val="30"/>
          <w:szCs w:val="30"/>
          <w:lang w:val="en-US" w:eastAsia="zh-CN"/>
        </w:rPr>
        <w:t>39</w:t>
      </w:r>
      <w:r>
        <w:rPr>
          <w:rFonts w:hint="eastAsia" w:ascii="Times New Roman" w:hAnsi="Times New Roman" w:eastAsia="方正仿宋简体" w:cs="Times New Roman"/>
          <w:sz w:val="30"/>
          <w:szCs w:val="30"/>
          <w:lang w:eastAsia="zh-CN"/>
        </w:rPr>
        <w:t>.</w:t>
      </w:r>
      <w:r>
        <w:rPr>
          <w:rFonts w:hint="eastAsia" w:ascii="Times New Roman" w:hAnsi="Times New Roman" w:eastAsia="方正仿宋简体" w:cs="Times New Roman"/>
          <w:sz w:val="30"/>
          <w:szCs w:val="30"/>
          <w:lang w:val="en-US" w:eastAsia="zh-CN"/>
        </w:rPr>
        <w:t>2</w:t>
      </w:r>
      <w:r>
        <w:rPr>
          <w:rFonts w:hint="eastAsia" w:ascii="Times New Roman" w:hAnsi="Times New Roman" w:eastAsia="方正仿宋简体" w:cs="Times New Roman"/>
          <w:sz w:val="30"/>
          <w:szCs w:val="30"/>
          <w:lang w:eastAsia="zh-CN"/>
        </w:rPr>
        <w:t>年。</w:t>
      </w:r>
    </w:p>
    <w:p w14:paraId="69E226F9">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color w:val="auto"/>
          <w:sz w:val="30"/>
          <w:szCs w:val="30"/>
          <w:highlight w:val="none"/>
          <w:lang w:val="en-US" w:eastAsia="zh-CN"/>
        </w:rPr>
      </w:pPr>
      <w:bookmarkStart w:id="12" w:name="_Toc12825"/>
      <w:r>
        <w:rPr>
          <w:rFonts w:hint="eastAsia" w:ascii="Times New Roman" w:hAnsi="Times New Roman" w:eastAsia="楷体" w:cs="Times New Roman"/>
          <w:color w:val="auto"/>
          <w:sz w:val="30"/>
          <w:szCs w:val="30"/>
          <w:highlight w:val="none"/>
          <w:lang w:val="en-US" w:eastAsia="zh-CN"/>
        </w:rPr>
        <w:t xml:space="preserve">第三节 </w:t>
      </w:r>
      <w:r>
        <w:rPr>
          <w:rFonts w:hint="default" w:ascii="Times New Roman" w:hAnsi="Times New Roman" w:eastAsia="楷体" w:cs="Times New Roman"/>
          <w:color w:val="auto"/>
          <w:sz w:val="30"/>
          <w:szCs w:val="30"/>
          <w:highlight w:val="none"/>
          <w:lang w:val="en-US" w:eastAsia="zh-CN"/>
        </w:rPr>
        <w:t>《矿山地质环境保护与土地复垦方案》适用情况</w:t>
      </w:r>
      <w:bookmarkEnd w:id="12"/>
    </w:p>
    <w:p w14:paraId="45D3AC37">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根据</w:t>
      </w:r>
      <w:r>
        <w:rPr>
          <w:rFonts w:hint="default" w:ascii="Times New Roman" w:hAnsi="Times New Roman" w:eastAsia="方正仿宋简体" w:cs="Times New Roman"/>
          <w:sz w:val="30"/>
          <w:szCs w:val="30"/>
          <w:lang w:eastAsia="zh-CN"/>
        </w:rPr>
        <w:t>202</w:t>
      </w:r>
      <w:r>
        <w:rPr>
          <w:rFonts w:hint="default" w:ascii="Times New Roman" w:hAnsi="Times New Roman" w:eastAsia="方正仿宋简体" w:cs="Times New Roman"/>
          <w:sz w:val="30"/>
          <w:szCs w:val="30"/>
          <w:lang w:val="en-US" w:eastAsia="zh-CN"/>
        </w:rPr>
        <w:t>1</w:t>
      </w:r>
      <w:r>
        <w:rPr>
          <w:rFonts w:hint="default" w:ascii="Times New Roman" w:hAnsi="Times New Roman" w:eastAsia="方正仿宋简体" w:cs="Times New Roman"/>
          <w:sz w:val="30"/>
          <w:szCs w:val="30"/>
          <w:lang w:eastAsia="zh-CN"/>
        </w:rPr>
        <w:t>年</w:t>
      </w:r>
      <w:r>
        <w:rPr>
          <w:rFonts w:hint="default" w:ascii="Times New Roman" w:hAnsi="Times New Roman" w:eastAsia="方正仿宋简体" w:cs="Times New Roman"/>
          <w:sz w:val="30"/>
          <w:szCs w:val="30"/>
          <w:lang w:val="en-US" w:eastAsia="zh-CN"/>
        </w:rPr>
        <w:t>4</w:t>
      </w:r>
      <w:r>
        <w:rPr>
          <w:rFonts w:hint="default" w:ascii="Times New Roman" w:hAnsi="Times New Roman" w:eastAsia="方正仿宋简体" w:cs="Times New Roman"/>
          <w:sz w:val="30"/>
          <w:szCs w:val="30"/>
          <w:lang w:eastAsia="zh-CN"/>
        </w:rPr>
        <w:t>月，内蒙古苏禾工程勘察设计有限公司编制</w:t>
      </w:r>
      <w:r>
        <w:rPr>
          <w:rFonts w:hint="default" w:ascii="Times New Roman" w:hAnsi="Times New Roman" w:eastAsia="方正仿宋简体" w:cs="Times New Roman"/>
          <w:sz w:val="30"/>
          <w:szCs w:val="30"/>
          <w:lang w:val="en-US" w:eastAsia="zh-CN"/>
        </w:rPr>
        <w:t>的</w:t>
      </w:r>
      <w:r>
        <w:rPr>
          <w:rFonts w:hint="default" w:ascii="Times New Roman" w:hAnsi="Times New Roman" w:eastAsia="方正仿宋简体" w:cs="Times New Roman"/>
          <w:sz w:val="30"/>
          <w:szCs w:val="30"/>
          <w:lang w:eastAsia="zh-CN"/>
        </w:rPr>
        <w:t>《中天合创能源有限责任公司</w:t>
      </w:r>
      <w:r>
        <w:rPr>
          <w:rFonts w:hint="eastAsia" w:ascii="Times New Roman" w:hAnsi="Times New Roman" w:eastAsia="方正仿宋简体" w:cs="Times New Roman"/>
          <w:sz w:val="30"/>
          <w:szCs w:val="30"/>
          <w:lang w:val="en-US" w:eastAsia="zh-CN"/>
        </w:rPr>
        <w:t>葫芦素</w:t>
      </w:r>
      <w:r>
        <w:rPr>
          <w:rFonts w:hint="default" w:ascii="Times New Roman" w:hAnsi="Times New Roman" w:eastAsia="方正仿宋简体" w:cs="Times New Roman"/>
          <w:sz w:val="30"/>
          <w:szCs w:val="30"/>
          <w:lang w:eastAsia="zh-CN"/>
        </w:rPr>
        <w:t>煤矿矿山地质环境保护与土地复垦方案》（</w:t>
      </w:r>
      <w:r>
        <w:rPr>
          <w:rFonts w:hint="default" w:ascii="Times New Roman" w:hAnsi="Times New Roman" w:eastAsia="方正仿宋简体" w:cs="Times New Roman"/>
          <w:sz w:val="30"/>
          <w:szCs w:val="30"/>
          <w:lang w:val="en-US" w:eastAsia="zh-CN"/>
        </w:rPr>
        <w:t>以下简称“《方案》”</w:t>
      </w:r>
      <w:r>
        <w:rPr>
          <w:rFonts w:hint="default" w:ascii="Times New Roman" w:hAnsi="Times New Roman" w:eastAsia="方正仿宋简体" w:cs="Times New Roman"/>
          <w:sz w:val="30"/>
          <w:szCs w:val="30"/>
          <w:lang w:eastAsia="zh-CN"/>
        </w:rPr>
        <w:t>），确定</w:t>
      </w:r>
      <w:r>
        <w:rPr>
          <w:rFonts w:hint="default" w:ascii="Times New Roman" w:hAnsi="Times New Roman" w:eastAsia="方正仿宋简体" w:cs="Times New Roman"/>
          <w:sz w:val="30"/>
          <w:szCs w:val="30"/>
          <w:lang w:val="en-US" w:eastAsia="zh-CN"/>
        </w:rPr>
        <w:t>《方案》</w:t>
      </w:r>
      <w:r>
        <w:rPr>
          <w:rFonts w:hint="default" w:ascii="Times New Roman" w:hAnsi="Times New Roman" w:eastAsia="方正仿宋简体" w:cs="Times New Roman"/>
          <w:sz w:val="30"/>
          <w:szCs w:val="30"/>
          <w:lang w:eastAsia="zh-CN"/>
        </w:rPr>
        <w:t>服务年限为24年，即：2021年05月～2045年04月。</w:t>
      </w:r>
      <w:r>
        <w:rPr>
          <w:rFonts w:hint="default" w:ascii="Times New Roman" w:hAnsi="Times New Roman" w:eastAsia="方正仿宋简体" w:cs="Times New Roman"/>
          <w:sz w:val="30"/>
          <w:szCs w:val="30"/>
          <w:lang w:val="en-US" w:eastAsia="zh-CN"/>
        </w:rPr>
        <w:t>《方案》</w:t>
      </w:r>
      <w:r>
        <w:rPr>
          <w:rFonts w:hint="default" w:ascii="Times New Roman" w:hAnsi="Times New Roman" w:eastAsia="方正仿宋简体" w:cs="Times New Roman"/>
          <w:sz w:val="30"/>
          <w:szCs w:val="30"/>
          <w:lang w:eastAsia="zh-CN"/>
        </w:rPr>
        <w:t>编制基准期为2021年4月，</w:t>
      </w:r>
      <w:r>
        <w:rPr>
          <w:rFonts w:hint="default" w:ascii="Times New Roman" w:hAnsi="Times New Roman" w:eastAsia="方正仿宋简体" w:cs="Times New Roman"/>
          <w:sz w:val="30"/>
          <w:szCs w:val="30"/>
          <w:lang w:val="en-US" w:eastAsia="zh-CN"/>
        </w:rPr>
        <w:t>《方案》</w:t>
      </w:r>
      <w:r>
        <w:rPr>
          <w:rFonts w:hint="default" w:ascii="Times New Roman" w:hAnsi="Times New Roman" w:eastAsia="方正仿宋简体" w:cs="Times New Roman"/>
          <w:sz w:val="30"/>
          <w:szCs w:val="30"/>
          <w:lang w:eastAsia="zh-CN"/>
        </w:rPr>
        <w:t>适用年限为5年，即2021年05月～2026年04月。</w:t>
      </w:r>
      <w:r>
        <w:rPr>
          <w:rFonts w:hint="default" w:ascii="Times New Roman" w:hAnsi="Times New Roman" w:eastAsia="方正仿宋简体" w:cs="Times New Roman"/>
          <w:sz w:val="30"/>
          <w:szCs w:val="30"/>
          <w:lang w:val="en-US" w:eastAsia="zh-CN"/>
        </w:rPr>
        <w:t>根据《关于报送2022年度全区矿山地质环境动态监测数据和编制年度治理计划的通知》（内自然资字[2023]79号）和《鄂尔多斯市矿山地质环境治理恢复基金管理办法(2021年修订版)》，2026年度</w:t>
      </w:r>
      <w:r>
        <w:rPr>
          <w:rFonts w:hint="default" w:ascii="Times New Roman" w:hAnsi="Times New Roman" w:eastAsia="方正仿宋简体" w:cs="Times New Roman"/>
          <w:sz w:val="30"/>
          <w:szCs w:val="30"/>
          <w:lang w:eastAsia="zh-CN"/>
        </w:rPr>
        <w:t>矿山地质环境</w:t>
      </w:r>
      <w:r>
        <w:rPr>
          <w:rFonts w:hint="default" w:ascii="Times New Roman" w:hAnsi="Times New Roman" w:eastAsia="方正仿宋简体" w:cs="Times New Roman"/>
          <w:sz w:val="30"/>
          <w:szCs w:val="30"/>
          <w:lang w:val="en-US" w:eastAsia="zh-CN"/>
        </w:rPr>
        <w:t>治理与土地复垦计划依据《方案》及</w:t>
      </w:r>
      <w:r>
        <w:rPr>
          <w:rFonts w:hint="eastAsia" w:ascii="Times New Roman" w:hAnsi="Times New Roman" w:eastAsia="方正仿宋简体" w:cs="Times New Roman"/>
          <w:sz w:val="30"/>
          <w:szCs w:val="30"/>
          <w:lang w:val="en-US" w:eastAsia="zh-CN"/>
        </w:rPr>
        <w:t>葫芦素</w:t>
      </w:r>
      <w:r>
        <w:rPr>
          <w:rFonts w:hint="default" w:ascii="Times New Roman" w:hAnsi="Times New Roman" w:eastAsia="方正仿宋简体" w:cs="Times New Roman"/>
          <w:sz w:val="30"/>
          <w:szCs w:val="30"/>
          <w:lang w:val="en-US" w:eastAsia="zh-CN"/>
        </w:rPr>
        <w:t>煤矿地质环境实际编制。</w:t>
      </w:r>
    </w:p>
    <w:p w14:paraId="76A8B5BA">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楷体" w:cs="Times New Roman"/>
          <w:color w:val="auto"/>
          <w:sz w:val="30"/>
          <w:szCs w:val="30"/>
          <w:highlight w:val="none"/>
          <w:lang w:val="en-US" w:eastAsia="zh-CN"/>
        </w:rPr>
      </w:pPr>
      <w:r>
        <w:rPr>
          <w:rFonts w:hint="eastAsia" w:ascii="Times New Roman" w:hAnsi="Times New Roman" w:eastAsia="楷体" w:cs="Times New Roman"/>
          <w:color w:val="auto"/>
          <w:sz w:val="30"/>
          <w:szCs w:val="30"/>
          <w:highlight w:val="none"/>
          <w:lang w:val="en-US" w:eastAsia="zh-CN"/>
        </w:rPr>
        <w:t>第四节 地表构筑物单元现状</w:t>
      </w:r>
    </w:p>
    <w:p w14:paraId="7799C88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eastAsia" w:ascii="Times New Roman" w:hAnsi="Times New Roman" w:eastAsia="方正仿宋简体" w:cs="Times New Roman"/>
          <w:sz w:val="30"/>
          <w:szCs w:val="30"/>
          <w:lang w:val="en-US" w:eastAsia="zh-CN"/>
        </w:rPr>
        <w:t>葫芦素</w:t>
      </w:r>
      <w:r>
        <w:rPr>
          <w:rFonts w:hint="default" w:ascii="Times New Roman" w:hAnsi="Times New Roman" w:eastAsia="方正仿宋简体" w:cs="Times New Roman"/>
          <w:sz w:val="30"/>
          <w:szCs w:val="30"/>
          <w:lang w:val="en-US" w:eastAsia="zh-CN"/>
        </w:rPr>
        <w:t>煤矿为生产矿山，</w:t>
      </w:r>
      <w:r>
        <w:rPr>
          <w:rFonts w:hint="eastAsia" w:ascii="Times New Roman" w:hAnsi="Times New Roman" w:eastAsia="方正仿宋简体" w:cs="Times New Roman"/>
          <w:sz w:val="30"/>
          <w:szCs w:val="30"/>
          <w:lang w:val="en-US" w:eastAsia="zh-CN"/>
        </w:rPr>
        <w:t>建矿至今，已形成</w:t>
      </w:r>
      <w:r>
        <w:rPr>
          <w:rFonts w:hint="default" w:ascii="Times New Roman" w:hAnsi="Times New Roman" w:eastAsia="方正仿宋简体" w:cs="Times New Roman"/>
          <w:sz w:val="30"/>
          <w:szCs w:val="30"/>
          <w:lang w:val="en-US" w:eastAsia="zh-CN"/>
        </w:rPr>
        <w:t>完善</w:t>
      </w:r>
      <w:r>
        <w:rPr>
          <w:rFonts w:hint="eastAsia" w:ascii="Times New Roman" w:hAnsi="Times New Roman" w:eastAsia="方正仿宋简体" w:cs="Times New Roman"/>
          <w:sz w:val="30"/>
          <w:szCs w:val="30"/>
          <w:lang w:val="en-US" w:eastAsia="zh-CN"/>
        </w:rPr>
        <w:t>的</w:t>
      </w:r>
      <w:r>
        <w:rPr>
          <w:rFonts w:hint="default" w:ascii="Times New Roman" w:hAnsi="Times New Roman" w:eastAsia="方正仿宋简体" w:cs="Times New Roman"/>
          <w:sz w:val="30"/>
          <w:szCs w:val="30"/>
          <w:lang w:val="en-US" w:eastAsia="zh-CN"/>
        </w:rPr>
        <w:t>基础设施，现状矿区地表已形成工业场地、</w:t>
      </w:r>
      <w:r>
        <w:rPr>
          <w:rFonts w:hint="eastAsia" w:ascii="Times New Roman" w:hAnsi="Times New Roman" w:eastAsia="方正仿宋简体" w:cs="Times New Roman"/>
          <w:sz w:val="30"/>
          <w:szCs w:val="30"/>
          <w:lang w:val="en-US" w:eastAsia="zh-CN"/>
        </w:rPr>
        <w:t>西翼</w:t>
      </w:r>
      <w:r>
        <w:rPr>
          <w:rFonts w:hint="default" w:ascii="Times New Roman" w:hAnsi="Times New Roman" w:eastAsia="方正仿宋简体" w:cs="Times New Roman"/>
          <w:sz w:val="30"/>
          <w:szCs w:val="30"/>
          <w:lang w:val="en-US" w:eastAsia="zh-CN"/>
        </w:rPr>
        <w:t>风井场地、矿区道路、离层注浆站等现状损毁单元，具体</w:t>
      </w:r>
      <w:r>
        <w:rPr>
          <w:rFonts w:hint="eastAsia" w:ascii="Times New Roman" w:hAnsi="Times New Roman" w:eastAsia="方正仿宋简体" w:cs="Times New Roman"/>
          <w:sz w:val="30"/>
          <w:szCs w:val="30"/>
          <w:lang w:val="en-US" w:eastAsia="zh-CN"/>
        </w:rPr>
        <w:t>情况</w:t>
      </w:r>
      <w:r>
        <w:rPr>
          <w:rFonts w:hint="default" w:ascii="Times New Roman" w:hAnsi="Times New Roman" w:eastAsia="方正仿宋简体" w:cs="Times New Roman"/>
          <w:sz w:val="30"/>
          <w:szCs w:val="30"/>
          <w:lang w:val="en-US" w:eastAsia="zh-CN"/>
        </w:rPr>
        <w:t>分述如下：</w:t>
      </w:r>
    </w:p>
    <w:p w14:paraId="2DD2EC4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default" w:ascii="Times New Roman" w:hAnsi="Times New Roman" w:eastAsia="方正仿宋简体" w:cs="Times New Roman"/>
          <w:sz w:val="30"/>
          <w:szCs w:val="30"/>
          <w:lang w:val="en-US" w:eastAsia="zh-CN"/>
        </w:rPr>
        <w:t>1</w:t>
      </w:r>
      <w:r>
        <w:rPr>
          <w:rFonts w:hint="eastAsia" w:ascii="Times New Roman" w:hAnsi="Times New Roman" w:eastAsia="方正仿宋简体" w:cs="Times New Roman"/>
          <w:sz w:val="30"/>
          <w:szCs w:val="30"/>
          <w:lang w:val="en-US" w:eastAsia="zh-CN"/>
        </w:rPr>
        <w:t>、工业场地</w:t>
      </w:r>
    </w:p>
    <w:p w14:paraId="0E0CB6F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工业场地位于矿区北部，占地面积为</w:t>
      </w:r>
      <w:r>
        <w:rPr>
          <w:rFonts w:hint="default" w:ascii="Times New Roman" w:hAnsi="Times New Roman" w:eastAsia="方正仿宋简体" w:cs="Times New Roman"/>
          <w:sz w:val="30"/>
          <w:szCs w:val="30"/>
          <w:lang w:val="en-US" w:eastAsia="zh-CN"/>
        </w:rPr>
        <w:t>38.39hm</w:t>
      </w:r>
      <w:r>
        <w:rPr>
          <w:rFonts w:hint="default" w:ascii="Times New Roman" w:hAnsi="Times New Roman" w:eastAsia="方正仿宋简体" w:cs="Times New Roman"/>
          <w:sz w:val="30"/>
          <w:szCs w:val="30"/>
          <w:vertAlign w:val="superscript"/>
          <w:lang w:val="en-US" w:eastAsia="zh-CN"/>
        </w:rPr>
        <w:t>2</w:t>
      </w:r>
      <w:r>
        <w:rPr>
          <w:rFonts w:hint="eastAsia" w:ascii="Times New Roman" w:hAnsi="Times New Roman" w:eastAsia="方正仿宋简体" w:cs="Times New Roman"/>
          <w:sz w:val="30"/>
          <w:szCs w:val="30"/>
          <w:lang w:val="en-US" w:eastAsia="zh-CN"/>
        </w:rPr>
        <w:t>，场区路面进行了硬化，工业广场绿化率达到</w:t>
      </w:r>
      <w:r>
        <w:rPr>
          <w:rFonts w:hint="default" w:ascii="Times New Roman" w:hAnsi="Times New Roman" w:eastAsia="方正仿宋简体" w:cs="Times New Roman"/>
          <w:sz w:val="30"/>
          <w:szCs w:val="30"/>
          <w:lang w:val="en-US" w:eastAsia="zh-CN"/>
        </w:rPr>
        <w:t>43%</w:t>
      </w:r>
      <w:r>
        <w:rPr>
          <w:rFonts w:hint="eastAsia" w:ascii="Times New Roman" w:hAnsi="Times New Roman" w:eastAsia="方正仿宋简体" w:cs="Times New Roman"/>
          <w:sz w:val="30"/>
          <w:szCs w:val="30"/>
          <w:lang w:val="en-US" w:eastAsia="zh-CN"/>
        </w:rPr>
        <w:t>。根据建（构）筑物的功能不同，工业场地大致分为生产区（包括选煤厂和储煤仓）、辅助生产区、风井区、铁路站场区、行政公共区等等。</w:t>
      </w:r>
    </w:p>
    <w:p w14:paraId="2FC0FFA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现分述如下：</w:t>
      </w:r>
    </w:p>
    <w:p w14:paraId="22B5C00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sz w:val="30"/>
          <w:szCs w:val="30"/>
          <w:lang w:val="en-US" w:eastAsia="zh-CN"/>
        </w:rPr>
      </w:pPr>
      <w:r>
        <w:rPr>
          <w:rFonts w:hint="eastAsia" w:ascii="Times New Roman" w:hAnsi="Times New Roman" w:eastAsia="方正仿宋简体" w:cs="Times New Roman"/>
          <w:sz w:val="30"/>
          <w:szCs w:val="30"/>
          <w:lang w:val="en-US" w:eastAsia="zh-CN"/>
        </w:rPr>
        <w:t>①生产区（包括选煤厂）</w:t>
      </w:r>
    </w:p>
    <w:p w14:paraId="6EB363E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位于工业场地中部及西北部，主要由主井井口房及选煤厂生产系统组成。原煤由井下经主井运至地面后，经带式输送机栈桥向北进入原煤仓储存，仓内原煤可经</w:t>
      </w:r>
      <w:r>
        <w:rPr>
          <w:rFonts w:hint="default" w:ascii="Times New Roman" w:hAnsi="Times New Roman" w:eastAsia="方正仿宋简体" w:cs="Times New Roman"/>
          <w:sz w:val="30"/>
          <w:szCs w:val="30"/>
          <w:lang w:val="en-US" w:eastAsia="zh-CN"/>
        </w:rPr>
        <w:t>1</w:t>
      </w:r>
      <w:r>
        <w:rPr>
          <w:rFonts w:hint="eastAsia" w:ascii="Times New Roman" w:hAnsi="Times New Roman" w:eastAsia="方正仿宋简体" w:cs="Times New Roman"/>
          <w:sz w:val="30"/>
          <w:szCs w:val="30"/>
          <w:lang w:val="en-US" w:eastAsia="zh-CN"/>
        </w:rPr>
        <w:t>号转载点向西进入大块煤破碎车间处理后，再向南入选煤厂主厂房洗选；洗后块煤及末煤向西分别入块煤仓、末煤仓储存，并可通过</w:t>
      </w:r>
      <w:r>
        <w:rPr>
          <w:rFonts w:hint="default" w:ascii="Times New Roman" w:hAnsi="Times New Roman" w:eastAsia="方正仿宋简体" w:cs="Times New Roman"/>
          <w:sz w:val="30"/>
          <w:szCs w:val="30"/>
          <w:lang w:val="en-US" w:eastAsia="zh-CN"/>
        </w:rPr>
        <w:t>3</w:t>
      </w:r>
      <w:r>
        <w:rPr>
          <w:rFonts w:hint="eastAsia" w:ascii="Times New Roman" w:hAnsi="Times New Roman" w:eastAsia="方正仿宋简体" w:cs="Times New Roman"/>
          <w:sz w:val="30"/>
          <w:szCs w:val="30"/>
          <w:lang w:val="en-US" w:eastAsia="zh-CN"/>
        </w:rPr>
        <w:t>号转载点，由带式输送机栈桥向西再向北运入煤化工园区。</w:t>
      </w:r>
    </w:p>
    <w:p w14:paraId="3536180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主厂房东侧布置有浓缩车间、西北侧布置有介质库、西南侧布置有选煤厂电气化验楼。主厂房西侧设有矸石仓，矸石入仓后装汽车向西运往矿井排矸场。</w:t>
      </w:r>
    </w:p>
    <w:p w14:paraId="4314EC3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 xml:space="preserve">②辅助生产区 </w:t>
      </w:r>
    </w:p>
    <w:p w14:paraId="52CEF73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位于工业场地东部，布置有副井、副井井口房、联合建筑（含任务交待室、更衣室、浴室及矿灯房）、空气加热室、机修车间及综机库、胶轮车库、器材库、材料棚、胶轮车加油站、危废库、消防材料库、木材加工房等建筑；本区设有支护材料堆放场地；机修区还设有供设备周转之用的露天作业场地和堆放场地并配有门式起重机，满足材料、设备装卸及堆放要求。</w:t>
      </w:r>
    </w:p>
    <w:p w14:paraId="49FE37B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副井井口房东侧，设有液压支架周转场地，并配有门式起重机，设有地面窄轨连通井口房，满足液压支架装卸及堆放要求。</w:t>
      </w:r>
    </w:p>
    <w:p w14:paraId="0F43C91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联合建筑布置在副井井口房西侧，并有人行走廊与之相连，人员上下井方便。</w:t>
      </w:r>
    </w:p>
    <w:p w14:paraId="42DE1FC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消防材料库布置在副井井口附近，保证生产正常安全进行。</w:t>
      </w:r>
    </w:p>
    <w:p w14:paraId="445A7AD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③风井区</w:t>
      </w:r>
    </w:p>
    <w:p w14:paraId="14C224F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风井区位于工业场地东部中间部位，布置有风井、通风机房、井下安全出口、配电室及防火灌浆站等设施</w:t>
      </w:r>
    </w:p>
    <w:p w14:paraId="45284D9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eastAsia="方正仿宋简体" w:cs="Times New Roman"/>
          <w:sz w:val="30"/>
          <w:szCs w:val="30"/>
          <w:lang w:val="en-US" w:eastAsia="zh-CN"/>
        </w:rPr>
        <w:t>④</w:t>
      </w:r>
      <w:r>
        <w:rPr>
          <w:rFonts w:hint="eastAsia" w:ascii="Times New Roman" w:hAnsi="Times New Roman" w:eastAsia="方正仿宋简体" w:cs="Times New Roman"/>
          <w:sz w:val="30"/>
          <w:szCs w:val="30"/>
          <w:lang w:val="en-US" w:eastAsia="zh-CN"/>
        </w:rPr>
        <w:t>行政公共区</w:t>
      </w:r>
    </w:p>
    <w:p w14:paraId="61EAB84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位于工业场地西南部，其北侧邻近生产区，东侧邻近辅助生产区；本区内布置有矿办公楼、职工食堂、宿舍楼（5栋）、培训中心、探亲楼、职工体育活动场地及中心花园等建（构）筑物；本区功能分区明确，中心花园广场位于本区中央，环境优美，景观宜人。</w:t>
      </w:r>
    </w:p>
    <w:p w14:paraId="74C76B1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eastAsia="方正仿宋简体" w:cs="Times New Roman"/>
          <w:sz w:val="30"/>
          <w:szCs w:val="30"/>
          <w:lang w:val="en-US" w:eastAsia="zh-CN"/>
        </w:rPr>
        <w:t>⑤</w:t>
      </w:r>
      <w:r>
        <w:rPr>
          <w:rFonts w:hint="eastAsia" w:ascii="Times New Roman" w:hAnsi="Times New Roman" w:eastAsia="方正仿宋简体" w:cs="Times New Roman"/>
          <w:sz w:val="30"/>
          <w:szCs w:val="30"/>
          <w:lang w:val="en-US" w:eastAsia="zh-CN"/>
        </w:rPr>
        <w:t>其它设施</w:t>
      </w:r>
    </w:p>
    <w:p w14:paraId="2B8CB21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矿井</w:t>
      </w:r>
      <w:r>
        <w:rPr>
          <w:rFonts w:hint="default" w:ascii="Times New Roman" w:hAnsi="Times New Roman" w:eastAsia="方正仿宋简体" w:cs="Times New Roman"/>
          <w:sz w:val="30"/>
          <w:szCs w:val="30"/>
          <w:lang w:val="en-US" w:eastAsia="zh-CN"/>
        </w:rPr>
        <w:t>110kV</w:t>
      </w:r>
      <w:r>
        <w:rPr>
          <w:rFonts w:hint="eastAsia" w:ascii="Times New Roman" w:hAnsi="Times New Roman" w:eastAsia="方正仿宋简体" w:cs="Times New Roman"/>
          <w:sz w:val="30"/>
          <w:szCs w:val="30"/>
          <w:lang w:val="en-US" w:eastAsia="zh-CN"/>
        </w:rPr>
        <w:t>变电站位于矿井工业场地东南部，进出方便</w:t>
      </w:r>
      <w:r>
        <w:rPr>
          <w:rFonts w:hint="eastAsia" w:eastAsia="方正仿宋简体" w:cs="Times New Roman"/>
          <w:sz w:val="30"/>
          <w:szCs w:val="30"/>
          <w:lang w:val="en-US" w:eastAsia="zh-CN"/>
        </w:rPr>
        <w:t>。</w:t>
      </w:r>
    </w:p>
    <w:p w14:paraId="4D117F7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热交换站布置于工业场地中部西北侧，便于接收煤制烯烃化工园区自备电厂热源，且靠近场地负荷中心。</w:t>
      </w:r>
    </w:p>
    <w:p w14:paraId="5CC3C39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压缩空气站布置于场地中部，主井井口房的东北侧。</w:t>
      </w:r>
    </w:p>
    <w:p w14:paraId="1B84B14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给水设施区布置在工业场地西北部，装车站南侧。</w:t>
      </w:r>
    </w:p>
    <w:p w14:paraId="10692BF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井下水处理站布置在原煤仓西侧。</w:t>
      </w:r>
    </w:p>
    <w:p w14:paraId="55B3A76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 xml:space="preserve">生活污水处理站布置在工业场地的北部，矸石仓北侧，地势低。 </w:t>
      </w:r>
    </w:p>
    <w:p w14:paraId="06688A2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救护队布置在探亲楼北侧。</w:t>
      </w:r>
    </w:p>
    <w:p w14:paraId="1B26F9C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eastAsia="zh-CN"/>
        </w:rPr>
      </w:pPr>
      <w:r>
        <w:rPr>
          <w:rFonts w:hint="eastAsia" w:ascii="Times New Roman" w:hAnsi="Times New Roman" w:eastAsia="方正仿宋简体" w:cs="Times New Roman"/>
          <w:sz w:val="30"/>
          <w:szCs w:val="30"/>
          <w:lang w:val="en-US" w:eastAsia="zh-CN"/>
        </w:rPr>
        <w:t>矿山工业场地共设有三个出入口：位于工业场地东南部及西部的两个物流大门，分别紧接进场公路及排矸公路，便于物流出入，满足生产运行要求；位于工业场地南部的人流大门，紧接进场公路，靠近行政公共区。</w:t>
      </w:r>
    </w:p>
    <w:p w14:paraId="20B2C32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2</w:t>
      </w:r>
      <w:r>
        <w:rPr>
          <w:rFonts w:hint="eastAsia" w:ascii="Times New Roman" w:hAnsi="Times New Roman" w:eastAsia="方正仿宋简体" w:cs="Times New Roman"/>
          <w:sz w:val="30"/>
          <w:szCs w:val="30"/>
          <w:lang w:val="en-US" w:eastAsia="zh-CN"/>
        </w:rPr>
        <w:t>、西翼风井场地</w:t>
      </w:r>
    </w:p>
    <w:p w14:paraId="1B81BC1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sz w:val="30"/>
          <w:szCs w:val="30"/>
          <w:lang w:val="en-US" w:eastAsia="zh-CN"/>
        </w:rPr>
      </w:pPr>
      <w:r>
        <w:rPr>
          <w:rFonts w:hint="eastAsia" w:ascii="Times New Roman" w:hAnsi="Times New Roman" w:eastAsia="方正仿宋简体" w:cs="Times New Roman"/>
          <w:sz w:val="30"/>
          <w:szCs w:val="30"/>
          <w:lang w:val="en-US" w:eastAsia="zh-CN"/>
        </w:rPr>
        <w:t>西翼风井场地占地面积</w:t>
      </w:r>
      <w:r>
        <w:rPr>
          <w:rFonts w:hint="default" w:ascii="Times New Roman" w:hAnsi="Times New Roman" w:eastAsia="方正仿宋简体" w:cs="Times New Roman"/>
          <w:sz w:val="30"/>
          <w:szCs w:val="30"/>
          <w:lang w:val="en-US" w:eastAsia="zh-CN"/>
        </w:rPr>
        <w:t>1.13hm</w:t>
      </w:r>
      <w:r>
        <w:rPr>
          <w:rFonts w:hint="default" w:ascii="Times New Roman" w:hAnsi="Times New Roman" w:eastAsia="方正仿宋简体" w:cs="Times New Roman"/>
          <w:sz w:val="30"/>
          <w:szCs w:val="30"/>
          <w:vertAlign w:val="superscript"/>
          <w:lang w:val="en-US" w:eastAsia="zh-CN"/>
        </w:rPr>
        <w:t>2</w:t>
      </w:r>
      <w:r>
        <w:rPr>
          <w:rFonts w:hint="eastAsia" w:ascii="Times New Roman" w:hAnsi="Times New Roman" w:eastAsia="方正仿宋简体" w:cs="Times New Roman"/>
          <w:sz w:val="30"/>
          <w:szCs w:val="30"/>
          <w:lang w:val="en-US" w:eastAsia="zh-CN"/>
        </w:rPr>
        <w:t>，场地内布置有风井、通风机房、井下安全出口、配电室等及防火灌浆站。</w:t>
      </w:r>
    </w:p>
    <w:p w14:paraId="0A845B5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3</w:t>
      </w:r>
      <w:r>
        <w:rPr>
          <w:rFonts w:hint="eastAsia" w:ascii="Times New Roman" w:hAnsi="Times New Roman" w:eastAsia="方正仿宋简体" w:cs="Times New Roman"/>
          <w:sz w:val="30"/>
          <w:szCs w:val="30"/>
          <w:lang w:val="en-US" w:eastAsia="zh-CN"/>
        </w:rPr>
        <w:t>、矿区道路</w:t>
      </w:r>
    </w:p>
    <w:p w14:paraId="168289C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sz w:val="30"/>
          <w:szCs w:val="30"/>
          <w:lang w:val="en-US" w:eastAsia="zh-CN"/>
        </w:rPr>
      </w:pPr>
      <w:r>
        <w:rPr>
          <w:rFonts w:hint="eastAsia" w:ascii="Times New Roman" w:hAnsi="Times New Roman" w:eastAsia="方正仿宋简体" w:cs="Times New Roman"/>
          <w:sz w:val="30"/>
          <w:szCs w:val="30"/>
          <w:lang w:val="en-US" w:eastAsia="zh-CN"/>
        </w:rPr>
        <w:t>矿区道路主要为进场道路及运矸道路。进场道路路线起自联合工业场地南侧中部大门处，向东平行于场地围墙布线，走行一段距离后折向东北，至路线终点与</w:t>
      </w:r>
      <w:r>
        <w:rPr>
          <w:rFonts w:hint="default" w:ascii="Times New Roman" w:hAnsi="Times New Roman" w:eastAsia="方正仿宋简体" w:cs="Times New Roman"/>
          <w:sz w:val="30"/>
          <w:szCs w:val="30"/>
          <w:lang w:val="en-US" w:eastAsia="zh-CN"/>
        </w:rPr>
        <w:t>S313</w:t>
      </w:r>
      <w:r>
        <w:rPr>
          <w:rFonts w:hint="eastAsia" w:ascii="Times New Roman" w:hAnsi="Times New Roman" w:eastAsia="方正仿宋简体" w:cs="Times New Roman"/>
          <w:sz w:val="30"/>
          <w:szCs w:val="30"/>
          <w:lang w:val="en-US" w:eastAsia="zh-CN"/>
        </w:rPr>
        <w:t>（兰家梁至嘎鲁图段）相接，路线全长</w:t>
      </w:r>
      <w:r>
        <w:rPr>
          <w:rFonts w:hint="default" w:ascii="Times New Roman" w:hAnsi="Times New Roman" w:eastAsia="方正仿宋简体" w:cs="Times New Roman"/>
          <w:sz w:val="30"/>
          <w:szCs w:val="30"/>
          <w:lang w:val="en-US" w:eastAsia="zh-CN"/>
        </w:rPr>
        <w:t>3.12km</w:t>
      </w:r>
      <w:r>
        <w:rPr>
          <w:rFonts w:hint="eastAsia" w:ascii="Times New Roman" w:hAnsi="Times New Roman" w:eastAsia="方正仿宋简体" w:cs="Times New Roman"/>
          <w:sz w:val="30"/>
          <w:szCs w:val="30"/>
          <w:lang w:val="en-US" w:eastAsia="zh-CN"/>
        </w:rPr>
        <w:t>。进场公路是矿井对外联系的主要通道，该路按一级公路标准设计，路基宽</w:t>
      </w:r>
      <w:r>
        <w:rPr>
          <w:rFonts w:hint="default" w:ascii="Times New Roman" w:hAnsi="Times New Roman" w:eastAsia="方正仿宋简体" w:cs="Times New Roman"/>
          <w:sz w:val="30"/>
          <w:szCs w:val="30"/>
          <w:lang w:val="en-US" w:eastAsia="zh-CN"/>
        </w:rPr>
        <w:t>29.0m</w:t>
      </w:r>
      <w:r>
        <w:rPr>
          <w:rFonts w:hint="eastAsia" w:ascii="Times New Roman" w:hAnsi="Times New Roman" w:eastAsia="方正仿宋简体" w:cs="Times New Roman"/>
          <w:sz w:val="30"/>
          <w:szCs w:val="30"/>
          <w:lang w:val="en-US" w:eastAsia="zh-CN"/>
        </w:rPr>
        <w:t>，中央分隔带宽</w:t>
      </w:r>
      <w:r>
        <w:rPr>
          <w:rFonts w:hint="default" w:ascii="Times New Roman" w:hAnsi="Times New Roman" w:eastAsia="方正仿宋简体" w:cs="Times New Roman"/>
          <w:sz w:val="30"/>
          <w:szCs w:val="30"/>
          <w:lang w:val="en-US" w:eastAsia="zh-CN"/>
        </w:rPr>
        <w:t>2.0m</w:t>
      </w:r>
      <w:r>
        <w:rPr>
          <w:rFonts w:hint="eastAsia" w:ascii="Times New Roman" w:hAnsi="Times New Roman" w:eastAsia="方正仿宋简体" w:cs="Times New Roman"/>
          <w:sz w:val="30"/>
          <w:szCs w:val="30"/>
          <w:lang w:val="en-US" w:eastAsia="zh-CN"/>
        </w:rPr>
        <w:t xml:space="preserve">，路面宽 </w:t>
      </w:r>
      <w:r>
        <w:rPr>
          <w:rFonts w:hint="default" w:ascii="Times New Roman" w:hAnsi="Times New Roman" w:eastAsia="方正仿宋简体" w:cs="Times New Roman"/>
          <w:sz w:val="30"/>
          <w:szCs w:val="30"/>
          <w:lang w:val="en-US" w:eastAsia="zh-CN"/>
        </w:rPr>
        <w:t>2</w:t>
      </w:r>
      <w:r>
        <w:rPr>
          <w:rFonts w:hint="eastAsia" w:ascii="Times New Roman" w:hAnsi="Times New Roman" w:eastAsia="方正仿宋简体" w:cs="Times New Roman"/>
          <w:sz w:val="30"/>
          <w:szCs w:val="30"/>
          <w:lang w:val="en-US" w:eastAsia="zh-CN"/>
        </w:rPr>
        <w:t>×</w:t>
      </w:r>
      <w:r>
        <w:rPr>
          <w:rFonts w:hint="default" w:ascii="Times New Roman" w:hAnsi="Times New Roman" w:eastAsia="方正仿宋简体" w:cs="Times New Roman"/>
          <w:sz w:val="30"/>
          <w:szCs w:val="30"/>
          <w:lang w:val="en-US" w:eastAsia="zh-CN"/>
        </w:rPr>
        <w:t>10.0m</w:t>
      </w:r>
      <w:r>
        <w:rPr>
          <w:rFonts w:hint="eastAsia" w:ascii="Times New Roman" w:hAnsi="Times New Roman" w:eastAsia="方正仿宋简体" w:cs="Times New Roman"/>
          <w:sz w:val="30"/>
          <w:szCs w:val="30"/>
          <w:lang w:val="en-US" w:eastAsia="zh-CN"/>
        </w:rPr>
        <w:t>，人行道宽</w:t>
      </w:r>
      <w:r>
        <w:rPr>
          <w:rFonts w:hint="default" w:ascii="Times New Roman" w:hAnsi="Times New Roman" w:eastAsia="方正仿宋简体" w:cs="Times New Roman"/>
          <w:sz w:val="30"/>
          <w:szCs w:val="30"/>
          <w:lang w:val="en-US" w:eastAsia="zh-CN"/>
        </w:rPr>
        <w:t>2</w:t>
      </w:r>
      <w:r>
        <w:rPr>
          <w:rFonts w:hint="eastAsia" w:ascii="Times New Roman" w:hAnsi="Times New Roman" w:eastAsia="方正仿宋简体" w:cs="Times New Roman"/>
          <w:sz w:val="30"/>
          <w:szCs w:val="30"/>
          <w:lang w:val="en-US" w:eastAsia="zh-CN"/>
        </w:rPr>
        <w:t>×</w:t>
      </w:r>
      <w:r>
        <w:rPr>
          <w:rFonts w:hint="default" w:ascii="Times New Roman" w:hAnsi="Times New Roman" w:eastAsia="方正仿宋简体" w:cs="Times New Roman"/>
          <w:sz w:val="30"/>
          <w:szCs w:val="30"/>
          <w:lang w:val="en-US" w:eastAsia="zh-CN"/>
        </w:rPr>
        <w:t>2.0m</w:t>
      </w:r>
      <w:r>
        <w:rPr>
          <w:rFonts w:hint="eastAsia" w:ascii="Times New Roman" w:hAnsi="Times New Roman" w:eastAsia="方正仿宋简体" w:cs="Times New Roman"/>
          <w:sz w:val="30"/>
          <w:szCs w:val="30"/>
          <w:lang w:val="en-US" w:eastAsia="zh-CN"/>
        </w:rPr>
        <w:t>，土路肩宽</w:t>
      </w:r>
      <w:r>
        <w:rPr>
          <w:rFonts w:hint="default" w:ascii="Times New Roman" w:hAnsi="Times New Roman" w:eastAsia="方正仿宋简体" w:cs="Times New Roman"/>
          <w:sz w:val="30"/>
          <w:szCs w:val="30"/>
          <w:lang w:val="en-US" w:eastAsia="zh-CN"/>
        </w:rPr>
        <w:t>2</w:t>
      </w:r>
      <w:r>
        <w:rPr>
          <w:rFonts w:hint="eastAsia" w:ascii="Times New Roman" w:hAnsi="Times New Roman" w:eastAsia="方正仿宋简体" w:cs="Times New Roman"/>
          <w:sz w:val="30"/>
          <w:szCs w:val="30"/>
          <w:lang w:val="en-US" w:eastAsia="zh-CN"/>
        </w:rPr>
        <w:t>×</w:t>
      </w:r>
      <w:r>
        <w:rPr>
          <w:rFonts w:hint="default" w:ascii="Times New Roman" w:hAnsi="Times New Roman" w:eastAsia="方正仿宋简体" w:cs="Times New Roman"/>
          <w:sz w:val="30"/>
          <w:szCs w:val="30"/>
          <w:lang w:val="en-US" w:eastAsia="zh-CN"/>
        </w:rPr>
        <w:t>1.5m</w:t>
      </w:r>
      <w:r>
        <w:rPr>
          <w:rFonts w:hint="eastAsia" w:ascii="Times New Roman" w:hAnsi="Times New Roman" w:eastAsia="方正仿宋简体" w:cs="Times New Roman"/>
          <w:sz w:val="30"/>
          <w:szCs w:val="30"/>
          <w:lang w:val="en-US" w:eastAsia="zh-CN"/>
        </w:rPr>
        <w:t>。行车道采用沥青混凝土路面，全线用地</w:t>
      </w:r>
      <w:r>
        <w:rPr>
          <w:rFonts w:hint="default" w:ascii="Times New Roman" w:hAnsi="Times New Roman" w:eastAsia="方正仿宋简体" w:cs="Times New Roman"/>
          <w:sz w:val="30"/>
          <w:szCs w:val="30"/>
          <w:lang w:val="en-US" w:eastAsia="zh-CN"/>
        </w:rPr>
        <w:t>9.68hm</w:t>
      </w:r>
      <w:r>
        <w:rPr>
          <w:rFonts w:hint="default" w:ascii="Times New Roman" w:hAnsi="Times New Roman" w:eastAsia="方正仿宋简体" w:cs="Times New Roman"/>
          <w:sz w:val="30"/>
          <w:szCs w:val="30"/>
          <w:vertAlign w:val="superscript"/>
          <w:lang w:val="en-US" w:eastAsia="zh-CN"/>
        </w:rPr>
        <w:t>2</w:t>
      </w:r>
      <w:r>
        <w:rPr>
          <w:rFonts w:hint="eastAsia" w:ascii="Times New Roman" w:hAnsi="Times New Roman" w:eastAsia="方正仿宋简体" w:cs="Times New Roman"/>
          <w:sz w:val="30"/>
          <w:szCs w:val="30"/>
          <w:lang w:val="en-US" w:eastAsia="zh-CN"/>
        </w:rPr>
        <w:t>。</w:t>
      </w:r>
    </w:p>
    <w:p w14:paraId="4B06588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方正仿宋简体" w:cs="Times New Roman"/>
          <w:sz w:val="30"/>
          <w:szCs w:val="30"/>
          <w:lang w:val="en-US" w:eastAsia="zh-CN"/>
        </w:rPr>
        <w:t>排矸公路起点位于矿井工业场地西北角大门，沿工业场地围墙向北，下穿矿井铁路专用线后折向西，接至矸石场东北角，路线全长</w:t>
      </w:r>
      <w:r>
        <w:rPr>
          <w:rFonts w:hint="default" w:ascii="Times New Roman" w:hAnsi="Times New Roman" w:eastAsia="方正仿宋简体" w:cs="Times New Roman"/>
          <w:sz w:val="30"/>
          <w:szCs w:val="30"/>
          <w:lang w:val="en-US" w:eastAsia="zh-CN"/>
        </w:rPr>
        <w:t>1.35km</w:t>
      </w:r>
      <w:r>
        <w:rPr>
          <w:rFonts w:hint="eastAsia" w:ascii="Times New Roman" w:hAnsi="Times New Roman" w:eastAsia="方正仿宋简体" w:cs="Times New Roman"/>
          <w:sz w:val="30"/>
          <w:szCs w:val="30"/>
          <w:lang w:val="en-US" w:eastAsia="zh-CN"/>
        </w:rPr>
        <w:t>；排矸公路继续向西约</w:t>
      </w:r>
      <w:r>
        <w:rPr>
          <w:rFonts w:hint="default" w:ascii="Times New Roman" w:hAnsi="Times New Roman" w:eastAsia="方正仿宋简体" w:cs="Times New Roman"/>
          <w:sz w:val="30"/>
          <w:szCs w:val="30"/>
          <w:lang w:val="en-US" w:eastAsia="zh-CN"/>
        </w:rPr>
        <w:t>0.7km</w:t>
      </w:r>
      <w:r>
        <w:rPr>
          <w:rFonts w:hint="eastAsia" w:ascii="Times New Roman" w:hAnsi="Times New Roman" w:eastAsia="方正仿宋简体" w:cs="Times New Roman"/>
          <w:sz w:val="30"/>
          <w:szCs w:val="30"/>
          <w:lang w:val="en-US" w:eastAsia="zh-CN"/>
        </w:rPr>
        <w:t>，与乡间道路接线，转至西翼风井场地。该路采用场外道路三级标准，路基宽</w:t>
      </w:r>
      <w:r>
        <w:rPr>
          <w:rFonts w:hint="default" w:ascii="Times New Roman" w:hAnsi="Times New Roman" w:eastAsia="方正仿宋简体" w:cs="Times New Roman"/>
          <w:sz w:val="30"/>
          <w:szCs w:val="30"/>
          <w:lang w:val="en-US" w:eastAsia="zh-CN"/>
        </w:rPr>
        <w:t>8.5m</w:t>
      </w:r>
      <w:r>
        <w:rPr>
          <w:rFonts w:hint="eastAsia" w:ascii="Times New Roman" w:hAnsi="Times New Roman" w:eastAsia="方正仿宋简体" w:cs="Times New Roman"/>
          <w:sz w:val="30"/>
          <w:szCs w:val="30"/>
          <w:lang w:val="en-US" w:eastAsia="zh-CN"/>
        </w:rPr>
        <w:t>，路面宽</w:t>
      </w:r>
      <w:r>
        <w:rPr>
          <w:rFonts w:hint="default" w:ascii="Times New Roman" w:hAnsi="Times New Roman" w:eastAsia="方正仿宋简体" w:cs="Times New Roman"/>
          <w:sz w:val="30"/>
          <w:szCs w:val="30"/>
          <w:lang w:val="en-US" w:eastAsia="zh-CN"/>
        </w:rPr>
        <w:t>7.0m</w:t>
      </w:r>
      <w:r>
        <w:rPr>
          <w:rFonts w:hint="eastAsia" w:ascii="Times New Roman" w:hAnsi="Times New Roman" w:eastAsia="方正仿宋简体" w:cs="Times New Roman"/>
          <w:sz w:val="30"/>
          <w:szCs w:val="30"/>
          <w:lang w:val="en-US" w:eastAsia="zh-CN"/>
        </w:rPr>
        <w:t>，路肩宽</w:t>
      </w:r>
      <w:r>
        <w:rPr>
          <w:rFonts w:hint="default" w:ascii="Times New Roman" w:hAnsi="Times New Roman" w:eastAsia="方正仿宋简体" w:cs="Times New Roman"/>
          <w:sz w:val="30"/>
          <w:szCs w:val="30"/>
          <w:lang w:val="en-US" w:eastAsia="zh-CN"/>
        </w:rPr>
        <w:t>2x0.75m</w:t>
      </w:r>
      <w:r>
        <w:rPr>
          <w:rFonts w:hint="eastAsia" w:ascii="Times New Roman" w:hAnsi="Times New Roman" w:eastAsia="方正仿宋简体" w:cs="Times New Roman"/>
          <w:sz w:val="30"/>
          <w:szCs w:val="30"/>
          <w:lang w:val="en-US" w:eastAsia="zh-CN"/>
        </w:rPr>
        <w:t>。沥青混凝土路面，全线用地</w:t>
      </w:r>
      <w:r>
        <w:rPr>
          <w:rFonts w:hint="default" w:ascii="Times New Roman" w:hAnsi="Times New Roman" w:eastAsia="方正仿宋简体" w:cs="Times New Roman"/>
          <w:sz w:val="30"/>
          <w:szCs w:val="30"/>
          <w:lang w:val="en-US" w:eastAsia="zh-CN"/>
        </w:rPr>
        <w:t>3.04hm</w:t>
      </w:r>
      <w:r>
        <w:rPr>
          <w:rFonts w:hint="default" w:ascii="Times New Roman" w:hAnsi="Times New Roman" w:eastAsia="方正仿宋简体" w:cs="Times New Roman"/>
          <w:sz w:val="30"/>
          <w:szCs w:val="30"/>
          <w:vertAlign w:val="superscript"/>
          <w:lang w:val="en-US" w:eastAsia="zh-CN"/>
        </w:rPr>
        <w:t>2</w:t>
      </w:r>
      <w:r>
        <w:rPr>
          <w:rFonts w:hint="eastAsia" w:ascii="Times New Roman" w:hAnsi="Times New Roman" w:eastAsia="方正仿宋简体" w:cs="Times New Roman"/>
          <w:sz w:val="30"/>
          <w:szCs w:val="30"/>
          <w:lang w:val="en-US" w:eastAsia="zh-CN"/>
        </w:rPr>
        <w:t>。</w:t>
      </w:r>
    </w:p>
    <w:p w14:paraId="4A930D05">
      <w:pPr>
        <w:keepNext w:val="0"/>
        <w:keepLines w:val="0"/>
        <w:pageBreakBefore w:val="0"/>
        <w:kinsoku/>
        <w:wordWrap/>
        <w:overflowPunct/>
        <w:topLinePunct w:val="0"/>
        <w:autoSpaceDE/>
        <w:autoSpaceDN/>
        <w:bidi w:val="0"/>
        <w:spacing w:line="560" w:lineRule="exact"/>
        <w:ind w:firstLine="600" w:firstLineChars="200"/>
        <w:textAlignment w:val="auto"/>
        <w:outlineLvl w:val="0"/>
        <w:rPr>
          <w:rFonts w:hint="default" w:ascii="Times New Roman" w:hAnsi="Times New Roman" w:eastAsia="方正仿宋简体" w:cs="Times New Roman"/>
          <w:sz w:val="30"/>
          <w:szCs w:val="30"/>
        </w:rPr>
      </w:pPr>
      <w:bookmarkStart w:id="13" w:name="_Toc30239"/>
      <w:bookmarkStart w:id="14" w:name="_Toc30254"/>
      <w:bookmarkStart w:id="15" w:name="_Toc22617"/>
      <w:r>
        <w:rPr>
          <w:rFonts w:hint="default" w:ascii="Times New Roman" w:hAnsi="Times New Roman" w:eastAsia="黑体" w:cs="Times New Roman"/>
          <w:sz w:val="30"/>
          <w:szCs w:val="30"/>
          <w:lang w:val="en-US" w:eastAsia="zh-CN"/>
        </w:rPr>
        <w:t xml:space="preserve">第二章 </w:t>
      </w:r>
      <w:r>
        <w:rPr>
          <w:rFonts w:hint="default" w:ascii="Times New Roman" w:hAnsi="Times New Roman" w:eastAsia="黑体" w:cs="Times New Roman"/>
          <w:sz w:val="30"/>
          <w:szCs w:val="30"/>
        </w:rPr>
        <w:t>202</w:t>
      </w:r>
      <w:r>
        <w:rPr>
          <w:rFonts w:hint="eastAsia" w:eastAsia="黑体" w:cs="Times New Roman"/>
          <w:sz w:val="30"/>
          <w:szCs w:val="30"/>
          <w:lang w:val="en-US" w:eastAsia="zh-CN"/>
        </w:rPr>
        <w:t>5</w:t>
      </w:r>
      <w:r>
        <w:rPr>
          <w:rFonts w:hint="default" w:ascii="Times New Roman" w:hAnsi="Times New Roman" w:eastAsia="黑体" w:cs="Times New Roman"/>
          <w:sz w:val="30"/>
          <w:szCs w:val="30"/>
        </w:rPr>
        <w:t>年矿山地质环境治理情况</w:t>
      </w:r>
      <w:bookmarkEnd w:id="13"/>
      <w:bookmarkEnd w:id="14"/>
      <w:bookmarkEnd w:id="15"/>
    </w:p>
    <w:p w14:paraId="0E56D943">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sz w:val="30"/>
          <w:szCs w:val="30"/>
          <w:lang w:val="en-US" w:eastAsia="zh-CN"/>
        </w:rPr>
      </w:pPr>
      <w:bookmarkStart w:id="16" w:name="_Toc9442"/>
      <w:bookmarkStart w:id="17" w:name="_Toc26060"/>
      <w:bookmarkStart w:id="18" w:name="_Toc26845"/>
      <w:r>
        <w:rPr>
          <w:rFonts w:hint="default" w:ascii="Times New Roman" w:hAnsi="Times New Roman" w:eastAsia="楷体" w:cs="Times New Roman"/>
          <w:sz w:val="30"/>
          <w:szCs w:val="30"/>
          <w:lang w:val="en-US" w:eastAsia="zh-CN"/>
        </w:rPr>
        <w:t>第一节 以往矿山地质环境治理情况</w:t>
      </w:r>
      <w:bookmarkEnd w:id="16"/>
      <w:bookmarkEnd w:id="17"/>
      <w:bookmarkEnd w:id="18"/>
    </w:p>
    <w:p w14:paraId="030B17DB">
      <w:pPr>
        <w:keepNext w:val="0"/>
        <w:keepLines w:val="0"/>
        <w:pageBreakBefore w:val="0"/>
        <w:widowControl/>
        <w:suppressLineNumbers w:val="0"/>
        <w:kinsoku/>
        <w:wordWrap/>
        <w:overflowPunct/>
        <w:topLinePunct w:val="0"/>
        <w:autoSpaceDE/>
        <w:autoSpaceDN/>
        <w:bidi w:val="0"/>
        <w:spacing w:line="560" w:lineRule="exact"/>
        <w:ind w:firstLine="600" w:firstLineChars="200"/>
        <w:jc w:val="left"/>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葫芦素煤矿</w:t>
      </w:r>
      <w:r>
        <w:rPr>
          <w:rFonts w:hint="eastAsia" w:eastAsia="方正仿宋简体" w:cs="Times New Roman"/>
          <w:sz w:val="30"/>
          <w:szCs w:val="30"/>
          <w:lang w:val="en-US" w:eastAsia="zh-CN"/>
        </w:rPr>
        <w:t>截止</w:t>
      </w:r>
      <w:r>
        <w:rPr>
          <w:rFonts w:hint="default" w:ascii="Times New Roman" w:hAnsi="Times New Roman" w:eastAsia="方正仿宋简体" w:cs="Times New Roman"/>
          <w:sz w:val="30"/>
          <w:szCs w:val="30"/>
          <w:lang w:val="en-US" w:eastAsia="zh-CN"/>
        </w:rPr>
        <w:t>到</w:t>
      </w:r>
      <w:r>
        <w:rPr>
          <w:rFonts w:hint="eastAsia" w:eastAsia="方正仿宋简体" w:cs="Times New Roman"/>
          <w:sz w:val="30"/>
          <w:szCs w:val="30"/>
          <w:lang w:val="en-US" w:eastAsia="zh-CN"/>
        </w:rPr>
        <w:t>2024年12月31日</w:t>
      </w:r>
      <w:r>
        <w:rPr>
          <w:rFonts w:hint="default" w:ascii="Times New Roman" w:hAnsi="Times New Roman" w:eastAsia="方正仿宋简体" w:cs="Times New Roman"/>
          <w:sz w:val="30"/>
          <w:szCs w:val="30"/>
          <w:lang w:val="en-US" w:eastAsia="zh-CN"/>
        </w:rPr>
        <w:t>累计治理面积1</w:t>
      </w:r>
      <w:r>
        <w:rPr>
          <w:rFonts w:hint="eastAsia" w:eastAsia="方正仿宋简体" w:cs="Times New Roman"/>
          <w:sz w:val="30"/>
          <w:szCs w:val="30"/>
          <w:lang w:val="en-US" w:eastAsia="zh-CN"/>
        </w:rPr>
        <w:t>451.92</w:t>
      </w:r>
      <w:r>
        <w:rPr>
          <w:rFonts w:hint="default" w:ascii="Times New Roman" w:hAnsi="Times New Roman" w:eastAsia="方正仿宋简体" w:cs="Times New Roman"/>
          <w:sz w:val="30"/>
          <w:szCs w:val="30"/>
          <w:lang w:val="en-US" w:eastAsia="zh-CN"/>
        </w:rPr>
        <w:t>公顷，包括</w:t>
      </w:r>
      <w:r>
        <w:rPr>
          <w:rFonts w:hint="default" w:ascii="Times New Roman" w:hAnsi="Times New Roman" w:eastAsia="方正仿宋简体" w:cs="Times New Roman"/>
          <w:sz w:val="30"/>
          <w:szCs w:val="30"/>
          <w:highlight w:val="none"/>
          <w:lang w:val="en-US" w:eastAsia="zh-CN"/>
        </w:rPr>
        <w:t>21204、21205、</w:t>
      </w:r>
      <w:r>
        <w:rPr>
          <w:rFonts w:hint="eastAsia" w:eastAsia="方正仿宋简体" w:cs="Times New Roman"/>
          <w:sz w:val="30"/>
          <w:szCs w:val="30"/>
          <w:highlight w:val="none"/>
          <w:lang w:val="en-US" w:eastAsia="zh-CN"/>
        </w:rPr>
        <w:t>21404、</w:t>
      </w:r>
      <w:r>
        <w:rPr>
          <w:rFonts w:hint="default" w:ascii="Times New Roman" w:hAnsi="Times New Roman" w:eastAsia="方正仿宋简体" w:cs="Times New Roman"/>
          <w:sz w:val="30"/>
          <w:szCs w:val="30"/>
          <w:highlight w:val="none"/>
          <w:lang w:val="en-US" w:eastAsia="zh-CN"/>
        </w:rPr>
        <w:t>21405、21406、21101、21102、21103、21104、21105</w:t>
      </w:r>
      <w:r>
        <w:rPr>
          <w:rFonts w:hint="eastAsia" w:eastAsia="方正仿宋简体" w:cs="Times New Roman"/>
          <w:sz w:val="30"/>
          <w:szCs w:val="30"/>
          <w:highlight w:val="none"/>
          <w:lang w:val="en-US" w:eastAsia="zh-CN"/>
        </w:rPr>
        <w:t>、21111、21108</w:t>
      </w:r>
      <w:r>
        <w:rPr>
          <w:rFonts w:hint="default" w:ascii="Times New Roman" w:hAnsi="Times New Roman" w:eastAsia="方正仿宋简体" w:cs="Times New Roman"/>
          <w:sz w:val="30"/>
          <w:szCs w:val="30"/>
          <w:highlight w:val="none"/>
          <w:lang w:val="en-US" w:eastAsia="zh-CN"/>
        </w:rPr>
        <w:t>采空区，</w:t>
      </w:r>
      <w:r>
        <w:rPr>
          <w:rFonts w:hint="eastAsia" w:eastAsia="方正仿宋简体" w:cs="Times New Roman"/>
          <w:sz w:val="30"/>
          <w:szCs w:val="30"/>
          <w:highlight w:val="none"/>
          <w:lang w:val="en-US" w:eastAsia="zh-CN"/>
        </w:rPr>
        <w:t>其中2023年4月，由鄂尔多斯市自然资源局牵头组织验收351.79公顷；2025年1月9日，由乌审旗自然资源局牵头组织验收205.53公顷，并表明2024年之前葫芦素煤矿已有1359.05公顷（含112.66公顷重复治理面积）的采空区并已全部治理</w:t>
      </w:r>
      <w:r>
        <w:rPr>
          <w:rFonts w:hint="default" w:ascii="Times New Roman" w:hAnsi="Times New Roman" w:eastAsia="方正仿宋简体" w:cs="Times New Roman"/>
          <w:sz w:val="30"/>
          <w:szCs w:val="30"/>
          <w:lang w:val="en-US" w:eastAsia="zh-CN"/>
        </w:rPr>
        <w:t>。</w:t>
      </w:r>
    </w:p>
    <w:p w14:paraId="7380C4E9">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sz w:val="30"/>
          <w:szCs w:val="30"/>
          <w:lang w:val="en-US" w:eastAsia="zh-CN"/>
        </w:rPr>
      </w:pPr>
      <w:bookmarkStart w:id="19" w:name="_Toc14502"/>
      <w:bookmarkStart w:id="20" w:name="_Toc5621"/>
      <w:bookmarkStart w:id="21" w:name="_Toc29463"/>
      <w:r>
        <w:rPr>
          <w:rFonts w:hint="default" w:ascii="Times New Roman" w:hAnsi="Times New Roman" w:eastAsia="楷体" w:cs="Times New Roman"/>
          <w:sz w:val="30"/>
          <w:szCs w:val="30"/>
          <w:lang w:val="en-US" w:eastAsia="zh-CN"/>
        </w:rPr>
        <w:t>第二节 上年度治理情况</w:t>
      </w:r>
      <w:bookmarkEnd w:id="19"/>
      <w:bookmarkEnd w:id="20"/>
      <w:bookmarkEnd w:id="21"/>
    </w:p>
    <w:p w14:paraId="5B4F6E17">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202</w:t>
      </w:r>
      <w:r>
        <w:rPr>
          <w:rFonts w:hint="eastAsia" w:eastAsia="方正仿宋简体" w:cs="Times New Roman"/>
          <w:sz w:val="30"/>
          <w:szCs w:val="30"/>
          <w:lang w:val="en-US" w:eastAsia="zh-CN"/>
        </w:rPr>
        <w:t>5年10月30日，乌审旗自然资源局组织专家到矿现场验收，确认</w:t>
      </w:r>
      <w:r>
        <w:rPr>
          <w:rFonts w:hint="default" w:ascii="Times New Roman" w:hAnsi="Times New Roman" w:eastAsia="方正仿宋简体" w:cs="Times New Roman"/>
          <w:sz w:val="30"/>
          <w:szCs w:val="30"/>
          <w:lang w:val="en-US" w:eastAsia="zh-CN"/>
        </w:rPr>
        <w:t>年度治理总面积</w:t>
      </w:r>
      <w:r>
        <w:rPr>
          <w:rFonts w:hint="eastAsia" w:eastAsia="方正仿宋简体" w:cs="Times New Roman"/>
          <w:sz w:val="30"/>
          <w:szCs w:val="30"/>
          <w:lang w:val="en-US" w:eastAsia="zh-CN"/>
        </w:rPr>
        <w:t>156.6</w:t>
      </w:r>
      <w:r>
        <w:rPr>
          <w:rFonts w:hint="default" w:ascii="Times New Roman" w:hAnsi="Times New Roman" w:eastAsia="方正仿宋简体" w:cs="Times New Roman"/>
          <w:sz w:val="30"/>
          <w:szCs w:val="30"/>
          <w:lang w:val="en-US" w:eastAsia="zh-CN"/>
        </w:rPr>
        <w:t>公顷</w:t>
      </w:r>
      <w:r>
        <w:rPr>
          <w:rFonts w:hint="eastAsia" w:eastAsia="方正仿宋简体" w:cs="Times New Roman"/>
          <w:sz w:val="30"/>
          <w:szCs w:val="30"/>
          <w:lang w:val="en-US" w:eastAsia="zh-CN"/>
        </w:rPr>
        <w:t>。2025年</w:t>
      </w:r>
      <w:r>
        <w:rPr>
          <w:rFonts w:hint="default" w:ascii="Times New Roman" w:hAnsi="Times New Roman" w:eastAsia="方正仿宋简体" w:cs="Times New Roman"/>
          <w:sz w:val="30"/>
          <w:szCs w:val="30"/>
          <w:lang w:val="en-US" w:eastAsia="zh-CN"/>
        </w:rPr>
        <w:t>共投入</w:t>
      </w:r>
      <w:r>
        <w:rPr>
          <w:rFonts w:hint="eastAsia" w:eastAsia="方正仿宋简体" w:cs="Times New Roman"/>
          <w:sz w:val="30"/>
          <w:szCs w:val="30"/>
          <w:lang w:val="en-US" w:eastAsia="zh-CN"/>
        </w:rPr>
        <w:t>基</w:t>
      </w:r>
      <w:r>
        <w:rPr>
          <w:rFonts w:hint="default" w:ascii="Times New Roman" w:hAnsi="Times New Roman" w:eastAsia="方正仿宋简体" w:cs="Times New Roman"/>
          <w:sz w:val="30"/>
          <w:szCs w:val="30"/>
          <w:lang w:val="en-US" w:eastAsia="zh-CN"/>
        </w:rPr>
        <w:t>金</w:t>
      </w:r>
      <w:r>
        <w:rPr>
          <w:rFonts w:hint="eastAsia" w:eastAsia="方正仿宋简体" w:cs="Times New Roman"/>
          <w:sz w:val="30"/>
          <w:szCs w:val="30"/>
          <w:lang w:val="en-US" w:eastAsia="zh-CN"/>
        </w:rPr>
        <w:t>1310.655499</w:t>
      </w:r>
      <w:r>
        <w:rPr>
          <w:rFonts w:hint="default" w:ascii="Times New Roman" w:hAnsi="Times New Roman" w:eastAsia="方正仿宋简体" w:cs="Times New Roman"/>
          <w:sz w:val="30"/>
          <w:szCs w:val="30"/>
          <w:lang w:val="en-US" w:eastAsia="zh-CN"/>
        </w:rPr>
        <w:t>万元，主要治理工程如下：</w:t>
      </w:r>
    </w:p>
    <w:p w14:paraId="50D7AB87">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1.开展洗选矸石进行综合利用</w:t>
      </w:r>
      <w:r>
        <w:rPr>
          <w:rFonts w:hint="eastAsia" w:eastAsia="方正仿宋简体" w:cs="Times New Roman"/>
          <w:sz w:val="30"/>
          <w:szCs w:val="30"/>
          <w:highlight w:val="none"/>
          <w:lang w:val="en-US" w:eastAsia="zh-CN"/>
        </w:rPr>
        <w:t>工作</w:t>
      </w:r>
      <w:r>
        <w:rPr>
          <w:rFonts w:hint="default" w:ascii="Times New Roman" w:hAnsi="Times New Roman" w:eastAsia="方正仿宋简体" w:cs="Times New Roman"/>
          <w:sz w:val="30"/>
          <w:szCs w:val="30"/>
          <w:highlight w:val="none"/>
          <w:lang w:val="en-US" w:eastAsia="zh-CN"/>
        </w:rPr>
        <w:t>，费用</w:t>
      </w:r>
      <w:r>
        <w:rPr>
          <w:rFonts w:hint="eastAsia" w:eastAsia="方正仿宋简体" w:cs="Times New Roman"/>
          <w:sz w:val="30"/>
          <w:szCs w:val="30"/>
          <w:highlight w:val="none"/>
          <w:lang w:val="en-US" w:eastAsia="zh-CN"/>
        </w:rPr>
        <w:t>1220.187428</w:t>
      </w:r>
      <w:r>
        <w:rPr>
          <w:rFonts w:hint="default" w:ascii="Times New Roman" w:hAnsi="Times New Roman" w:eastAsia="方正仿宋简体" w:cs="Times New Roman"/>
          <w:sz w:val="30"/>
          <w:szCs w:val="30"/>
          <w:highlight w:val="none"/>
          <w:lang w:val="en-US" w:eastAsia="zh-CN"/>
        </w:rPr>
        <w:t>万元。</w:t>
      </w:r>
    </w:p>
    <w:p w14:paraId="77A25647">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rPr>
      </w:pPr>
      <w:r>
        <w:rPr>
          <w:rFonts w:hint="default" w:ascii="Times New Roman" w:hAnsi="Times New Roman" w:eastAsia="方正仿宋简体" w:cs="Times New Roman"/>
          <w:sz w:val="30"/>
          <w:szCs w:val="30"/>
          <w:highlight w:val="none"/>
        </w:rPr>
        <w:t>2.移民搬迁后对拆除后的房屋进行场地平整、绿化、生态修复等治理，费用</w:t>
      </w:r>
      <w:r>
        <w:rPr>
          <w:rFonts w:hint="eastAsia" w:eastAsia="方正仿宋简体" w:cs="Times New Roman"/>
          <w:sz w:val="30"/>
          <w:szCs w:val="30"/>
          <w:highlight w:val="none"/>
          <w:lang w:val="en-US" w:eastAsia="zh-CN"/>
        </w:rPr>
        <w:t>47.163071</w:t>
      </w:r>
      <w:r>
        <w:rPr>
          <w:rFonts w:hint="default" w:ascii="Times New Roman" w:hAnsi="Times New Roman" w:eastAsia="方正仿宋简体" w:cs="Times New Roman"/>
          <w:sz w:val="30"/>
          <w:szCs w:val="30"/>
          <w:highlight w:val="none"/>
        </w:rPr>
        <w:t>万元。</w:t>
      </w:r>
    </w:p>
    <w:p w14:paraId="1E7BF2E0">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3</w:t>
      </w:r>
      <w:r>
        <w:rPr>
          <w:rFonts w:hint="default" w:ascii="Times New Roman" w:hAnsi="Times New Roman" w:eastAsia="方正仿宋简体" w:cs="Times New Roman"/>
          <w:sz w:val="30"/>
          <w:szCs w:val="30"/>
          <w:highlight w:val="none"/>
        </w:rPr>
        <w:t>.</w:t>
      </w:r>
      <w:r>
        <w:rPr>
          <w:rFonts w:hint="eastAsia" w:eastAsia="方正仿宋简体" w:cs="Times New Roman"/>
          <w:sz w:val="30"/>
          <w:szCs w:val="30"/>
          <w:highlight w:val="none"/>
          <w:lang w:val="en-US" w:eastAsia="zh-CN"/>
        </w:rPr>
        <w:t>开展葫芦素煤矿强制性清洁生产技术服务，费用32万元。</w:t>
      </w:r>
    </w:p>
    <w:p w14:paraId="37B77383">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sz w:val="30"/>
          <w:szCs w:val="30"/>
          <w:lang w:val="en-US" w:eastAsia="zh-CN"/>
        </w:rPr>
      </w:pPr>
      <w:r>
        <w:rPr>
          <w:rFonts w:hint="eastAsia" w:eastAsia="方正仿宋简体" w:cs="Times New Roman"/>
          <w:sz w:val="30"/>
          <w:szCs w:val="30"/>
          <w:highlight w:val="none"/>
          <w:lang w:val="en-US" w:eastAsia="zh-CN"/>
        </w:rPr>
        <w:t>4.葫芦素煤矿2023年</w:t>
      </w:r>
      <w:r>
        <w:rPr>
          <w:rFonts w:hint="eastAsia" w:ascii="Times New Roman" w:hAnsi="Times New Roman" w:eastAsia="方正仿宋简体" w:cs="Times New Roman"/>
          <w:sz w:val="30"/>
          <w:szCs w:val="30"/>
          <w:lang w:val="en-US" w:eastAsia="zh-CN"/>
        </w:rPr>
        <w:t>春季煤矿矿区及规模以上企业造林绿化工程后续验收，费用11.305万元。</w:t>
      </w:r>
    </w:p>
    <w:p w14:paraId="6F666CB3">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eastAsia="方正仿宋简体" w:cs="Times New Roman"/>
          <w:sz w:val="30"/>
          <w:szCs w:val="30"/>
          <w:lang w:val="en-US" w:eastAsia="zh-CN"/>
        </w:rPr>
      </w:pPr>
      <w:r>
        <w:rPr>
          <w:rFonts w:hint="eastAsia" w:eastAsia="方正仿宋简体" w:cs="Times New Roman"/>
          <w:sz w:val="30"/>
          <w:szCs w:val="30"/>
          <w:lang w:val="en-US" w:eastAsia="zh-CN"/>
        </w:rPr>
        <w:t>5.定时开展采空区地下水水位监测。</w:t>
      </w:r>
    </w:p>
    <w:p w14:paraId="14884505">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eastAsia="方正仿宋简体" w:cs="Times New Roman"/>
          <w:sz w:val="30"/>
          <w:szCs w:val="30"/>
          <w:lang w:val="en-US" w:eastAsia="zh-CN"/>
        </w:rPr>
      </w:pPr>
      <w:r>
        <w:rPr>
          <w:rFonts w:hint="eastAsia" w:eastAsia="方正仿宋简体" w:cs="Times New Roman"/>
          <w:sz w:val="30"/>
          <w:szCs w:val="30"/>
          <w:lang w:val="en-US" w:eastAsia="zh-CN"/>
        </w:rPr>
        <w:t>6.采空区树立安全警示牌。</w:t>
      </w:r>
    </w:p>
    <w:p w14:paraId="5F2C184F">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val="en-US" w:eastAsia="zh-CN"/>
        </w:rPr>
      </w:pPr>
      <w:r>
        <w:rPr>
          <w:rFonts w:hint="eastAsia" w:eastAsia="方正仿宋简体" w:cs="Times New Roman"/>
          <w:sz w:val="30"/>
          <w:szCs w:val="30"/>
          <w:lang w:val="en-US" w:eastAsia="zh-CN"/>
        </w:rPr>
        <w:t>7.定时开展采空区沉降观测。</w:t>
      </w:r>
    </w:p>
    <w:p w14:paraId="50A80ACF">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lang w:val="en-US" w:eastAsia="zh-CN"/>
        </w:rPr>
      </w:pPr>
    </w:p>
    <w:p w14:paraId="7B9CF12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简体" w:cs="Times New Roman"/>
          <w:sz w:val="30"/>
          <w:szCs w:val="30"/>
          <w:lang w:val="en-US" w:eastAsia="zh-CN"/>
        </w:rPr>
      </w:pPr>
    </w:p>
    <w:p w14:paraId="2F8465D2">
      <w:pPr>
        <w:keepNext w:val="0"/>
        <w:keepLines w:val="0"/>
        <w:pageBreakBefore w:val="0"/>
        <w:kinsoku/>
        <w:wordWrap/>
        <w:overflowPunct/>
        <w:topLinePunct w:val="0"/>
        <w:autoSpaceDE/>
        <w:autoSpaceDN/>
        <w:bidi w:val="0"/>
        <w:spacing w:before="101" w:line="560" w:lineRule="exact"/>
        <w:jc w:val="center"/>
        <w:textAlignment w:val="auto"/>
        <w:rPr>
          <w:rFonts w:hint="default" w:ascii="Times New Roman" w:hAnsi="Times New Roman" w:eastAsia="宋体" w:cs="Times New Roman"/>
          <w:b/>
          <w:bCs/>
          <w:spacing w:val="2"/>
          <w:sz w:val="31"/>
          <w:szCs w:val="31"/>
          <w:highlight w:val="none"/>
        </w:rPr>
      </w:pPr>
      <w:r>
        <w:rPr>
          <w:rFonts w:hint="default" w:ascii="Times New Roman" w:hAnsi="Times New Roman" w:eastAsia="宋体" w:cs="Times New Roman"/>
          <w:b/>
          <w:bCs/>
          <w:spacing w:val="2"/>
          <w:sz w:val="31"/>
          <w:szCs w:val="31"/>
          <w:highlight w:val="none"/>
        </w:rPr>
        <w:t>表</w:t>
      </w:r>
      <w:r>
        <w:rPr>
          <w:rFonts w:hint="default" w:ascii="Times New Roman" w:hAnsi="Times New Roman" w:eastAsia="Times New Roman" w:cs="Times New Roman"/>
          <w:b/>
          <w:bCs/>
          <w:spacing w:val="2"/>
          <w:sz w:val="31"/>
          <w:szCs w:val="31"/>
          <w:highlight w:val="none"/>
        </w:rPr>
        <w:t xml:space="preserve">1 </w:t>
      </w:r>
      <w:r>
        <w:rPr>
          <w:rFonts w:hint="default" w:ascii="Times New Roman" w:hAnsi="Times New Roman" w:eastAsia="宋体" w:cs="Times New Roman"/>
          <w:b/>
          <w:bCs/>
          <w:spacing w:val="2"/>
          <w:sz w:val="31"/>
          <w:szCs w:val="31"/>
          <w:highlight w:val="none"/>
        </w:rPr>
        <w:t>上年度完成矿山地质环境治理与土地复垦区域</w:t>
      </w:r>
      <w:r>
        <w:rPr>
          <w:rFonts w:hint="default" w:ascii="Times New Roman" w:hAnsi="Times New Roman" w:eastAsia="Times New Roman" w:cs="Times New Roman"/>
          <w:b/>
          <w:bCs/>
          <w:spacing w:val="2"/>
          <w:sz w:val="31"/>
          <w:szCs w:val="31"/>
          <w:highlight w:val="none"/>
        </w:rPr>
        <w:t>1</w:t>
      </w:r>
      <w:r>
        <w:rPr>
          <w:rFonts w:hint="default" w:ascii="Times New Roman" w:hAnsi="Times New Roman" w:eastAsia="宋体" w:cs="Times New Roman"/>
          <w:b/>
          <w:bCs/>
          <w:spacing w:val="2"/>
          <w:sz w:val="31"/>
          <w:szCs w:val="31"/>
          <w:highlight w:val="none"/>
        </w:rPr>
        <w:t>的拐点坐标</w:t>
      </w:r>
    </w:p>
    <w:p w14:paraId="54E5DEB7">
      <w:pPr>
        <w:keepNext w:val="0"/>
        <w:keepLines w:val="0"/>
        <w:pageBreakBefore w:val="0"/>
        <w:kinsoku/>
        <w:wordWrap/>
        <w:overflowPunct/>
        <w:topLinePunct w:val="0"/>
        <w:autoSpaceDE/>
        <w:autoSpaceDN/>
        <w:bidi w:val="0"/>
        <w:spacing w:before="101" w:line="560" w:lineRule="exact"/>
        <w:jc w:val="center"/>
        <w:textAlignment w:val="auto"/>
        <w:rPr>
          <w:rFonts w:hint="default" w:ascii="Times New Roman" w:hAnsi="Times New Roman" w:eastAsia="宋体" w:cs="Times New Roman"/>
          <w:b/>
          <w:bCs/>
          <w:spacing w:val="2"/>
          <w:sz w:val="31"/>
          <w:szCs w:val="31"/>
          <w:highlight w:val="none"/>
        </w:rPr>
      </w:pPr>
      <w:r>
        <w:rPr>
          <w:rFonts w:hint="default" w:ascii="Times New Roman" w:hAnsi="Times New Roman" w:eastAsia="宋体" w:cs="Times New Roman"/>
          <w:b/>
          <w:bCs/>
          <w:spacing w:val="2"/>
          <w:kern w:val="2"/>
          <w:sz w:val="31"/>
          <w:szCs w:val="31"/>
          <w:highlight w:val="none"/>
          <w:lang w:val="en-US" w:eastAsia="zh-CN" w:bidi="ar-SA"/>
        </w:rPr>
        <w:t>（</w:t>
      </w:r>
      <w:r>
        <w:rPr>
          <w:rFonts w:hint="eastAsia" w:ascii="Times New Roman" w:hAnsi="Times New Roman" w:eastAsia="宋体" w:cs="Times New Roman"/>
          <w:b/>
          <w:bCs/>
          <w:spacing w:val="2"/>
          <w:kern w:val="2"/>
          <w:sz w:val="31"/>
          <w:szCs w:val="31"/>
          <w:highlight w:val="none"/>
          <w:lang w:val="en-US" w:eastAsia="zh-CN" w:bidi="ar-SA"/>
        </w:rPr>
        <w:t>21111</w:t>
      </w:r>
      <w:r>
        <w:rPr>
          <w:rFonts w:hint="default" w:ascii="Times New Roman" w:hAnsi="Times New Roman" w:eastAsia="宋体" w:cs="Times New Roman"/>
          <w:b/>
          <w:bCs/>
          <w:spacing w:val="2"/>
          <w:kern w:val="2"/>
          <w:sz w:val="31"/>
          <w:szCs w:val="31"/>
          <w:highlight w:val="none"/>
          <w:lang w:val="en-US" w:eastAsia="zh-CN" w:bidi="ar-SA"/>
        </w:rPr>
        <w:t>工作面）</w:t>
      </w:r>
    </w:p>
    <w:tbl>
      <w:tblPr>
        <w:tblStyle w:val="18"/>
        <w:tblW w:w="88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45"/>
        <w:gridCol w:w="2557"/>
        <w:gridCol w:w="3240"/>
      </w:tblGrid>
      <w:tr w14:paraId="3F511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8842" w:type="dxa"/>
            <w:gridSpan w:val="3"/>
            <w:vAlign w:val="top"/>
          </w:tcPr>
          <w:p w14:paraId="2B39EAE0">
            <w:pPr>
              <w:pStyle w:val="17"/>
              <w:keepNext w:val="0"/>
              <w:keepLines w:val="0"/>
              <w:pageBreakBefore w:val="0"/>
              <w:kinsoku/>
              <w:wordWrap/>
              <w:overflowPunct/>
              <w:topLinePunct w:val="0"/>
              <w:autoSpaceDE/>
              <w:autoSpaceDN/>
              <w:bidi w:val="0"/>
              <w:spacing w:before="158" w:line="560" w:lineRule="exact"/>
              <w:ind w:left="3506"/>
              <w:textAlignment w:val="auto"/>
              <w:rPr>
                <w:rFonts w:hint="default" w:ascii="Times New Roman" w:hAnsi="Times New Roman" w:eastAsia="宋体" w:cs="Times New Roman"/>
                <w:sz w:val="31"/>
                <w:szCs w:val="31"/>
                <w:highlight w:val="none"/>
              </w:rPr>
            </w:pPr>
            <w:r>
              <w:rPr>
                <w:rFonts w:hint="default" w:ascii="Times New Roman" w:hAnsi="Times New Roman" w:eastAsia="宋体" w:cs="Times New Roman"/>
                <w:spacing w:val="4"/>
                <w:sz w:val="31"/>
                <w:szCs w:val="31"/>
                <w:highlight w:val="none"/>
              </w:rPr>
              <w:t>（</w:t>
            </w:r>
            <w:r>
              <w:rPr>
                <w:rFonts w:hint="default" w:ascii="Times New Roman" w:hAnsi="Times New Roman" w:cs="Times New Roman"/>
                <w:spacing w:val="4"/>
                <w:sz w:val="31"/>
                <w:szCs w:val="31"/>
                <w:highlight w:val="none"/>
              </w:rPr>
              <w:t>2000</w:t>
            </w:r>
            <w:r>
              <w:rPr>
                <w:rFonts w:hint="default" w:ascii="Times New Roman" w:hAnsi="Times New Roman" w:eastAsia="宋体" w:cs="Times New Roman"/>
                <w:spacing w:val="4"/>
                <w:sz w:val="31"/>
                <w:szCs w:val="31"/>
                <w:highlight w:val="none"/>
              </w:rPr>
              <w:t>坐标系）</w:t>
            </w:r>
          </w:p>
        </w:tc>
      </w:tr>
      <w:tr w14:paraId="2BDEB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3045" w:type="dxa"/>
            <w:vAlign w:val="top"/>
          </w:tcPr>
          <w:p w14:paraId="6903B1AD">
            <w:pPr>
              <w:keepNext w:val="0"/>
              <w:keepLines w:val="0"/>
              <w:pageBreakBefore w:val="0"/>
              <w:kinsoku/>
              <w:wordWrap/>
              <w:overflowPunct/>
              <w:topLinePunct w:val="0"/>
              <w:autoSpaceDE/>
              <w:autoSpaceDN/>
              <w:bidi w:val="0"/>
              <w:spacing w:before="144" w:line="560" w:lineRule="exact"/>
              <w:ind w:left="1051"/>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拐点编号</w:t>
            </w:r>
          </w:p>
        </w:tc>
        <w:tc>
          <w:tcPr>
            <w:tcW w:w="2557" w:type="dxa"/>
            <w:vAlign w:val="top"/>
          </w:tcPr>
          <w:p w14:paraId="2416D243">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方正仿宋简体" w:cs="Times New Roman"/>
                <w:sz w:val="30"/>
                <w:szCs w:val="30"/>
                <w:highlight w:val="none"/>
                <w:lang w:val="en-US" w:eastAsia="zh-CN"/>
              </w:rPr>
              <w:t>X 坐标</w:t>
            </w:r>
          </w:p>
        </w:tc>
        <w:tc>
          <w:tcPr>
            <w:tcW w:w="3240" w:type="dxa"/>
            <w:vAlign w:val="top"/>
          </w:tcPr>
          <w:p w14:paraId="04E63FE9">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方正仿宋简体" w:cs="Times New Roman"/>
                <w:sz w:val="30"/>
                <w:szCs w:val="30"/>
                <w:highlight w:val="none"/>
                <w:lang w:val="en-US" w:eastAsia="zh-CN"/>
              </w:rPr>
              <w:t>Y 坐标</w:t>
            </w:r>
          </w:p>
        </w:tc>
      </w:tr>
      <w:tr w14:paraId="07E25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045" w:type="dxa"/>
            <w:vAlign w:val="top"/>
          </w:tcPr>
          <w:p w14:paraId="2839706F">
            <w:pPr>
              <w:pStyle w:val="17"/>
              <w:keepNext w:val="0"/>
              <w:keepLines w:val="0"/>
              <w:pageBreakBefore w:val="0"/>
              <w:kinsoku/>
              <w:wordWrap/>
              <w:overflowPunct/>
              <w:topLinePunct w:val="0"/>
              <w:autoSpaceDE/>
              <w:autoSpaceDN/>
              <w:bidi w:val="0"/>
              <w:spacing w:before="198" w:line="560" w:lineRule="exact"/>
              <w:ind w:left="1486"/>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2557" w:type="dxa"/>
            <w:vAlign w:val="top"/>
          </w:tcPr>
          <w:p w14:paraId="5652DE96">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4323380.7198</w:t>
            </w:r>
          </w:p>
        </w:tc>
        <w:tc>
          <w:tcPr>
            <w:tcW w:w="3240" w:type="dxa"/>
            <w:vAlign w:val="top"/>
          </w:tcPr>
          <w:p w14:paraId="01119C08">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36632670.8444</w:t>
            </w:r>
          </w:p>
        </w:tc>
      </w:tr>
      <w:tr w14:paraId="5F966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045" w:type="dxa"/>
            <w:vAlign w:val="top"/>
          </w:tcPr>
          <w:p w14:paraId="77100663">
            <w:pPr>
              <w:pStyle w:val="17"/>
              <w:keepNext w:val="0"/>
              <w:keepLines w:val="0"/>
              <w:pageBreakBefore w:val="0"/>
              <w:kinsoku/>
              <w:wordWrap/>
              <w:overflowPunct/>
              <w:topLinePunct w:val="0"/>
              <w:autoSpaceDE/>
              <w:autoSpaceDN/>
              <w:bidi w:val="0"/>
              <w:spacing w:before="200" w:line="560" w:lineRule="exact"/>
              <w:ind w:left="1463"/>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2557" w:type="dxa"/>
            <w:vAlign w:val="top"/>
          </w:tcPr>
          <w:p w14:paraId="08509E17">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4323397.7275</w:t>
            </w:r>
          </w:p>
        </w:tc>
        <w:tc>
          <w:tcPr>
            <w:tcW w:w="3240" w:type="dxa"/>
            <w:vAlign w:val="top"/>
          </w:tcPr>
          <w:p w14:paraId="50ACEB0A">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36633001.1633</w:t>
            </w:r>
          </w:p>
        </w:tc>
      </w:tr>
      <w:tr w14:paraId="194CE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045" w:type="dxa"/>
            <w:vAlign w:val="top"/>
          </w:tcPr>
          <w:p w14:paraId="0DF77D59">
            <w:pPr>
              <w:pStyle w:val="17"/>
              <w:keepNext w:val="0"/>
              <w:keepLines w:val="0"/>
              <w:pageBreakBefore w:val="0"/>
              <w:kinsoku/>
              <w:wordWrap/>
              <w:overflowPunct/>
              <w:topLinePunct w:val="0"/>
              <w:autoSpaceDE/>
              <w:autoSpaceDN/>
              <w:bidi w:val="0"/>
              <w:spacing w:before="200" w:line="560" w:lineRule="exact"/>
              <w:ind w:left="1468"/>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2557" w:type="dxa"/>
            <w:vAlign w:val="top"/>
          </w:tcPr>
          <w:p w14:paraId="5CAB7806">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4324461.3384</w:t>
            </w:r>
          </w:p>
        </w:tc>
        <w:tc>
          <w:tcPr>
            <w:tcW w:w="3240" w:type="dxa"/>
            <w:vAlign w:val="top"/>
          </w:tcPr>
          <w:p w14:paraId="71160383">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36632966.0862</w:t>
            </w:r>
          </w:p>
        </w:tc>
      </w:tr>
      <w:tr w14:paraId="0E906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045" w:type="dxa"/>
            <w:vAlign w:val="top"/>
          </w:tcPr>
          <w:p w14:paraId="58D82417">
            <w:pPr>
              <w:pStyle w:val="17"/>
              <w:keepNext w:val="0"/>
              <w:keepLines w:val="0"/>
              <w:pageBreakBefore w:val="0"/>
              <w:kinsoku/>
              <w:wordWrap/>
              <w:overflowPunct/>
              <w:topLinePunct w:val="0"/>
              <w:autoSpaceDE/>
              <w:autoSpaceDN/>
              <w:bidi w:val="0"/>
              <w:spacing w:before="203" w:line="560" w:lineRule="exact"/>
              <w:ind w:left="1462"/>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2557" w:type="dxa"/>
            <w:vAlign w:val="top"/>
          </w:tcPr>
          <w:p w14:paraId="38299E65">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4324450.438</w:t>
            </w:r>
          </w:p>
        </w:tc>
        <w:tc>
          <w:tcPr>
            <w:tcW w:w="3240" w:type="dxa"/>
            <w:vAlign w:val="top"/>
          </w:tcPr>
          <w:p w14:paraId="5E55DAFB">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rPr>
            </w:pPr>
            <w:r>
              <w:rPr>
                <w:rFonts w:hint="default" w:ascii="Times New Roman" w:hAnsi="Times New Roman" w:eastAsia="Times New Roman" w:cs="Times New Roman"/>
                <w:spacing w:val="-1"/>
                <w:highlight w:val="none"/>
                <w:lang w:val="en-US" w:eastAsia="zh-CN"/>
              </w:rPr>
              <w:t>36632635.5659</w:t>
            </w:r>
          </w:p>
        </w:tc>
      </w:tr>
    </w:tbl>
    <w:p w14:paraId="4CE7D3D5">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cs="Times New Roman"/>
          <w:highlight w:val="none"/>
        </w:rPr>
      </w:pPr>
    </w:p>
    <w:p w14:paraId="34CDE28F">
      <w:pPr>
        <w:keepNext w:val="0"/>
        <w:keepLines w:val="0"/>
        <w:pageBreakBefore w:val="0"/>
        <w:kinsoku/>
        <w:wordWrap/>
        <w:overflowPunct/>
        <w:topLinePunct w:val="0"/>
        <w:autoSpaceDE/>
        <w:autoSpaceDN/>
        <w:bidi w:val="0"/>
        <w:spacing w:before="101" w:line="560" w:lineRule="exact"/>
        <w:jc w:val="center"/>
        <w:textAlignment w:val="auto"/>
        <w:rPr>
          <w:rFonts w:hint="default" w:ascii="Times New Roman" w:hAnsi="Times New Roman" w:eastAsia="宋体" w:cs="Times New Roman"/>
          <w:b/>
          <w:bCs/>
          <w:spacing w:val="2"/>
          <w:sz w:val="31"/>
          <w:szCs w:val="31"/>
          <w:highlight w:val="none"/>
        </w:rPr>
      </w:pPr>
      <w:r>
        <w:rPr>
          <w:rFonts w:hint="default" w:ascii="Times New Roman" w:hAnsi="Times New Roman" w:eastAsia="宋体" w:cs="Times New Roman"/>
          <w:b/>
          <w:bCs/>
          <w:spacing w:val="2"/>
          <w:sz w:val="31"/>
          <w:szCs w:val="31"/>
          <w:highlight w:val="none"/>
        </w:rPr>
        <w:t>表</w:t>
      </w:r>
      <w:r>
        <w:rPr>
          <w:rFonts w:hint="default" w:ascii="Times New Roman" w:hAnsi="Times New Roman" w:eastAsia="Times New Roman" w:cs="Times New Roman"/>
          <w:b/>
          <w:bCs/>
          <w:spacing w:val="2"/>
          <w:sz w:val="31"/>
          <w:szCs w:val="31"/>
          <w:highlight w:val="none"/>
        </w:rPr>
        <w:t xml:space="preserve">2 </w:t>
      </w:r>
      <w:r>
        <w:rPr>
          <w:rFonts w:hint="default" w:ascii="Times New Roman" w:hAnsi="Times New Roman" w:eastAsia="宋体" w:cs="Times New Roman"/>
          <w:b/>
          <w:bCs/>
          <w:spacing w:val="2"/>
          <w:sz w:val="31"/>
          <w:szCs w:val="31"/>
          <w:highlight w:val="none"/>
        </w:rPr>
        <w:t>上年度完成矿山地质环境治理与土地复垦区域</w:t>
      </w:r>
      <w:r>
        <w:rPr>
          <w:rFonts w:hint="default" w:ascii="Times New Roman" w:hAnsi="Times New Roman" w:eastAsia="Times New Roman" w:cs="Times New Roman"/>
          <w:b/>
          <w:bCs/>
          <w:spacing w:val="2"/>
          <w:sz w:val="31"/>
          <w:szCs w:val="31"/>
          <w:highlight w:val="none"/>
        </w:rPr>
        <w:t>2</w:t>
      </w:r>
      <w:r>
        <w:rPr>
          <w:rFonts w:hint="default" w:ascii="Times New Roman" w:hAnsi="Times New Roman" w:eastAsia="宋体" w:cs="Times New Roman"/>
          <w:b/>
          <w:bCs/>
          <w:spacing w:val="2"/>
          <w:sz w:val="31"/>
          <w:szCs w:val="31"/>
          <w:highlight w:val="none"/>
        </w:rPr>
        <w:t>的拐点坐标</w:t>
      </w:r>
    </w:p>
    <w:p w14:paraId="4E17B881">
      <w:pPr>
        <w:keepNext w:val="0"/>
        <w:keepLines w:val="0"/>
        <w:pageBreakBefore w:val="0"/>
        <w:kinsoku/>
        <w:wordWrap/>
        <w:overflowPunct/>
        <w:topLinePunct w:val="0"/>
        <w:autoSpaceDE/>
        <w:autoSpaceDN/>
        <w:bidi w:val="0"/>
        <w:spacing w:before="101" w:line="560" w:lineRule="exact"/>
        <w:jc w:val="center"/>
        <w:textAlignment w:val="auto"/>
        <w:rPr>
          <w:rFonts w:hint="default" w:ascii="Times New Roman" w:hAnsi="Times New Roman" w:eastAsia="宋体" w:cs="Times New Roman"/>
          <w:b/>
          <w:bCs/>
          <w:spacing w:val="2"/>
          <w:sz w:val="31"/>
          <w:szCs w:val="31"/>
          <w:highlight w:val="none"/>
        </w:rPr>
      </w:pPr>
      <w:r>
        <w:rPr>
          <w:rFonts w:hint="default" w:ascii="Times New Roman" w:hAnsi="Times New Roman" w:eastAsia="宋体" w:cs="Times New Roman"/>
          <w:b/>
          <w:bCs/>
          <w:spacing w:val="2"/>
          <w:kern w:val="2"/>
          <w:sz w:val="31"/>
          <w:szCs w:val="31"/>
          <w:highlight w:val="none"/>
          <w:lang w:val="en-US" w:eastAsia="zh-CN" w:bidi="ar-SA"/>
        </w:rPr>
        <w:t>（</w:t>
      </w:r>
      <w:r>
        <w:rPr>
          <w:rFonts w:hint="eastAsia" w:ascii="Times New Roman" w:hAnsi="Times New Roman" w:eastAsia="宋体" w:cs="Times New Roman"/>
          <w:b/>
          <w:bCs/>
          <w:spacing w:val="2"/>
          <w:kern w:val="2"/>
          <w:sz w:val="31"/>
          <w:szCs w:val="31"/>
          <w:highlight w:val="none"/>
          <w:lang w:val="en-US" w:eastAsia="zh-CN" w:bidi="ar-SA"/>
        </w:rPr>
        <w:t>2</w:t>
      </w:r>
      <w:r>
        <w:rPr>
          <w:rFonts w:hint="default" w:ascii="Times New Roman" w:hAnsi="Times New Roman" w:eastAsia="宋体" w:cs="Times New Roman"/>
          <w:b/>
          <w:bCs/>
          <w:spacing w:val="2"/>
          <w:kern w:val="2"/>
          <w:sz w:val="31"/>
          <w:szCs w:val="31"/>
          <w:highlight w:val="none"/>
          <w:lang w:val="en-US" w:eastAsia="zh-CN" w:bidi="ar-SA"/>
        </w:rPr>
        <w:t>1108工作面）</w:t>
      </w:r>
    </w:p>
    <w:tbl>
      <w:tblPr>
        <w:tblStyle w:val="18"/>
        <w:tblW w:w="88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45"/>
        <w:gridCol w:w="2557"/>
        <w:gridCol w:w="3225"/>
      </w:tblGrid>
      <w:tr w14:paraId="383A5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8827" w:type="dxa"/>
            <w:gridSpan w:val="3"/>
            <w:vAlign w:val="top"/>
          </w:tcPr>
          <w:p w14:paraId="3B54875E">
            <w:pPr>
              <w:pStyle w:val="17"/>
              <w:keepNext w:val="0"/>
              <w:keepLines w:val="0"/>
              <w:pageBreakBefore w:val="0"/>
              <w:kinsoku/>
              <w:wordWrap/>
              <w:overflowPunct/>
              <w:topLinePunct w:val="0"/>
              <w:autoSpaceDE/>
              <w:autoSpaceDN/>
              <w:bidi w:val="0"/>
              <w:spacing w:before="158" w:line="560" w:lineRule="exact"/>
              <w:ind w:left="3506"/>
              <w:textAlignment w:val="auto"/>
              <w:rPr>
                <w:rFonts w:hint="default" w:ascii="Times New Roman" w:hAnsi="Times New Roman" w:eastAsia="宋体" w:cs="Times New Roman"/>
                <w:sz w:val="31"/>
                <w:szCs w:val="31"/>
                <w:highlight w:val="none"/>
              </w:rPr>
            </w:pPr>
            <w:r>
              <w:rPr>
                <w:rFonts w:hint="default" w:ascii="Times New Roman" w:hAnsi="Times New Roman" w:eastAsia="宋体" w:cs="Times New Roman"/>
                <w:spacing w:val="4"/>
                <w:sz w:val="31"/>
                <w:szCs w:val="31"/>
                <w:highlight w:val="none"/>
              </w:rPr>
              <w:t>（</w:t>
            </w:r>
            <w:r>
              <w:rPr>
                <w:rFonts w:hint="default" w:ascii="Times New Roman" w:hAnsi="Times New Roman" w:cs="Times New Roman"/>
                <w:spacing w:val="4"/>
                <w:sz w:val="31"/>
                <w:szCs w:val="31"/>
                <w:highlight w:val="none"/>
              </w:rPr>
              <w:t>2000</w:t>
            </w:r>
            <w:r>
              <w:rPr>
                <w:rFonts w:hint="default" w:ascii="Times New Roman" w:hAnsi="Times New Roman" w:eastAsia="宋体" w:cs="Times New Roman"/>
                <w:spacing w:val="4"/>
                <w:sz w:val="31"/>
                <w:szCs w:val="31"/>
                <w:highlight w:val="none"/>
              </w:rPr>
              <w:t>坐标系）</w:t>
            </w:r>
          </w:p>
        </w:tc>
      </w:tr>
      <w:tr w14:paraId="2E188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3045" w:type="dxa"/>
            <w:vAlign w:val="top"/>
          </w:tcPr>
          <w:p w14:paraId="0EE4A22F">
            <w:pPr>
              <w:keepNext w:val="0"/>
              <w:keepLines w:val="0"/>
              <w:pageBreakBefore w:val="0"/>
              <w:kinsoku/>
              <w:wordWrap/>
              <w:overflowPunct/>
              <w:topLinePunct w:val="0"/>
              <w:autoSpaceDE/>
              <w:autoSpaceDN/>
              <w:bidi w:val="0"/>
              <w:spacing w:before="144" w:line="560" w:lineRule="exact"/>
              <w:ind w:left="1051"/>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拐点编号</w:t>
            </w:r>
          </w:p>
        </w:tc>
        <w:tc>
          <w:tcPr>
            <w:tcW w:w="2557" w:type="dxa"/>
            <w:vAlign w:val="top"/>
          </w:tcPr>
          <w:p w14:paraId="351C11FE">
            <w:pPr>
              <w:pStyle w:val="17"/>
              <w:keepNext w:val="0"/>
              <w:keepLines w:val="0"/>
              <w:pageBreakBefore w:val="0"/>
              <w:kinsoku/>
              <w:wordWrap/>
              <w:overflowPunct/>
              <w:topLinePunct w:val="0"/>
              <w:autoSpaceDE/>
              <w:autoSpaceDN/>
              <w:bidi w:val="0"/>
              <w:spacing w:before="201" w:line="560" w:lineRule="exact"/>
              <w:ind w:left="1217"/>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X</w:t>
            </w:r>
          </w:p>
        </w:tc>
        <w:tc>
          <w:tcPr>
            <w:tcW w:w="3225" w:type="dxa"/>
            <w:vAlign w:val="top"/>
          </w:tcPr>
          <w:p w14:paraId="2BA43BAB">
            <w:pPr>
              <w:pStyle w:val="17"/>
              <w:keepNext w:val="0"/>
              <w:keepLines w:val="0"/>
              <w:pageBreakBefore w:val="0"/>
              <w:kinsoku/>
              <w:wordWrap/>
              <w:overflowPunct/>
              <w:topLinePunct w:val="0"/>
              <w:autoSpaceDE/>
              <w:autoSpaceDN/>
              <w:bidi w:val="0"/>
              <w:spacing w:before="201" w:line="5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Y</w:t>
            </w:r>
          </w:p>
        </w:tc>
      </w:tr>
      <w:tr w14:paraId="5D87A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045" w:type="dxa"/>
            <w:vAlign w:val="top"/>
          </w:tcPr>
          <w:p w14:paraId="557BE7A7">
            <w:pPr>
              <w:pStyle w:val="17"/>
              <w:keepNext w:val="0"/>
              <w:keepLines w:val="0"/>
              <w:pageBreakBefore w:val="0"/>
              <w:kinsoku/>
              <w:wordWrap/>
              <w:overflowPunct/>
              <w:topLinePunct w:val="0"/>
              <w:autoSpaceDE/>
              <w:autoSpaceDN/>
              <w:bidi w:val="0"/>
              <w:spacing w:before="198" w:line="560" w:lineRule="exact"/>
              <w:ind w:left="1486"/>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2557" w:type="dxa"/>
            <w:vAlign w:val="top"/>
          </w:tcPr>
          <w:p w14:paraId="2CB21846">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4321591.2597</w:t>
            </w:r>
          </w:p>
        </w:tc>
        <w:tc>
          <w:tcPr>
            <w:tcW w:w="3225" w:type="dxa"/>
            <w:vAlign w:val="top"/>
          </w:tcPr>
          <w:p w14:paraId="748A8A59">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36629943.6956</w:t>
            </w:r>
          </w:p>
        </w:tc>
      </w:tr>
      <w:tr w14:paraId="63FF1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045" w:type="dxa"/>
            <w:vAlign w:val="top"/>
          </w:tcPr>
          <w:p w14:paraId="6816116D">
            <w:pPr>
              <w:pStyle w:val="17"/>
              <w:keepNext w:val="0"/>
              <w:keepLines w:val="0"/>
              <w:pageBreakBefore w:val="0"/>
              <w:kinsoku/>
              <w:wordWrap/>
              <w:overflowPunct/>
              <w:topLinePunct w:val="0"/>
              <w:autoSpaceDE/>
              <w:autoSpaceDN/>
              <w:bidi w:val="0"/>
              <w:spacing w:before="200" w:line="560" w:lineRule="exact"/>
              <w:ind w:left="1463"/>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2557" w:type="dxa"/>
            <w:vAlign w:val="top"/>
          </w:tcPr>
          <w:p w14:paraId="79F639CE">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4321601.4893</w:t>
            </w:r>
          </w:p>
        </w:tc>
        <w:tc>
          <w:tcPr>
            <w:tcW w:w="3225" w:type="dxa"/>
            <w:vAlign w:val="top"/>
          </w:tcPr>
          <w:p w14:paraId="07D90549">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36630253.877</w:t>
            </w:r>
          </w:p>
        </w:tc>
      </w:tr>
      <w:tr w14:paraId="566ED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045" w:type="dxa"/>
            <w:vAlign w:val="top"/>
          </w:tcPr>
          <w:p w14:paraId="2337DEC6">
            <w:pPr>
              <w:pStyle w:val="17"/>
              <w:keepNext w:val="0"/>
              <w:keepLines w:val="0"/>
              <w:pageBreakBefore w:val="0"/>
              <w:kinsoku/>
              <w:wordWrap/>
              <w:overflowPunct/>
              <w:topLinePunct w:val="0"/>
              <w:autoSpaceDE/>
              <w:autoSpaceDN/>
              <w:bidi w:val="0"/>
              <w:spacing w:before="200" w:line="560" w:lineRule="exact"/>
              <w:ind w:left="1468"/>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2557" w:type="dxa"/>
            <w:vAlign w:val="top"/>
          </w:tcPr>
          <w:p w14:paraId="11B0772E">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4320364.1633</w:t>
            </w:r>
          </w:p>
        </w:tc>
        <w:tc>
          <w:tcPr>
            <w:tcW w:w="3225" w:type="dxa"/>
            <w:vAlign w:val="top"/>
          </w:tcPr>
          <w:p w14:paraId="40B75F14">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36630294.7223</w:t>
            </w:r>
          </w:p>
        </w:tc>
      </w:tr>
      <w:tr w14:paraId="4C268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045" w:type="dxa"/>
            <w:vAlign w:val="top"/>
          </w:tcPr>
          <w:p w14:paraId="320C26B2">
            <w:pPr>
              <w:pStyle w:val="17"/>
              <w:keepNext w:val="0"/>
              <w:keepLines w:val="0"/>
              <w:pageBreakBefore w:val="0"/>
              <w:kinsoku/>
              <w:wordWrap/>
              <w:overflowPunct/>
              <w:topLinePunct w:val="0"/>
              <w:autoSpaceDE/>
              <w:autoSpaceDN/>
              <w:bidi w:val="0"/>
              <w:spacing w:before="203" w:line="560" w:lineRule="exact"/>
              <w:ind w:left="1462"/>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2557" w:type="dxa"/>
            <w:vAlign w:val="top"/>
          </w:tcPr>
          <w:p w14:paraId="17404592">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4320353.9324</w:t>
            </w:r>
          </w:p>
        </w:tc>
        <w:tc>
          <w:tcPr>
            <w:tcW w:w="3225" w:type="dxa"/>
            <w:vAlign w:val="top"/>
          </w:tcPr>
          <w:p w14:paraId="09DBE99B">
            <w:pPr>
              <w:pStyle w:val="17"/>
              <w:keepNext w:val="0"/>
              <w:keepLines w:val="0"/>
              <w:pageBreakBefore w:val="0"/>
              <w:kinsoku/>
              <w:wordWrap/>
              <w:overflowPunct/>
              <w:topLinePunct w:val="0"/>
              <w:autoSpaceDE/>
              <w:autoSpaceDN/>
              <w:bidi w:val="0"/>
              <w:spacing w:before="176" w:line="560" w:lineRule="exact"/>
              <w:ind w:left="680"/>
              <w:textAlignment w:val="auto"/>
              <w:rPr>
                <w:rFonts w:hint="default" w:ascii="Times New Roman" w:hAnsi="Times New Roman" w:eastAsia="Times New Roman" w:cs="Times New Roman"/>
                <w:spacing w:val="-1"/>
                <w:highlight w:val="none"/>
                <w:lang w:val="en-US" w:eastAsia="zh-CN"/>
              </w:rPr>
            </w:pPr>
            <w:r>
              <w:rPr>
                <w:rFonts w:hint="default" w:ascii="Times New Roman" w:hAnsi="Times New Roman" w:eastAsia="Times New Roman" w:cs="Times New Roman"/>
                <w:spacing w:val="-1"/>
                <w:highlight w:val="none"/>
                <w:lang w:val="en-US" w:eastAsia="zh-CN"/>
              </w:rPr>
              <w:t>36629984.5018</w:t>
            </w:r>
          </w:p>
        </w:tc>
      </w:tr>
    </w:tbl>
    <w:p w14:paraId="663DAC14">
      <w:pPr>
        <w:pStyle w:val="3"/>
        <w:keepNext w:val="0"/>
        <w:keepLines w:val="0"/>
        <w:pageBreakBefore w:val="0"/>
        <w:kinsoku/>
        <w:wordWrap/>
        <w:overflowPunct/>
        <w:topLinePunct w:val="0"/>
        <w:autoSpaceDE/>
        <w:autoSpaceDN/>
        <w:bidi w:val="0"/>
        <w:spacing w:line="560" w:lineRule="exact"/>
        <w:textAlignment w:val="auto"/>
        <w:rPr>
          <w:rFonts w:hint="default" w:ascii="Times New Roman" w:hAnsi="Times New Roman" w:cs="Times New Roman"/>
          <w:highlight w:val="none"/>
        </w:rPr>
      </w:pPr>
    </w:p>
    <w:p w14:paraId="164B0E5B">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sz w:val="30"/>
          <w:szCs w:val="30"/>
          <w:lang w:val="en-US" w:eastAsia="zh-CN"/>
        </w:rPr>
      </w:pPr>
      <w:bookmarkStart w:id="22" w:name="_Toc9528"/>
      <w:bookmarkStart w:id="23" w:name="_Toc11613"/>
      <w:bookmarkStart w:id="24" w:name="_Toc25580"/>
      <w:r>
        <w:rPr>
          <w:rFonts w:hint="default" w:ascii="Times New Roman" w:hAnsi="Times New Roman" w:eastAsia="楷体" w:cs="Times New Roman"/>
          <w:sz w:val="30"/>
          <w:szCs w:val="30"/>
          <w:lang w:val="en-US" w:eastAsia="zh-CN"/>
        </w:rPr>
        <w:t>第三节 基金使用情况</w:t>
      </w:r>
      <w:bookmarkEnd w:id="22"/>
      <w:bookmarkEnd w:id="23"/>
      <w:bookmarkEnd w:id="24"/>
    </w:p>
    <w:p w14:paraId="7182D06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我矿按照自治区和鄂尔多斯市矿山地质环境治理恢复基金管 理办法，202</w:t>
      </w:r>
      <w:r>
        <w:rPr>
          <w:rFonts w:hint="eastAsia" w:ascii="Times New Roman" w:hAnsi="Times New Roman" w:eastAsia="方正仿宋简体" w:cs="Times New Roman"/>
          <w:sz w:val="30"/>
          <w:szCs w:val="30"/>
          <w:highlight w:val="none"/>
          <w:lang w:val="en-US" w:eastAsia="zh-CN"/>
        </w:rPr>
        <w:t>4</w:t>
      </w:r>
      <w:r>
        <w:rPr>
          <w:rFonts w:hint="default" w:ascii="Times New Roman" w:hAnsi="Times New Roman" w:eastAsia="方正仿宋简体" w:cs="Times New Roman"/>
          <w:sz w:val="30"/>
          <w:szCs w:val="30"/>
          <w:highlight w:val="none"/>
          <w:lang w:val="en-US" w:eastAsia="zh-CN"/>
        </w:rPr>
        <w:t>年剩余基金</w:t>
      </w:r>
      <w:r>
        <w:rPr>
          <w:rFonts w:hint="eastAsia" w:ascii="Times New Roman" w:hAnsi="Times New Roman" w:eastAsia="方正仿宋简体" w:cs="Times New Roman"/>
          <w:sz w:val="30"/>
          <w:szCs w:val="30"/>
          <w:highlight w:val="none"/>
          <w:lang w:val="en-US" w:eastAsia="zh-CN"/>
        </w:rPr>
        <w:t>6436</w:t>
      </w:r>
      <w:r>
        <w:rPr>
          <w:rFonts w:hint="default" w:ascii="Times New Roman" w:hAnsi="Times New Roman" w:eastAsia="方正仿宋简体" w:cs="Times New Roman"/>
          <w:sz w:val="30"/>
          <w:szCs w:val="30"/>
          <w:highlight w:val="none"/>
          <w:lang w:val="en-US" w:eastAsia="zh-CN"/>
        </w:rPr>
        <w:t>万元，202</w:t>
      </w:r>
      <w:r>
        <w:rPr>
          <w:rFonts w:hint="eastAsia" w:ascii="Times New Roman" w:hAnsi="Times New Roman" w:eastAsia="方正仿宋简体" w:cs="Times New Roman"/>
          <w:sz w:val="30"/>
          <w:szCs w:val="30"/>
          <w:highlight w:val="none"/>
          <w:lang w:val="en-US" w:eastAsia="zh-CN"/>
        </w:rPr>
        <w:t>5</w:t>
      </w:r>
      <w:r>
        <w:rPr>
          <w:rFonts w:hint="default" w:ascii="Times New Roman" w:hAnsi="Times New Roman" w:eastAsia="方正仿宋简体" w:cs="Times New Roman"/>
          <w:sz w:val="30"/>
          <w:szCs w:val="30"/>
          <w:highlight w:val="none"/>
          <w:lang w:val="en-US" w:eastAsia="zh-CN"/>
        </w:rPr>
        <w:t>年应计提基金</w:t>
      </w:r>
      <w:r>
        <w:rPr>
          <w:rFonts w:hint="eastAsia" w:ascii="Times New Roman" w:hAnsi="Times New Roman" w:eastAsia="方正仿宋简体" w:cs="Times New Roman"/>
          <w:sz w:val="30"/>
          <w:szCs w:val="30"/>
          <w:highlight w:val="none"/>
          <w:lang w:val="en-US" w:eastAsia="zh-CN"/>
        </w:rPr>
        <w:t>6605.6166</w:t>
      </w:r>
      <w:r>
        <w:rPr>
          <w:rFonts w:hint="default" w:ascii="Times New Roman" w:hAnsi="Times New Roman" w:eastAsia="方正仿宋简体" w:cs="Times New Roman"/>
          <w:sz w:val="30"/>
          <w:szCs w:val="30"/>
          <w:highlight w:val="none"/>
          <w:lang w:val="en-US" w:eastAsia="zh-CN"/>
        </w:rPr>
        <w:t>万元，实际计提</w:t>
      </w:r>
      <w:r>
        <w:rPr>
          <w:rFonts w:hint="eastAsia" w:ascii="Times New Roman" w:hAnsi="Times New Roman" w:eastAsia="方正仿宋简体" w:cs="Times New Roman"/>
          <w:sz w:val="30"/>
          <w:szCs w:val="30"/>
          <w:highlight w:val="none"/>
          <w:lang w:val="en-US" w:eastAsia="zh-CN"/>
        </w:rPr>
        <w:t>6605.6166</w:t>
      </w:r>
      <w:r>
        <w:rPr>
          <w:rFonts w:hint="default" w:ascii="Times New Roman" w:hAnsi="Times New Roman" w:eastAsia="方正仿宋简体" w:cs="Times New Roman"/>
          <w:sz w:val="30"/>
          <w:szCs w:val="30"/>
          <w:highlight w:val="none"/>
          <w:lang w:val="en-US" w:eastAsia="zh-CN"/>
        </w:rPr>
        <w:t>万元。截止202</w:t>
      </w:r>
      <w:r>
        <w:rPr>
          <w:rFonts w:hint="eastAsia" w:ascii="Times New Roman" w:hAnsi="Times New Roman" w:eastAsia="方正仿宋简体" w:cs="Times New Roman"/>
          <w:sz w:val="30"/>
          <w:szCs w:val="30"/>
          <w:highlight w:val="none"/>
          <w:lang w:val="en-US" w:eastAsia="zh-CN"/>
        </w:rPr>
        <w:t>5</w:t>
      </w:r>
      <w:r>
        <w:rPr>
          <w:rFonts w:hint="default" w:ascii="Times New Roman" w:hAnsi="Times New Roman" w:eastAsia="方正仿宋简体" w:cs="Times New Roman"/>
          <w:sz w:val="30"/>
          <w:szCs w:val="30"/>
          <w:highlight w:val="none"/>
          <w:lang w:val="en-US" w:eastAsia="zh-CN"/>
        </w:rPr>
        <w:t>年底，基金账户余额</w:t>
      </w:r>
      <w:r>
        <w:rPr>
          <w:rFonts w:hint="eastAsia" w:ascii="Times New Roman" w:hAnsi="Times New Roman" w:eastAsia="方正仿宋简体" w:cs="Times New Roman"/>
          <w:sz w:val="30"/>
          <w:szCs w:val="30"/>
          <w:highlight w:val="none"/>
          <w:lang w:val="en-US" w:eastAsia="zh-CN"/>
        </w:rPr>
        <w:t>11731</w:t>
      </w:r>
      <w:r>
        <w:rPr>
          <w:rFonts w:hint="default" w:ascii="Times New Roman" w:hAnsi="Times New Roman" w:eastAsia="方正仿宋简体" w:cs="Times New Roman"/>
          <w:sz w:val="30"/>
          <w:szCs w:val="30"/>
          <w:highlight w:val="none"/>
          <w:lang w:val="en-US" w:eastAsia="zh-CN"/>
        </w:rPr>
        <w:t>万元。</w:t>
      </w:r>
      <w:bookmarkStart w:id="25" w:name="_Toc10866"/>
    </w:p>
    <w:p w14:paraId="6197D0E2">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sz w:val="30"/>
          <w:szCs w:val="30"/>
          <w:lang w:val="en-US" w:eastAsia="zh-CN"/>
        </w:rPr>
      </w:pPr>
      <w:bookmarkStart w:id="26" w:name="_Toc6696"/>
      <w:r>
        <w:rPr>
          <w:rFonts w:hint="default" w:ascii="Times New Roman" w:hAnsi="Times New Roman" w:eastAsia="楷体" w:cs="Times New Roman"/>
          <w:sz w:val="30"/>
          <w:szCs w:val="30"/>
          <w:lang w:val="en-US" w:eastAsia="zh-CN"/>
        </w:rPr>
        <w:t>第</w:t>
      </w:r>
      <w:r>
        <w:rPr>
          <w:rFonts w:hint="eastAsia" w:ascii="Times New Roman" w:hAnsi="Times New Roman" w:eastAsia="楷体" w:cs="Times New Roman"/>
          <w:sz w:val="30"/>
          <w:szCs w:val="30"/>
          <w:lang w:val="en-US" w:eastAsia="zh-CN"/>
        </w:rPr>
        <w:t>四</w:t>
      </w:r>
      <w:r>
        <w:rPr>
          <w:rFonts w:hint="default" w:ascii="Times New Roman" w:hAnsi="Times New Roman" w:eastAsia="楷体" w:cs="Times New Roman"/>
          <w:sz w:val="30"/>
          <w:szCs w:val="30"/>
          <w:lang w:val="en-US" w:eastAsia="zh-CN"/>
        </w:rPr>
        <w:t xml:space="preserve">节 </w:t>
      </w:r>
      <w:r>
        <w:rPr>
          <w:rFonts w:hint="eastAsia" w:ascii="Times New Roman" w:hAnsi="Times New Roman" w:eastAsia="楷体" w:cs="Times New Roman"/>
          <w:sz w:val="30"/>
          <w:szCs w:val="30"/>
          <w:lang w:val="en-US" w:eastAsia="zh-CN"/>
        </w:rPr>
        <w:t>以往治理成效</w:t>
      </w:r>
      <w:bookmarkEnd w:id="25"/>
      <w:bookmarkEnd w:id="26"/>
    </w:p>
    <w:p w14:paraId="7DB2250F">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仿宋简体" w:cs="Times New Roman"/>
          <w:kern w:val="2"/>
          <w:sz w:val="30"/>
          <w:szCs w:val="30"/>
          <w:highlight w:val="none"/>
          <w:lang w:val="en-US" w:eastAsia="zh-CN" w:bidi="ar-SA"/>
        </w:rPr>
      </w:pPr>
      <w:r>
        <w:rPr>
          <w:rFonts w:hint="eastAsia" w:ascii="Times New Roman" w:hAnsi="Times New Roman" w:eastAsia="方正仿宋简体" w:cs="Times New Roman"/>
          <w:kern w:val="2"/>
          <w:sz w:val="30"/>
          <w:szCs w:val="30"/>
          <w:highlight w:val="none"/>
          <w:lang w:val="en-US" w:eastAsia="zh-CN" w:bidi="ar-SA"/>
        </w:rPr>
        <w:t>葫芦素</w:t>
      </w:r>
      <w:r>
        <w:rPr>
          <w:rFonts w:hint="default" w:ascii="Times New Roman" w:hAnsi="Times New Roman" w:eastAsia="方正仿宋简体" w:cs="Times New Roman"/>
          <w:kern w:val="2"/>
          <w:sz w:val="30"/>
          <w:szCs w:val="30"/>
          <w:highlight w:val="none"/>
          <w:lang w:val="en-US" w:eastAsia="zh-CN" w:bidi="ar-SA"/>
        </w:rPr>
        <w:t>煤矿自</w:t>
      </w:r>
      <w:r>
        <w:rPr>
          <w:rFonts w:hint="eastAsia" w:ascii="Times New Roman" w:hAnsi="Times New Roman" w:eastAsia="方正仿宋简体" w:cs="Times New Roman"/>
          <w:kern w:val="2"/>
          <w:sz w:val="30"/>
          <w:szCs w:val="30"/>
          <w:highlight w:val="none"/>
          <w:lang w:val="en-US" w:eastAsia="zh-CN" w:bidi="ar-SA"/>
        </w:rPr>
        <w:t>生产至今，历年根据当年在期的《方案》总体规划要求，开展了大量的地质环境恢复治理与土地复垦工作，具体成效分述如下：</w:t>
      </w:r>
    </w:p>
    <w:p w14:paraId="284C12F6">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方正仿宋简体" w:cs="Times New Roman"/>
          <w:kern w:val="2"/>
          <w:sz w:val="30"/>
          <w:szCs w:val="30"/>
          <w:highlight w:val="none"/>
          <w:lang w:val="en-US" w:eastAsia="zh-CN" w:bidi="ar-SA"/>
        </w:rPr>
        <w:t>1.地质灾害风险全域可控</w:t>
      </w:r>
      <w:r>
        <w:rPr>
          <w:rFonts w:hint="default" w:ascii="Times New Roman" w:hAnsi="Times New Roman" w:eastAsia="宋体" w:cs="Times New Roman"/>
          <w:b/>
          <w:bCs/>
          <w:color w:val="auto"/>
          <w:sz w:val="28"/>
          <w:szCs w:val="28"/>
          <w:lang w:val="en-US" w:eastAsia="zh-CN"/>
        </w:rPr>
        <w:t>​</w:t>
      </w:r>
    </w:p>
    <w:p w14:paraId="56E7297C">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kern w:val="2"/>
          <w:sz w:val="30"/>
          <w:szCs w:val="30"/>
          <w:highlight w:val="none"/>
          <w:lang w:val="en-US" w:eastAsia="zh-CN" w:bidi="ar-SA"/>
        </w:rPr>
      </w:pPr>
      <w:r>
        <w:rPr>
          <w:rFonts w:hint="default" w:ascii="Times New Roman" w:hAnsi="Times New Roman" w:eastAsia="方正仿宋简体" w:cs="Times New Roman"/>
          <w:kern w:val="2"/>
          <w:sz w:val="30"/>
          <w:szCs w:val="30"/>
          <w:highlight w:val="none"/>
          <w:lang w:val="en-US" w:eastAsia="zh-CN" w:bidi="ar-SA"/>
        </w:rPr>
        <w:t>通过采空区覆岩离层注浆减沉、采空沉陷区设置警示牌、永久界桩、警示牌、日常监测巡查等方法，矿区地表沉陷得到有效控制，地质灾害隐患点全面清零，场地稳定性与安全性、周边人居安全状况显著提升，地质环境秩序实现大幅好转。​</w:t>
      </w:r>
    </w:p>
    <w:p w14:paraId="767386D2">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宋体" w:cs="Times New Roman"/>
          <w:b w:val="0"/>
          <w:bCs w:val="0"/>
          <w:color w:val="auto"/>
          <w:sz w:val="30"/>
          <w:szCs w:val="30"/>
          <w:lang w:val="en-US" w:eastAsia="zh-CN"/>
        </w:rPr>
      </w:pPr>
      <w:r>
        <w:rPr>
          <w:rFonts w:hint="default" w:ascii="Times New Roman" w:hAnsi="Times New Roman" w:eastAsia="方正仿宋简体" w:cs="Times New Roman"/>
          <w:b w:val="0"/>
          <w:bCs w:val="0"/>
          <w:color w:val="auto"/>
          <w:sz w:val="30"/>
          <w:szCs w:val="30"/>
          <w:lang w:val="en-US" w:eastAsia="zh-CN"/>
        </w:rPr>
        <w:t>2.土地复垦还耕还草成效突出</w:t>
      </w:r>
      <w:r>
        <w:rPr>
          <w:rFonts w:hint="default" w:ascii="Times New Roman" w:hAnsi="Times New Roman" w:eastAsia="宋体" w:cs="Times New Roman"/>
          <w:b w:val="0"/>
          <w:bCs w:val="0"/>
          <w:color w:val="auto"/>
          <w:sz w:val="30"/>
          <w:szCs w:val="30"/>
          <w:lang w:val="en-US" w:eastAsia="zh-CN"/>
        </w:rPr>
        <w:t>​</w:t>
      </w:r>
    </w:p>
    <w:p w14:paraId="38AACB90">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kern w:val="2"/>
          <w:sz w:val="30"/>
          <w:szCs w:val="30"/>
          <w:highlight w:val="none"/>
          <w:lang w:val="en-US" w:eastAsia="zh-CN" w:bidi="ar-SA"/>
        </w:rPr>
      </w:pPr>
      <w:r>
        <w:rPr>
          <w:rFonts w:hint="default" w:ascii="Times New Roman" w:hAnsi="Times New Roman" w:eastAsia="方正仿宋简体" w:cs="Times New Roman"/>
          <w:kern w:val="2"/>
          <w:sz w:val="30"/>
          <w:szCs w:val="30"/>
          <w:highlight w:val="none"/>
          <w:lang w:val="en-US" w:eastAsia="zh-CN" w:bidi="ar-SA"/>
        </w:rPr>
        <w:t>完成沉陷土地治理复垦工作，恢复耕地、草地、林地与生态用地，大量受损草场与农田恢复高效利用状态，有效保障区域耕地保护与草原生态安全。​</w:t>
      </w:r>
    </w:p>
    <w:p w14:paraId="5C90E4A5">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b w:val="0"/>
          <w:bCs w:val="0"/>
          <w:color w:val="auto"/>
          <w:sz w:val="30"/>
          <w:szCs w:val="30"/>
          <w:lang w:val="en-US" w:eastAsia="zh-CN"/>
        </w:rPr>
      </w:pPr>
      <w:r>
        <w:rPr>
          <w:rFonts w:hint="default" w:ascii="Times New Roman" w:hAnsi="Times New Roman" w:eastAsia="方正仿宋简体" w:cs="Times New Roman"/>
          <w:b w:val="0"/>
          <w:bCs w:val="0"/>
          <w:color w:val="auto"/>
          <w:sz w:val="30"/>
          <w:szCs w:val="30"/>
          <w:lang w:val="en-US" w:eastAsia="zh-CN"/>
        </w:rPr>
        <w:t>3.生态环境质量持续改善​</w:t>
      </w:r>
    </w:p>
    <w:p w14:paraId="701A4A78">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宋体" w:cs="Times New Roman"/>
          <w:color w:val="auto"/>
          <w:sz w:val="28"/>
          <w:szCs w:val="28"/>
          <w:lang w:val="en-US" w:eastAsia="zh-CN"/>
        </w:rPr>
      </w:pPr>
      <w:r>
        <w:rPr>
          <w:rFonts w:hint="default" w:ascii="Times New Roman" w:hAnsi="Times New Roman" w:eastAsia="方正仿宋简体" w:cs="Times New Roman"/>
          <w:kern w:val="2"/>
          <w:sz w:val="30"/>
          <w:szCs w:val="30"/>
          <w:highlight w:val="none"/>
          <w:lang w:val="en-US" w:eastAsia="zh-CN" w:bidi="ar-SA"/>
        </w:rPr>
        <w:t>矿区可绿化面积实现植被全覆盖，地表植被覆盖率由开采扰动初期大幅提升，水土流失得到有效遏制，土壤结构与肥力持续改良；煤矸石综合利用，不外排，矿井水100%回收利用，地下水环境与含水层得到有效保护，矿区生态面貌由“沉陷破坏”恢复为平整稳固、绿意盎然的良好状态。</w:t>
      </w:r>
      <w:r>
        <w:rPr>
          <w:rFonts w:hint="default" w:ascii="Times New Roman" w:hAnsi="Times New Roman" w:eastAsia="宋体" w:cs="Times New Roman"/>
          <w:color w:val="auto"/>
          <w:sz w:val="28"/>
          <w:szCs w:val="28"/>
          <w:lang w:val="en-US" w:eastAsia="zh-CN"/>
        </w:rPr>
        <w:t>​</w:t>
      </w:r>
    </w:p>
    <w:p w14:paraId="7DDCCA66">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b w:val="0"/>
          <w:bCs w:val="0"/>
          <w:color w:val="auto"/>
          <w:sz w:val="30"/>
          <w:szCs w:val="30"/>
          <w:lang w:val="en-US" w:eastAsia="zh-CN"/>
        </w:rPr>
      </w:pPr>
      <w:r>
        <w:rPr>
          <w:rFonts w:hint="default" w:ascii="Times New Roman" w:hAnsi="Times New Roman" w:eastAsia="方正仿宋简体" w:cs="Times New Roman"/>
          <w:b w:val="0"/>
          <w:bCs w:val="0"/>
          <w:color w:val="auto"/>
          <w:sz w:val="30"/>
          <w:szCs w:val="30"/>
          <w:lang w:val="en-US" w:eastAsia="zh-CN"/>
        </w:rPr>
        <w:t>4.生物多样性与生态功能稳步恢复​</w:t>
      </w:r>
    </w:p>
    <w:p w14:paraId="4F84E493">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kern w:val="2"/>
          <w:sz w:val="30"/>
          <w:szCs w:val="30"/>
          <w:highlight w:val="none"/>
          <w:lang w:val="en-US" w:eastAsia="zh-CN" w:bidi="ar-SA"/>
        </w:rPr>
      </w:pPr>
      <w:r>
        <w:rPr>
          <w:rFonts w:hint="default" w:ascii="Times New Roman" w:hAnsi="Times New Roman" w:eastAsia="方正仿宋简体" w:cs="Times New Roman"/>
          <w:kern w:val="2"/>
          <w:sz w:val="30"/>
          <w:szCs w:val="30"/>
          <w:highlight w:val="none"/>
          <w:lang w:val="en-US" w:eastAsia="zh-CN" w:bidi="ar-SA"/>
        </w:rPr>
        <w:t>通过草场修复、林地营造、耕地恢复，乡土植物群落稳定重建，野生动物栖息环境持续改善，水土保持、防风固沙、水源涵养等生态功能显著增强，形成开采可控、生态可续、人与自然和谐的绿色矿区格局。</w:t>
      </w:r>
    </w:p>
    <w:p w14:paraId="3A9AED77">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简体" w:hAnsi="方正仿宋简体" w:eastAsia="方正仿宋简体" w:cs="方正仿宋简体"/>
          <w:b w:val="0"/>
          <w:bCs w:val="0"/>
          <w:color w:val="auto"/>
          <w:sz w:val="30"/>
          <w:szCs w:val="30"/>
          <w:lang w:val="en-US" w:eastAsia="zh-CN"/>
        </w:rPr>
      </w:pPr>
      <w:r>
        <w:rPr>
          <w:rFonts w:hint="default" w:ascii="Times New Roman" w:hAnsi="Times New Roman" w:eastAsia="方正仿宋简体" w:cs="Times New Roman"/>
          <w:b w:val="0"/>
          <w:bCs w:val="0"/>
          <w:color w:val="auto"/>
          <w:sz w:val="30"/>
          <w:szCs w:val="30"/>
          <w:lang w:val="en-US" w:eastAsia="zh-CN"/>
        </w:rPr>
        <w:t>5.综合</w:t>
      </w:r>
      <w:r>
        <w:rPr>
          <w:rFonts w:hint="eastAsia" w:ascii="方正仿宋简体" w:hAnsi="方正仿宋简体" w:eastAsia="方正仿宋简体" w:cs="方正仿宋简体"/>
          <w:b w:val="0"/>
          <w:bCs w:val="0"/>
          <w:color w:val="auto"/>
          <w:sz w:val="30"/>
          <w:szCs w:val="30"/>
          <w:lang w:val="en-US" w:eastAsia="zh-CN"/>
        </w:rPr>
        <w:t>效益与示范作用显著​</w:t>
      </w:r>
    </w:p>
    <w:p w14:paraId="45283306">
      <w:pPr>
        <w:pStyle w:val="9"/>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方正仿宋简体" w:hAnsi="方正仿宋简体" w:eastAsia="方正仿宋简体" w:cs="方正仿宋简体"/>
          <w:color w:val="000000"/>
          <w:kern w:val="0"/>
          <w:sz w:val="30"/>
          <w:szCs w:val="30"/>
          <w:lang w:val="en-US" w:eastAsia="zh-CN" w:bidi="ar"/>
        </w:rPr>
      </w:pPr>
      <w:r>
        <w:rPr>
          <w:rFonts w:hint="default" w:ascii="方正仿宋简体" w:hAnsi="方正仿宋简体" w:eastAsia="方正仿宋简体" w:cs="方正仿宋简体"/>
          <w:color w:val="000000"/>
          <w:kern w:val="0"/>
          <w:sz w:val="30"/>
          <w:szCs w:val="30"/>
          <w:lang w:val="en-US" w:eastAsia="zh-CN" w:bidi="ar"/>
        </w:rPr>
        <w:t>治理复垦实现安全效益、生态效益、社会效益、经济效益协同统一，矿山获评</w:t>
      </w:r>
      <w:r>
        <w:rPr>
          <w:rFonts w:hint="eastAsia" w:ascii="方正仿宋简体" w:hAnsi="方正仿宋简体" w:eastAsia="方正仿宋简体" w:cs="方正仿宋简体"/>
          <w:color w:val="000000"/>
          <w:kern w:val="0"/>
          <w:sz w:val="30"/>
          <w:szCs w:val="30"/>
          <w:lang w:val="en-US" w:eastAsia="zh-CN" w:bidi="ar"/>
        </w:rPr>
        <w:t>自治区</w:t>
      </w:r>
      <w:r>
        <w:rPr>
          <w:rFonts w:hint="default" w:ascii="方正仿宋简体" w:hAnsi="方正仿宋简体" w:eastAsia="方正仿宋简体" w:cs="方正仿宋简体"/>
          <w:color w:val="000000"/>
          <w:kern w:val="0"/>
          <w:sz w:val="30"/>
          <w:szCs w:val="30"/>
          <w:lang w:val="en-US" w:eastAsia="zh-CN" w:bidi="ar"/>
        </w:rPr>
        <w:t>级绿色矿山、智能化示范矿井，形成监测先行、注浆减沉、分区复垦、固废利用、长效管护的井工煤矿成熟模式，为内蒙古及全国同类型井工煤矿提供可复制、可推广的示范经验。</w:t>
      </w:r>
    </w:p>
    <w:p w14:paraId="629A68A0">
      <w:pPr>
        <w:keepNext w:val="0"/>
        <w:keepLines w:val="0"/>
        <w:pageBreakBefore w:val="0"/>
        <w:kinsoku/>
        <w:wordWrap/>
        <w:overflowPunct/>
        <w:topLinePunct w:val="0"/>
        <w:autoSpaceDE/>
        <w:autoSpaceDN/>
        <w:bidi w:val="0"/>
        <w:spacing w:line="560" w:lineRule="exact"/>
        <w:ind w:firstLine="600" w:firstLineChars="200"/>
        <w:textAlignment w:val="auto"/>
        <w:outlineLvl w:val="0"/>
        <w:rPr>
          <w:rFonts w:hint="default" w:ascii="Times New Roman" w:hAnsi="Times New Roman" w:eastAsia="黑体" w:cs="Times New Roman"/>
          <w:sz w:val="30"/>
          <w:szCs w:val="30"/>
          <w:lang w:val="en-US" w:eastAsia="zh-CN"/>
        </w:rPr>
      </w:pPr>
      <w:bookmarkStart w:id="27" w:name="_Toc16556"/>
      <w:bookmarkStart w:id="28" w:name="_Toc30589"/>
      <w:bookmarkStart w:id="29" w:name="_Toc20487"/>
      <w:r>
        <w:rPr>
          <w:rFonts w:hint="default" w:ascii="Times New Roman" w:hAnsi="Times New Roman" w:eastAsia="黑体" w:cs="Times New Roman"/>
          <w:sz w:val="30"/>
          <w:szCs w:val="30"/>
          <w:lang w:val="en-US" w:eastAsia="zh-CN"/>
        </w:rPr>
        <w:t>第三章 202</w:t>
      </w:r>
      <w:r>
        <w:rPr>
          <w:rFonts w:hint="eastAsia" w:eastAsia="黑体" w:cs="Times New Roman"/>
          <w:sz w:val="30"/>
          <w:szCs w:val="30"/>
          <w:lang w:val="en-US" w:eastAsia="zh-CN"/>
        </w:rPr>
        <w:t>6</w:t>
      </w:r>
      <w:r>
        <w:rPr>
          <w:rFonts w:hint="default" w:ascii="Times New Roman" w:hAnsi="Times New Roman" w:eastAsia="黑体" w:cs="Times New Roman"/>
          <w:sz w:val="30"/>
          <w:szCs w:val="30"/>
        </w:rPr>
        <w:t>年矿山地质环境治理</w:t>
      </w:r>
      <w:r>
        <w:rPr>
          <w:rFonts w:hint="default" w:ascii="Times New Roman" w:hAnsi="Times New Roman" w:eastAsia="黑体" w:cs="Times New Roman"/>
          <w:sz w:val="30"/>
          <w:szCs w:val="30"/>
          <w:lang w:val="en-US" w:eastAsia="zh-CN"/>
        </w:rPr>
        <w:t>计划</w:t>
      </w:r>
      <w:bookmarkEnd w:id="27"/>
      <w:bookmarkEnd w:id="28"/>
      <w:bookmarkEnd w:id="29"/>
    </w:p>
    <w:p w14:paraId="56A58638">
      <w:pPr>
        <w:keepNext w:val="0"/>
        <w:keepLines w:val="0"/>
        <w:pageBreakBefore w:val="0"/>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方正仿宋简体" w:cs="Times New Roman"/>
          <w:sz w:val="30"/>
          <w:szCs w:val="30"/>
          <w:highlight w:val="yellow"/>
          <w:lang w:val="en-US" w:eastAsia="zh-CN"/>
        </w:rPr>
      </w:pPr>
      <w:bookmarkStart w:id="30" w:name="_Toc18072"/>
      <w:bookmarkStart w:id="31" w:name="_Toc1460"/>
      <w:bookmarkStart w:id="32" w:name="_Toc9935"/>
      <w:r>
        <w:rPr>
          <w:rFonts w:hint="default" w:ascii="Times New Roman" w:hAnsi="Times New Roman" w:eastAsia="楷体" w:cs="Times New Roman"/>
          <w:sz w:val="30"/>
          <w:szCs w:val="30"/>
          <w:lang w:val="en-US" w:eastAsia="zh-CN"/>
        </w:rPr>
        <w:t>第一节 矿山开采历史及现状</w:t>
      </w:r>
      <w:bookmarkEnd w:id="30"/>
      <w:bookmarkEnd w:id="31"/>
      <w:bookmarkEnd w:id="32"/>
      <w:bookmarkStart w:id="33" w:name="bookmark16"/>
      <w:bookmarkEnd w:id="33"/>
      <w:bookmarkStart w:id="34" w:name="bookmark15"/>
      <w:bookmarkEnd w:id="34"/>
    </w:p>
    <w:p w14:paraId="1ED3031F">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方正仿宋简体" w:cs="Times New Roman"/>
          <w:sz w:val="30"/>
          <w:szCs w:val="30"/>
          <w:highlight w:val="yellow"/>
          <w:lang w:val="en-US" w:eastAsia="zh-CN"/>
        </w:rPr>
      </w:pPr>
      <w:r>
        <w:rPr>
          <w:rFonts w:ascii="方正仿宋简体" w:hAnsi="方正仿宋简体" w:eastAsia="方正仿宋简体" w:cs="方正仿宋简体"/>
          <w:color w:val="000000"/>
          <w:kern w:val="0"/>
          <w:sz w:val="30"/>
          <w:szCs w:val="30"/>
          <w:lang w:val="en-US" w:eastAsia="zh-CN" w:bidi="ar"/>
        </w:rPr>
        <w:t>葫芦素矿井于</w:t>
      </w:r>
      <w:r>
        <w:rPr>
          <w:rFonts w:hint="default" w:ascii="Times New Roman" w:hAnsi="Times New Roman" w:eastAsia="宋体" w:cs="Times New Roman"/>
          <w:color w:val="000000"/>
          <w:kern w:val="0"/>
          <w:sz w:val="30"/>
          <w:szCs w:val="30"/>
          <w:lang w:val="en-US" w:eastAsia="zh-CN" w:bidi="ar"/>
        </w:rPr>
        <w:t>2010</w:t>
      </w:r>
      <w:r>
        <w:rPr>
          <w:rFonts w:hint="eastAsia" w:ascii="方正仿宋简体" w:hAnsi="方正仿宋简体" w:eastAsia="方正仿宋简体" w:cs="方正仿宋简体"/>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w:t>
      </w:r>
      <w:r>
        <w:rPr>
          <w:rFonts w:hint="eastAsia" w:ascii="方正仿宋简体" w:hAnsi="方正仿宋简体" w:eastAsia="方正仿宋简体" w:cs="方正仿宋简体"/>
          <w:color w:val="000000"/>
          <w:kern w:val="0"/>
          <w:sz w:val="30"/>
          <w:szCs w:val="30"/>
          <w:lang w:val="en-US" w:eastAsia="zh-CN" w:bidi="ar"/>
        </w:rPr>
        <w:t>月开工建设，</w:t>
      </w:r>
      <w:r>
        <w:rPr>
          <w:rFonts w:hint="default" w:ascii="Times New Roman" w:hAnsi="Times New Roman" w:eastAsia="宋体" w:cs="Times New Roman"/>
          <w:color w:val="000000"/>
          <w:kern w:val="0"/>
          <w:sz w:val="30"/>
          <w:szCs w:val="30"/>
          <w:lang w:val="en-US" w:eastAsia="zh-CN" w:bidi="ar"/>
        </w:rPr>
        <w:t>2017</w:t>
      </w:r>
      <w:r>
        <w:rPr>
          <w:rFonts w:hint="eastAsia" w:ascii="方正仿宋简体" w:hAnsi="方正仿宋简体" w:eastAsia="方正仿宋简体" w:cs="方正仿宋简体"/>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w:t>
      </w:r>
      <w:r>
        <w:rPr>
          <w:rFonts w:hint="eastAsia" w:ascii="方正仿宋简体" w:hAnsi="方正仿宋简体" w:eastAsia="方正仿宋简体" w:cs="方正仿宋简体"/>
          <w:color w:val="000000"/>
          <w:kern w:val="0"/>
          <w:sz w:val="30"/>
          <w:szCs w:val="30"/>
          <w:lang w:val="en-US" w:eastAsia="zh-CN" w:bidi="ar"/>
        </w:rPr>
        <w:t>月开始联合试运转，</w:t>
      </w:r>
      <w:r>
        <w:rPr>
          <w:rFonts w:hint="default" w:ascii="Times New Roman" w:hAnsi="Times New Roman" w:eastAsia="宋体" w:cs="Times New Roman"/>
          <w:color w:val="000000"/>
          <w:kern w:val="0"/>
          <w:sz w:val="30"/>
          <w:szCs w:val="30"/>
          <w:lang w:val="en-US" w:eastAsia="zh-CN" w:bidi="ar"/>
        </w:rPr>
        <w:t>2019</w:t>
      </w:r>
      <w:r>
        <w:rPr>
          <w:rFonts w:hint="eastAsia" w:ascii="方正仿宋简体" w:hAnsi="方正仿宋简体" w:eastAsia="方正仿宋简体" w:cs="方正仿宋简体"/>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10</w:t>
      </w:r>
      <w:r>
        <w:rPr>
          <w:rFonts w:hint="eastAsia" w:ascii="方正仿宋简体" w:hAnsi="方正仿宋简体" w:eastAsia="方正仿宋简体" w:cs="方正仿宋简体"/>
          <w:color w:val="000000"/>
          <w:kern w:val="0"/>
          <w:sz w:val="30"/>
          <w:szCs w:val="30"/>
          <w:lang w:val="en-US" w:eastAsia="zh-CN" w:bidi="ar"/>
        </w:rPr>
        <w:t>月完成中煤集团组织的竣工验收，</w:t>
      </w:r>
      <w:r>
        <w:rPr>
          <w:rFonts w:hint="default" w:ascii="Times New Roman" w:hAnsi="Times New Roman" w:eastAsia="宋体" w:cs="Times New Roman"/>
          <w:color w:val="000000"/>
          <w:kern w:val="0"/>
          <w:sz w:val="30"/>
          <w:szCs w:val="30"/>
          <w:lang w:val="en-US" w:eastAsia="zh-CN" w:bidi="ar"/>
        </w:rPr>
        <w:t>2020</w:t>
      </w:r>
      <w:r>
        <w:rPr>
          <w:rFonts w:hint="eastAsia" w:ascii="方正仿宋简体" w:hAnsi="方正仿宋简体" w:eastAsia="方正仿宋简体" w:cs="方正仿宋简体"/>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10</w:t>
      </w:r>
      <w:r>
        <w:rPr>
          <w:rFonts w:hint="eastAsia" w:ascii="方正仿宋简体" w:hAnsi="方正仿宋简体" w:eastAsia="方正仿宋简体" w:cs="方正仿宋简体"/>
          <w:color w:val="000000"/>
          <w:kern w:val="0"/>
          <w:sz w:val="30"/>
          <w:szCs w:val="30"/>
          <w:lang w:val="en-US" w:eastAsia="zh-CN" w:bidi="ar"/>
        </w:rPr>
        <w:t>月完成竣工验收备案。</w:t>
      </w:r>
      <w:r>
        <w:rPr>
          <w:rFonts w:hint="default" w:ascii="Times New Roman" w:hAnsi="Times New Roman" w:eastAsia="方正仿宋简体" w:cs="Times New Roman"/>
          <w:color w:val="000000"/>
          <w:kern w:val="0"/>
          <w:sz w:val="30"/>
          <w:szCs w:val="30"/>
          <w:lang w:val="en-US" w:eastAsia="zh-CN" w:bidi="ar"/>
        </w:rPr>
        <w:t>开采煤层为</w:t>
      </w:r>
      <w:r>
        <w:rPr>
          <w:rFonts w:hint="default" w:ascii="Times New Roman" w:hAnsi="Times New Roman" w:eastAsia="宋体" w:cs="Times New Roman"/>
          <w:color w:val="000000"/>
          <w:kern w:val="0"/>
          <w:sz w:val="30"/>
          <w:szCs w:val="30"/>
          <w:lang w:val="en-US" w:eastAsia="zh-CN" w:bidi="ar"/>
        </w:rPr>
        <w:t>2-1</w:t>
      </w:r>
      <w:r>
        <w:rPr>
          <w:rFonts w:hint="default" w:ascii="Times New Roman" w:hAnsi="Times New Roman" w:eastAsia="方正仿宋简体" w:cs="Times New Roman"/>
          <w:color w:val="000000"/>
          <w:kern w:val="0"/>
          <w:sz w:val="30"/>
          <w:szCs w:val="30"/>
          <w:lang w:val="en-US" w:eastAsia="zh-CN" w:bidi="ar"/>
        </w:rPr>
        <w:t>煤，采用综采放顶煤回采工艺、一次采全厚回采。目前已开采工作面分别为一盘区2-2中煤22103综采工作面，一盘区2-1煤21101、21102、21103、21104、21105综采工作面，二盘区2-1煤21204、21205综采工作面，四盘区2-1煤21404、21405、21406综采工作面，目前正在开采一盘区2-1煤211</w:t>
      </w:r>
      <w:r>
        <w:rPr>
          <w:rFonts w:hint="eastAsia" w:eastAsia="方正仿宋简体" w:cs="Times New Roman"/>
          <w:color w:val="000000"/>
          <w:kern w:val="0"/>
          <w:sz w:val="30"/>
          <w:szCs w:val="30"/>
          <w:lang w:val="en-US" w:eastAsia="zh-CN" w:bidi="ar"/>
        </w:rPr>
        <w:t>11</w:t>
      </w:r>
      <w:r>
        <w:rPr>
          <w:rFonts w:hint="default" w:ascii="Times New Roman" w:hAnsi="Times New Roman" w:eastAsia="方正仿宋简体" w:cs="Times New Roman"/>
          <w:color w:val="000000"/>
          <w:kern w:val="0"/>
          <w:sz w:val="30"/>
          <w:szCs w:val="30"/>
          <w:lang w:val="en-US" w:eastAsia="zh-CN" w:bidi="ar"/>
        </w:rPr>
        <w:t>综采工作面和四盘区2-1煤2140</w:t>
      </w:r>
      <w:r>
        <w:rPr>
          <w:rFonts w:hint="eastAsia" w:eastAsia="方正仿宋简体" w:cs="Times New Roman"/>
          <w:color w:val="000000"/>
          <w:kern w:val="0"/>
          <w:sz w:val="30"/>
          <w:szCs w:val="30"/>
          <w:lang w:val="en-US" w:eastAsia="zh-CN" w:bidi="ar"/>
        </w:rPr>
        <w:t>3</w:t>
      </w:r>
      <w:r>
        <w:rPr>
          <w:rFonts w:hint="default" w:ascii="Times New Roman" w:hAnsi="Times New Roman" w:eastAsia="方正仿宋简体" w:cs="Times New Roman"/>
          <w:color w:val="000000"/>
          <w:kern w:val="0"/>
          <w:sz w:val="30"/>
          <w:szCs w:val="30"/>
          <w:lang w:val="en-US" w:eastAsia="zh-CN" w:bidi="ar"/>
        </w:rPr>
        <w:t>综采工作面。</w:t>
      </w:r>
    </w:p>
    <w:p w14:paraId="17A5A461">
      <w:pPr>
        <w:keepNext w:val="0"/>
        <w:keepLines w:val="0"/>
        <w:pageBreakBefore w:val="0"/>
        <w:kinsoku/>
        <w:wordWrap/>
        <w:overflowPunct/>
        <w:topLinePunct w:val="0"/>
        <w:autoSpaceDE/>
        <w:autoSpaceDN/>
        <w:bidi w:val="0"/>
        <w:adjustRightInd/>
        <w:snapToGrid/>
        <w:spacing w:line="560" w:lineRule="exact"/>
        <w:ind w:firstLine="600" w:firstLineChars="200"/>
        <w:textAlignment w:val="auto"/>
        <w:outlineLvl w:val="1"/>
        <w:rPr>
          <w:rFonts w:hint="default" w:ascii="Times New Roman" w:hAnsi="Times New Roman" w:eastAsia="楷体" w:cs="Times New Roman"/>
          <w:sz w:val="30"/>
          <w:szCs w:val="30"/>
          <w:highlight w:val="none"/>
          <w:lang w:val="en-US" w:eastAsia="zh-CN"/>
        </w:rPr>
      </w:pPr>
      <w:bookmarkStart w:id="35" w:name="bookmark17"/>
      <w:bookmarkEnd w:id="35"/>
      <w:bookmarkStart w:id="36" w:name="bookmark18"/>
      <w:bookmarkEnd w:id="36"/>
      <w:bookmarkStart w:id="37" w:name="_Toc11421"/>
      <w:bookmarkStart w:id="38" w:name="_Toc5461"/>
      <w:bookmarkStart w:id="39" w:name="_Toc20479"/>
      <w:r>
        <w:rPr>
          <w:rFonts w:hint="default" w:ascii="Times New Roman" w:hAnsi="Times New Roman" w:eastAsia="楷体" w:cs="Times New Roman"/>
          <w:sz w:val="30"/>
          <w:szCs w:val="30"/>
          <w:highlight w:val="none"/>
          <w:lang w:val="en-US" w:eastAsia="zh-CN"/>
        </w:rPr>
        <w:t>第</w:t>
      </w:r>
      <w:r>
        <w:rPr>
          <w:rFonts w:hint="eastAsia" w:eastAsia="楷体" w:cs="Times New Roman"/>
          <w:sz w:val="30"/>
          <w:szCs w:val="30"/>
          <w:highlight w:val="none"/>
          <w:lang w:val="en-US" w:eastAsia="zh-CN"/>
        </w:rPr>
        <w:t>二</w:t>
      </w:r>
      <w:r>
        <w:rPr>
          <w:rFonts w:hint="default" w:ascii="Times New Roman" w:hAnsi="Times New Roman" w:eastAsia="楷体" w:cs="Times New Roman"/>
          <w:sz w:val="30"/>
          <w:szCs w:val="30"/>
          <w:highlight w:val="none"/>
          <w:lang w:val="en-US" w:eastAsia="zh-CN"/>
        </w:rPr>
        <w:t>节 本年度生产计划</w:t>
      </w:r>
      <w:bookmarkEnd w:id="37"/>
      <w:bookmarkEnd w:id="38"/>
      <w:bookmarkEnd w:id="39"/>
    </w:p>
    <w:p w14:paraId="245405BE">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井工矿区开采煤层为</w:t>
      </w:r>
      <w:r>
        <w:rPr>
          <w:rFonts w:hint="eastAsia" w:eastAsia="方正仿宋简体" w:cs="Times New Roman"/>
          <w:sz w:val="30"/>
          <w:szCs w:val="30"/>
          <w:highlight w:val="none"/>
          <w:lang w:val="en-US" w:eastAsia="zh-CN"/>
        </w:rPr>
        <w:t>2</w:t>
      </w:r>
      <w:r>
        <w:rPr>
          <w:rFonts w:hint="default" w:ascii="Times New Roman" w:hAnsi="Times New Roman" w:eastAsia="方正仿宋简体" w:cs="Times New Roman"/>
          <w:sz w:val="30"/>
          <w:szCs w:val="30"/>
          <w:highlight w:val="none"/>
          <w:lang w:val="en-US" w:eastAsia="zh-CN"/>
        </w:rPr>
        <w:t>-1煤层，</w:t>
      </w:r>
      <w:r>
        <w:rPr>
          <w:rFonts w:hint="eastAsia" w:eastAsia="方正仿宋简体" w:cs="Times New Roman"/>
          <w:sz w:val="30"/>
          <w:szCs w:val="30"/>
          <w:highlight w:val="none"/>
          <w:lang w:val="en-US" w:eastAsia="zh-CN"/>
        </w:rPr>
        <w:t>计划接续</w:t>
      </w:r>
      <w:r>
        <w:rPr>
          <w:rFonts w:hint="default" w:ascii="Times New Roman" w:hAnsi="Times New Roman" w:eastAsia="方正仿宋简体" w:cs="Times New Roman"/>
          <w:sz w:val="30"/>
          <w:szCs w:val="30"/>
          <w:highlight w:val="none"/>
          <w:lang w:val="en-US" w:eastAsia="zh-CN"/>
        </w:rPr>
        <w:t>开采工作面为</w:t>
      </w:r>
      <w:r>
        <w:rPr>
          <w:rFonts w:hint="eastAsia" w:eastAsia="方正仿宋简体" w:cs="Times New Roman"/>
          <w:sz w:val="30"/>
          <w:szCs w:val="30"/>
          <w:highlight w:val="none"/>
          <w:lang w:val="en-US" w:eastAsia="zh-CN"/>
        </w:rPr>
        <w:t>21111、21403</w:t>
      </w:r>
      <w:r>
        <w:rPr>
          <w:rFonts w:hint="default" w:ascii="Times New Roman" w:hAnsi="Times New Roman" w:eastAsia="方正仿宋简体" w:cs="Times New Roman"/>
          <w:sz w:val="30"/>
          <w:szCs w:val="30"/>
          <w:highlight w:val="none"/>
          <w:lang w:val="en-US" w:eastAsia="zh-CN"/>
        </w:rPr>
        <w:t>工作面。</w:t>
      </w:r>
    </w:p>
    <w:p w14:paraId="7E67257A">
      <w:pPr>
        <w:keepNext w:val="0"/>
        <w:keepLines w:val="0"/>
        <w:pageBreakBefore w:val="0"/>
        <w:kinsoku/>
        <w:wordWrap/>
        <w:overflowPunct/>
        <w:topLinePunct w:val="0"/>
        <w:autoSpaceDE/>
        <w:autoSpaceDN/>
        <w:bidi w:val="0"/>
        <w:adjustRightInd/>
        <w:snapToGrid/>
        <w:spacing w:line="560" w:lineRule="exact"/>
        <w:ind w:firstLine="600" w:firstLineChars="200"/>
        <w:textAlignment w:val="auto"/>
        <w:outlineLvl w:val="1"/>
        <w:rPr>
          <w:rFonts w:hint="default" w:ascii="Times New Roman" w:hAnsi="Times New Roman" w:eastAsia="楷体" w:cs="Times New Roman"/>
          <w:sz w:val="30"/>
          <w:szCs w:val="30"/>
          <w:highlight w:val="none"/>
          <w:lang w:val="en-US" w:eastAsia="zh-CN"/>
        </w:rPr>
      </w:pPr>
      <w:bookmarkStart w:id="40" w:name="bookmark19"/>
      <w:bookmarkEnd w:id="40"/>
      <w:bookmarkStart w:id="41" w:name="bookmark20"/>
      <w:bookmarkEnd w:id="41"/>
      <w:bookmarkStart w:id="42" w:name="_Toc7082"/>
      <w:bookmarkStart w:id="43" w:name="_Toc4663"/>
      <w:bookmarkStart w:id="44" w:name="_Toc25301"/>
      <w:r>
        <w:rPr>
          <w:rFonts w:hint="default" w:ascii="Times New Roman" w:hAnsi="Times New Roman" w:eastAsia="楷体" w:cs="Times New Roman"/>
          <w:sz w:val="30"/>
          <w:szCs w:val="30"/>
          <w:highlight w:val="none"/>
          <w:lang w:val="en-US" w:eastAsia="zh-CN"/>
        </w:rPr>
        <w:t>第</w:t>
      </w:r>
      <w:r>
        <w:rPr>
          <w:rFonts w:hint="eastAsia" w:eastAsia="楷体" w:cs="Times New Roman"/>
          <w:sz w:val="30"/>
          <w:szCs w:val="30"/>
          <w:highlight w:val="none"/>
          <w:lang w:val="en-US" w:eastAsia="zh-CN"/>
        </w:rPr>
        <w:t>三</w:t>
      </w:r>
      <w:r>
        <w:rPr>
          <w:rFonts w:hint="default" w:ascii="Times New Roman" w:hAnsi="Times New Roman" w:eastAsia="楷体" w:cs="Times New Roman"/>
          <w:sz w:val="30"/>
          <w:szCs w:val="30"/>
          <w:highlight w:val="none"/>
          <w:lang w:val="en-US" w:eastAsia="zh-CN"/>
        </w:rPr>
        <w:t>节 治理范围</w:t>
      </w:r>
      <w:bookmarkEnd w:id="42"/>
      <w:bookmarkEnd w:id="43"/>
      <w:bookmarkEnd w:id="44"/>
    </w:p>
    <w:p w14:paraId="53BFAAF1">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202</w:t>
      </w:r>
      <w:r>
        <w:rPr>
          <w:rFonts w:hint="eastAsia" w:eastAsia="方正仿宋简体" w:cs="Times New Roman"/>
          <w:sz w:val="30"/>
          <w:szCs w:val="30"/>
          <w:highlight w:val="none"/>
          <w:lang w:val="en-US" w:eastAsia="zh-CN"/>
        </w:rPr>
        <w:t>6</w:t>
      </w:r>
      <w:r>
        <w:rPr>
          <w:rFonts w:hint="default" w:ascii="Times New Roman" w:hAnsi="Times New Roman" w:eastAsia="方正仿宋简体" w:cs="Times New Roman"/>
          <w:sz w:val="30"/>
          <w:szCs w:val="30"/>
          <w:highlight w:val="none"/>
          <w:lang w:val="en-US" w:eastAsia="zh-CN"/>
        </w:rPr>
        <w:t>年度计划治理范围为</w:t>
      </w:r>
      <w:r>
        <w:rPr>
          <w:rFonts w:hint="eastAsia" w:eastAsia="方正仿宋简体" w:cs="Times New Roman"/>
          <w:sz w:val="30"/>
          <w:szCs w:val="30"/>
          <w:highlight w:val="none"/>
          <w:lang w:val="en-US" w:eastAsia="zh-CN"/>
        </w:rPr>
        <w:t>21111、21403</w:t>
      </w:r>
      <w:r>
        <w:rPr>
          <w:rFonts w:hint="default" w:ascii="Times New Roman" w:hAnsi="Times New Roman" w:eastAsia="方正仿宋简体" w:cs="Times New Roman"/>
          <w:sz w:val="30"/>
          <w:szCs w:val="30"/>
          <w:highlight w:val="none"/>
          <w:lang w:val="en-US" w:eastAsia="zh-CN"/>
        </w:rPr>
        <w:t>采空区，</w:t>
      </w:r>
      <w:r>
        <w:rPr>
          <w:rFonts w:hint="eastAsia" w:eastAsia="方正仿宋简体" w:cs="Times New Roman"/>
          <w:sz w:val="30"/>
          <w:szCs w:val="30"/>
          <w:highlight w:val="none"/>
          <w:lang w:val="en-US" w:eastAsia="zh-CN"/>
        </w:rPr>
        <w:t>由于我矿采空区地表无明显沉降、塌陷、裂缝等存在，后续依据现场实际情况进行治理。</w:t>
      </w:r>
    </w:p>
    <w:p w14:paraId="14A19084">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pacing w:val="2"/>
          <w:kern w:val="2"/>
          <w:sz w:val="31"/>
          <w:szCs w:val="31"/>
          <w:highlight w:val="none"/>
          <w:lang w:val="en-US" w:eastAsia="zh-CN" w:bidi="ar-SA"/>
        </w:rPr>
      </w:pPr>
      <w:r>
        <w:rPr>
          <w:rFonts w:hint="default" w:ascii="Times New Roman" w:hAnsi="Times New Roman" w:eastAsia="宋体" w:cs="Times New Roman"/>
          <w:b/>
          <w:bCs/>
          <w:spacing w:val="2"/>
          <w:kern w:val="2"/>
          <w:sz w:val="31"/>
          <w:szCs w:val="31"/>
          <w:highlight w:val="none"/>
          <w:lang w:val="en-US" w:eastAsia="zh-CN" w:bidi="ar-SA"/>
        </w:rPr>
        <w:t>表</w:t>
      </w:r>
      <w:r>
        <w:rPr>
          <w:rFonts w:hint="eastAsia" w:cs="Times New Roman"/>
          <w:b/>
          <w:bCs/>
          <w:spacing w:val="2"/>
          <w:kern w:val="2"/>
          <w:sz w:val="31"/>
          <w:szCs w:val="31"/>
          <w:highlight w:val="none"/>
          <w:lang w:val="en-US" w:eastAsia="zh-CN" w:bidi="ar-SA"/>
        </w:rPr>
        <w:t>3</w:t>
      </w:r>
      <w:r>
        <w:rPr>
          <w:rFonts w:hint="default" w:ascii="Times New Roman" w:hAnsi="Times New Roman" w:eastAsia="宋体" w:cs="Times New Roman"/>
          <w:b/>
          <w:bCs/>
          <w:spacing w:val="2"/>
          <w:kern w:val="2"/>
          <w:sz w:val="31"/>
          <w:szCs w:val="31"/>
          <w:highlight w:val="none"/>
          <w:lang w:val="en-US" w:eastAsia="zh-CN" w:bidi="ar-SA"/>
        </w:rPr>
        <w:t xml:space="preserve"> 本年度</w:t>
      </w:r>
      <w:r>
        <w:rPr>
          <w:rFonts w:hint="eastAsia" w:ascii="Times New Roman" w:hAnsi="Times New Roman" w:eastAsia="宋体" w:cs="Times New Roman"/>
          <w:b/>
          <w:bCs/>
          <w:spacing w:val="2"/>
          <w:kern w:val="2"/>
          <w:sz w:val="31"/>
          <w:szCs w:val="31"/>
          <w:highlight w:val="none"/>
          <w:lang w:val="en-US" w:eastAsia="zh-CN" w:bidi="ar-SA"/>
        </w:rPr>
        <w:t>采空</w:t>
      </w:r>
      <w:r>
        <w:rPr>
          <w:rFonts w:hint="default" w:ascii="Times New Roman" w:hAnsi="Times New Roman" w:eastAsia="宋体" w:cs="Times New Roman"/>
          <w:b/>
          <w:bCs/>
          <w:spacing w:val="2"/>
          <w:kern w:val="2"/>
          <w:sz w:val="31"/>
          <w:szCs w:val="31"/>
          <w:highlight w:val="none"/>
          <w:lang w:val="en-US" w:eastAsia="zh-CN" w:bidi="ar-SA"/>
        </w:rPr>
        <w:t>区1拐点坐标表（</w:t>
      </w:r>
      <w:r>
        <w:rPr>
          <w:rFonts w:hint="eastAsia" w:ascii="Times New Roman" w:hAnsi="Times New Roman" w:eastAsia="宋体" w:cs="Times New Roman"/>
          <w:b/>
          <w:bCs/>
          <w:spacing w:val="2"/>
          <w:kern w:val="2"/>
          <w:sz w:val="31"/>
          <w:szCs w:val="31"/>
          <w:highlight w:val="none"/>
          <w:lang w:val="en-US" w:eastAsia="zh-CN" w:bidi="ar-SA"/>
        </w:rPr>
        <w:t>21111</w:t>
      </w:r>
      <w:r>
        <w:rPr>
          <w:rFonts w:hint="default" w:ascii="Times New Roman" w:hAnsi="Times New Roman" w:eastAsia="宋体" w:cs="Times New Roman"/>
          <w:b/>
          <w:bCs/>
          <w:spacing w:val="2"/>
          <w:kern w:val="2"/>
          <w:sz w:val="31"/>
          <w:szCs w:val="31"/>
          <w:highlight w:val="none"/>
          <w:lang w:val="en-US" w:eastAsia="zh-CN" w:bidi="ar-SA"/>
        </w:rPr>
        <w:t>工作面）</w:t>
      </w:r>
    </w:p>
    <w:tbl>
      <w:tblPr>
        <w:tblStyle w:val="18"/>
        <w:tblW w:w="8068" w:type="dxa"/>
        <w:tblInd w:w="5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6"/>
        <w:gridCol w:w="2981"/>
        <w:gridCol w:w="3151"/>
      </w:tblGrid>
      <w:tr w14:paraId="353F6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8068" w:type="dxa"/>
            <w:gridSpan w:val="3"/>
            <w:vAlign w:val="top"/>
          </w:tcPr>
          <w:p w14:paraId="76253E50">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采空区范围（80坐标6度带）</w:t>
            </w:r>
          </w:p>
        </w:tc>
      </w:tr>
      <w:tr w14:paraId="5CDDF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936" w:type="dxa"/>
            <w:vAlign w:val="top"/>
          </w:tcPr>
          <w:p w14:paraId="63314CC2">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序号</w:t>
            </w:r>
          </w:p>
        </w:tc>
        <w:tc>
          <w:tcPr>
            <w:tcW w:w="2981" w:type="dxa"/>
            <w:vAlign w:val="top"/>
          </w:tcPr>
          <w:p w14:paraId="484EEE2B">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X 坐标</w:t>
            </w:r>
          </w:p>
        </w:tc>
        <w:tc>
          <w:tcPr>
            <w:tcW w:w="3151" w:type="dxa"/>
            <w:vAlign w:val="top"/>
          </w:tcPr>
          <w:p w14:paraId="3BD96FDB">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Y 坐标</w:t>
            </w:r>
          </w:p>
        </w:tc>
      </w:tr>
      <w:tr w14:paraId="32DEA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936" w:type="dxa"/>
            <w:vAlign w:val="top"/>
          </w:tcPr>
          <w:p w14:paraId="0736DCEF">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1</w:t>
            </w:r>
          </w:p>
        </w:tc>
        <w:tc>
          <w:tcPr>
            <w:tcW w:w="2981" w:type="dxa"/>
            <w:vAlign w:val="bottom"/>
          </w:tcPr>
          <w:p w14:paraId="18C37996">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4324310.958</w:t>
            </w:r>
          </w:p>
        </w:tc>
        <w:tc>
          <w:tcPr>
            <w:tcW w:w="3151" w:type="dxa"/>
            <w:vAlign w:val="bottom"/>
          </w:tcPr>
          <w:p w14:paraId="220D219A">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370016.036</w:t>
            </w:r>
          </w:p>
        </w:tc>
      </w:tr>
      <w:tr w14:paraId="0DC92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936" w:type="dxa"/>
            <w:vAlign w:val="top"/>
          </w:tcPr>
          <w:p w14:paraId="32694DDE">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2</w:t>
            </w:r>
          </w:p>
        </w:tc>
        <w:tc>
          <w:tcPr>
            <w:tcW w:w="2981" w:type="dxa"/>
            <w:vAlign w:val="bottom"/>
          </w:tcPr>
          <w:p w14:paraId="1AC6DAAC">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4324310.958</w:t>
            </w:r>
          </w:p>
        </w:tc>
        <w:tc>
          <w:tcPr>
            <w:tcW w:w="3151" w:type="dxa"/>
            <w:vAlign w:val="bottom"/>
          </w:tcPr>
          <w:p w14:paraId="4ECE3DFA">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370308.686</w:t>
            </w:r>
          </w:p>
        </w:tc>
      </w:tr>
      <w:tr w14:paraId="54EA7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936" w:type="dxa"/>
            <w:vAlign w:val="top"/>
          </w:tcPr>
          <w:p w14:paraId="737D2ABB">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3</w:t>
            </w:r>
          </w:p>
        </w:tc>
        <w:tc>
          <w:tcPr>
            <w:tcW w:w="2981" w:type="dxa"/>
            <w:vAlign w:val="bottom"/>
          </w:tcPr>
          <w:p w14:paraId="531C620E">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4322006.61</w:t>
            </w:r>
          </w:p>
        </w:tc>
        <w:tc>
          <w:tcPr>
            <w:tcW w:w="3151" w:type="dxa"/>
            <w:vAlign w:val="bottom"/>
          </w:tcPr>
          <w:p w14:paraId="61F1ED9D">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370308.686</w:t>
            </w:r>
          </w:p>
        </w:tc>
      </w:tr>
      <w:tr w14:paraId="14BDD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936" w:type="dxa"/>
            <w:vAlign w:val="top"/>
          </w:tcPr>
          <w:p w14:paraId="78625F4E">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4</w:t>
            </w:r>
          </w:p>
        </w:tc>
        <w:tc>
          <w:tcPr>
            <w:tcW w:w="2981" w:type="dxa"/>
            <w:vAlign w:val="bottom"/>
          </w:tcPr>
          <w:p w14:paraId="02B42B18">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4322009.81</w:t>
            </w:r>
          </w:p>
        </w:tc>
        <w:tc>
          <w:tcPr>
            <w:tcW w:w="3151" w:type="dxa"/>
            <w:vAlign w:val="bottom"/>
          </w:tcPr>
          <w:p w14:paraId="7FA585C9">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370016.036</w:t>
            </w:r>
          </w:p>
        </w:tc>
      </w:tr>
      <w:tr w14:paraId="52E4A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1936" w:type="dxa"/>
            <w:vAlign w:val="top"/>
          </w:tcPr>
          <w:p w14:paraId="542260DD">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面积</w:t>
            </w:r>
          </w:p>
        </w:tc>
        <w:tc>
          <w:tcPr>
            <w:tcW w:w="6132" w:type="dxa"/>
            <w:gridSpan w:val="2"/>
            <w:vAlign w:val="top"/>
          </w:tcPr>
          <w:p w14:paraId="2C8ED5B0">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67.39</w:t>
            </w:r>
            <w:r>
              <w:rPr>
                <w:rFonts w:hint="default" w:ascii="Times New Roman" w:hAnsi="Times New Roman" w:eastAsia="方正仿宋简体" w:cs="Times New Roman"/>
                <w:sz w:val="30"/>
                <w:szCs w:val="30"/>
                <w:highlight w:val="none"/>
                <w:lang w:val="en-US" w:eastAsia="zh-CN"/>
              </w:rPr>
              <w:t>公顷</w:t>
            </w:r>
          </w:p>
        </w:tc>
      </w:tr>
    </w:tbl>
    <w:p w14:paraId="20EA9BF5">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pacing w:val="2"/>
          <w:kern w:val="2"/>
          <w:sz w:val="31"/>
          <w:szCs w:val="31"/>
          <w:highlight w:val="none"/>
          <w:lang w:val="en-US" w:eastAsia="zh-CN" w:bidi="ar-SA"/>
        </w:rPr>
      </w:pPr>
      <w:r>
        <w:rPr>
          <w:rFonts w:hint="default" w:ascii="Times New Roman" w:hAnsi="Times New Roman" w:eastAsia="宋体" w:cs="Times New Roman"/>
          <w:b/>
          <w:bCs/>
          <w:spacing w:val="2"/>
          <w:kern w:val="2"/>
          <w:sz w:val="31"/>
          <w:szCs w:val="31"/>
          <w:highlight w:val="none"/>
          <w:lang w:val="en-US" w:eastAsia="zh-CN" w:bidi="ar-SA"/>
        </w:rPr>
        <w:t>表</w:t>
      </w:r>
      <w:r>
        <w:rPr>
          <w:rFonts w:hint="eastAsia" w:cs="Times New Roman"/>
          <w:b/>
          <w:bCs/>
          <w:spacing w:val="2"/>
          <w:kern w:val="2"/>
          <w:sz w:val="31"/>
          <w:szCs w:val="31"/>
          <w:highlight w:val="none"/>
          <w:lang w:val="en-US" w:eastAsia="zh-CN" w:bidi="ar-SA"/>
        </w:rPr>
        <w:t>4</w:t>
      </w:r>
      <w:r>
        <w:rPr>
          <w:rFonts w:hint="default" w:ascii="Times New Roman" w:hAnsi="Times New Roman" w:eastAsia="宋体" w:cs="Times New Roman"/>
          <w:b/>
          <w:bCs/>
          <w:spacing w:val="2"/>
          <w:kern w:val="2"/>
          <w:sz w:val="31"/>
          <w:szCs w:val="31"/>
          <w:highlight w:val="none"/>
          <w:lang w:val="en-US" w:eastAsia="zh-CN" w:bidi="ar-SA"/>
        </w:rPr>
        <w:t xml:space="preserve"> 本年度</w:t>
      </w:r>
      <w:r>
        <w:rPr>
          <w:rFonts w:hint="eastAsia" w:ascii="Times New Roman" w:hAnsi="Times New Roman" w:eastAsia="宋体" w:cs="Times New Roman"/>
          <w:b/>
          <w:bCs/>
          <w:spacing w:val="2"/>
          <w:kern w:val="2"/>
          <w:sz w:val="31"/>
          <w:szCs w:val="31"/>
          <w:highlight w:val="none"/>
          <w:lang w:val="en-US" w:eastAsia="zh-CN" w:bidi="ar-SA"/>
        </w:rPr>
        <w:t>采空</w:t>
      </w:r>
      <w:r>
        <w:rPr>
          <w:rFonts w:hint="default" w:ascii="Times New Roman" w:hAnsi="Times New Roman" w:eastAsia="宋体" w:cs="Times New Roman"/>
          <w:b/>
          <w:bCs/>
          <w:spacing w:val="2"/>
          <w:kern w:val="2"/>
          <w:sz w:val="31"/>
          <w:szCs w:val="31"/>
          <w:highlight w:val="none"/>
          <w:lang w:val="en-US" w:eastAsia="zh-CN" w:bidi="ar-SA"/>
        </w:rPr>
        <w:t>区2拐点坐标表（</w:t>
      </w:r>
      <w:r>
        <w:rPr>
          <w:rFonts w:hint="eastAsia" w:ascii="Times New Roman" w:hAnsi="Times New Roman" w:eastAsia="宋体" w:cs="Times New Roman"/>
          <w:b/>
          <w:bCs/>
          <w:spacing w:val="2"/>
          <w:kern w:val="2"/>
          <w:sz w:val="31"/>
          <w:szCs w:val="31"/>
          <w:highlight w:val="none"/>
          <w:lang w:val="en-US" w:eastAsia="zh-CN" w:bidi="ar-SA"/>
        </w:rPr>
        <w:t>2</w:t>
      </w:r>
      <w:r>
        <w:rPr>
          <w:rFonts w:hint="default" w:ascii="Times New Roman" w:hAnsi="Times New Roman" w:eastAsia="宋体" w:cs="Times New Roman"/>
          <w:b/>
          <w:bCs/>
          <w:spacing w:val="2"/>
          <w:kern w:val="2"/>
          <w:sz w:val="31"/>
          <w:szCs w:val="31"/>
          <w:highlight w:val="none"/>
          <w:lang w:val="en-US" w:eastAsia="zh-CN" w:bidi="ar-SA"/>
        </w:rPr>
        <w:t>1</w:t>
      </w:r>
      <w:r>
        <w:rPr>
          <w:rFonts w:hint="eastAsia" w:cs="Times New Roman"/>
          <w:b/>
          <w:bCs/>
          <w:spacing w:val="2"/>
          <w:kern w:val="2"/>
          <w:sz w:val="31"/>
          <w:szCs w:val="31"/>
          <w:highlight w:val="none"/>
          <w:lang w:val="en-US" w:eastAsia="zh-CN" w:bidi="ar-SA"/>
        </w:rPr>
        <w:t>403</w:t>
      </w:r>
      <w:r>
        <w:rPr>
          <w:rFonts w:hint="default" w:ascii="Times New Roman" w:hAnsi="Times New Roman" w:eastAsia="宋体" w:cs="Times New Roman"/>
          <w:b/>
          <w:bCs/>
          <w:spacing w:val="2"/>
          <w:kern w:val="2"/>
          <w:sz w:val="31"/>
          <w:szCs w:val="31"/>
          <w:highlight w:val="none"/>
          <w:lang w:val="en-US" w:eastAsia="zh-CN" w:bidi="ar-SA"/>
        </w:rPr>
        <w:t>工作面）</w:t>
      </w:r>
    </w:p>
    <w:tbl>
      <w:tblPr>
        <w:tblStyle w:val="18"/>
        <w:tblW w:w="8088" w:type="dxa"/>
        <w:tblInd w:w="5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8"/>
        <w:gridCol w:w="2966"/>
        <w:gridCol w:w="3174"/>
      </w:tblGrid>
      <w:tr w14:paraId="47926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8088" w:type="dxa"/>
            <w:gridSpan w:val="3"/>
            <w:vAlign w:val="top"/>
          </w:tcPr>
          <w:p w14:paraId="11BF9CA6">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采空区范围（80坐标6度带）</w:t>
            </w:r>
          </w:p>
        </w:tc>
      </w:tr>
      <w:tr w14:paraId="5F1BF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948" w:type="dxa"/>
            <w:vAlign w:val="top"/>
          </w:tcPr>
          <w:p w14:paraId="4A0257E2">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拐点编号</w:t>
            </w:r>
          </w:p>
        </w:tc>
        <w:tc>
          <w:tcPr>
            <w:tcW w:w="2966" w:type="dxa"/>
            <w:vAlign w:val="top"/>
          </w:tcPr>
          <w:p w14:paraId="1A538DFE">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X</w:t>
            </w:r>
          </w:p>
        </w:tc>
        <w:tc>
          <w:tcPr>
            <w:tcW w:w="3174" w:type="dxa"/>
            <w:vAlign w:val="top"/>
          </w:tcPr>
          <w:p w14:paraId="5D6A743A">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Y</w:t>
            </w:r>
          </w:p>
        </w:tc>
      </w:tr>
      <w:tr w14:paraId="04742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48" w:type="dxa"/>
            <w:vAlign w:val="top"/>
          </w:tcPr>
          <w:p w14:paraId="7249CAA7">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1</w:t>
            </w:r>
          </w:p>
        </w:tc>
        <w:tc>
          <w:tcPr>
            <w:tcW w:w="2966" w:type="dxa"/>
            <w:vAlign w:val="bottom"/>
          </w:tcPr>
          <w:p w14:paraId="28F581E2">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4323794.407</w:t>
            </w:r>
          </w:p>
        </w:tc>
        <w:tc>
          <w:tcPr>
            <w:tcW w:w="3174" w:type="dxa"/>
            <w:vAlign w:val="bottom"/>
          </w:tcPr>
          <w:p w14:paraId="05B814E8">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19365415.24</w:t>
            </w:r>
          </w:p>
        </w:tc>
      </w:tr>
      <w:tr w14:paraId="5B00A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48" w:type="dxa"/>
            <w:vAlign w:val="top"/>
          </w:tcPr>
          <w:p w14:paraId="479A9C90">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2</w:t>
            </w:r>
          </w:p>
        </w:tc>
        <w:tc>
          <w:tcPr>
            <w:tcW w:w="2966" w:type="dxa"/>
            <w:vAlign w:val="bottom"/>
          </w:tcPr>
          <w:p w14:paraId="6B4BE477">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4323794.407</w:t>
            </w:r>
          </w:p>
        </w:tc>
        <w:tc>
          <w:tcPr>
            <w:tcW w:w="3174" w:type="dxa"/>
            <w:vAlign w:val="bottom"/>
          </w:tcPr>
          <w:p w14:paraId="506DA01E">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19367541.74</w:t>
            </w:r>
          </w:p>
        </w:tc>
      </w:tr>
      <w:tr w14:paraId="584A1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948" w:type="dxa"/>
            <w:vAlign w:val="top"/>
          </w:tcPr>
          <w:p w14:paraId="222ADA9D">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3</w:t>
            </w:r>
          </w:p>
        </w:tc>
        <w:tc>
          <w:tcPr>
            <w:tcW w:w="2966" w:type="dxa"/>
            <w:vAlign w:val="bottom"/>
          </w:tcPr>
          <w:p w14:paraId="533F82D3">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4323494.807</w:t>
            </w:r>
          </w:p>
        </w:tc>
        <w:tc>
          <w:tcPr>
            <w:tcW w:w="3174" w:type="dxa"/>
            <w:vAlign w:val="bottom"/>
          </w:tcPr>
          <w:p w14:paraId="632A6F0F">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19367541.74</w:t>
            </w:r>
          </w:p>
        </w:tc>
      </w:tr>
      <w:tr w14:paraId="0A3EE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48" w:type="dxa"/>
            <w:vAlign w:val="top"/>
          </w:tcPr>
          <w:p w14:paraId="7E632BF2">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4</w:t>
            </w:r>
          </w:p>
        </w:tc>
        <w:tc>
          <w:tcPr>
            <w:tcW w:w="2966" w:type="dxa"/>
            <w:vAlign w:val="bottom"/>
          </w:tcPr>
          <w:p w14:paraId="23E638DE">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4323495.107</w:t>
            </w:r>
          </w:p>
        </w:tc>
        <w:tc>
          <w:tcPr>
            <w:tcW w:w="3174" w:type="dxa"/>
            <w:vAlign w:val="bottom"/>
          </w:tcPr>
          <w:p w14:paraId="02425A66">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19365408.24</w:t>
            </w:r>
          </w:p>
        </w:tc>
      </w:tr>
      <w:tr w14:paraId="68BCC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48" w:type="dxa"/>
            <w:vAlign w:val="top"/>
          </w:tcPr>
          <w:p w14:paraId="49656743">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面积</w:t>
            </w:r>
          </w:p>
        </w:tc>
        <w:tc>
          <w:tcPr>
            <w:tcW w:w="6140" w:type="dxa"/>
            <w:gridSpan w:val="2"/>
            <w:vAlign w:val="top"/>
          </w:tcPr>
          <w:p w14:paraId="6D8670FF">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63.78</w:t>
            </w:r>
            <w:r>
              <w:rPr>
                <w:rFonts w:hint="default" w:ascii="Times New Roman" w:hAnsi="Times New Roman" w:eastAsia="方正仿宋简体" w:cs="Times New Roman"/>
                <w:sz w:val="30"/>
                <w:szCs w:val="30"/>
                <w:highlight w:val="none"/>
                <w:lang w:val="en-US" w:eastAsia="zh-CN"/>
              </w:rPr>
              <w:t>公顷</w:t>
            </w:r>
          </w:p>
        </w:tc>
      </w:tr>
    </w:tbl>
    <w:p w14:paraId="03EC820F">
      <w:pPr>
        <w:keepNext w:val="0"/>
        <w:keepLines w:val="0"/>
        <w:pageBreakBefore w:val="0"/>
        <w:numPr>
          <w:ilvl w:val="0"/>
          <w:numId w:val="0"/>
        </w:numPr>
        <w:kinsoku/>
        <w:wordWrap/>
        <w:overflowPunct/>
        <w:topLinePunct w:val="0"/>
        <w:autoSpaceDE/>
        <w:autoSpaceDN/>
        <w:bidi w:val="0"/>
        <w:spacing w:line="560" w:lineRule="exact"/>
        <w:ind w:firstLine="600" w:firstLineChars="200"/>
        <w:textAlignment w:val="auto"/>
        <w:outlineLvl w:val="1"/>
        <w:rPr>
          <w:rFonts w:hint="default" w:ascii="Times New Roman" w:hAnsi="Times New Roman" w:eastAsia="楷体" w:cs="Times New Roman"/>
          <w:sz w:val="30"/>
          <w:szCs w:val="30"/>
          <w:lang w:val="en-US" w:eastAsia="zh-CN"/>
        </w:rPr>
      </w:pPr>
      <w:bookmarkStart w:id="45" w:name="_Toc8305"/>
      <w:bookmarkStart w:id="46" w:name="_Toc21362"/>
      <w:bookmarkStart w:id="47" w:name="_Toc24691"/>
      <w:r>
        <w:rPr>
          <w:rFonts w:hint="eastAsia" w:ascii="Times New Roman" w:hAnsi="Times New Roman" w:eastAsia="楷体" w:cs="Times New Roman"/>
          <w:kern w:val="2"/>
          <w:sz w:val="30"/>
          <w:szCs w:val="30"/>
          <w:lang w:val="en-US" w:eastAsia="zh-CN" w:bidi="ar-SA"/>
        </w:rPr>
        <w:t>第</w:t>
      </w:r>
      <w:r>
        <w:rPr>
          <w:rFonts w:hint="eastAsia" w:eastAsia="楷体" w:cs="Times New Roman"/>
          <w:kern w:val="2"/>
          <w:sz w:val="30"/>
          <w:szCs w:val="30"/>
          <w:lang w:val="en-US" w:eastAsia="zh-CN" w:bidi="ar-SA"/>
        </w:rPr>
        <w:t>四</w:t>
      </w:r>
      <w:r>
        <w:rPr>
          <w:rFonts w:hint="eastAsia" w:ascii="Times New Roman" w:hAnsi="Times New Roman" w:eastAsia="楷体" w:cs="Times New Roman"/>
          <w:kern w:val="2"/>
          <w:sz w:val="30"/>
          <w:szCs w:val="30"/>
          <w:lang w:val="en-US" w:eastAsia="zh-CN" w:bidi="ar-SA"/>
        </w:rPr>
        <w:t>节</w:t>
      </w:r>
      <w:r>
        <w:rPr>
          <w:rFonts w:hint="eastAsia" w:eastAsia="楷体" w:cs="Times New Roman"/>
          <w:kern w:val="2"/>
          <w:sz w:val="30"/>
          <w:szCs w:val="30"/>
          <w:lang w:val="en-US" w:eastAsia="zh-CN" w:bidi="ar-SA"/>
        </w:rPr>
        <w:t xml:space="preserve"> </w:t>
      </w:r>
      <w:r>
        <w:rPr>
          <w:rFonts w:hint="default" w:ascii="Times New Roman" w:hAnsi="Times New Roman" w:eastAsia="楷体" w:cs="Times New Roman"/>
          <w:sz w:val="30"/>
          <w:szCs w:val="30"/>
          <w:lang w:val="en-US" w:eastAsia="zh-CN"/>
        </w:rPr>
        <w:t>本年度基金计提情况</w:t>
      </w:r>
      <w:bookmarkEnd w:id="45"/>
      <w:bookmarkEnd w:id="46"/>
      <w:bookmarkEnd w:id="47"/>
    </w:p>
    <w:p w14:paraId="58C6C0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楷体" w:cs="Times New Roman"/>
          <w:sz w:val="30"/>
          <w:szCs w:val="30"/>
          <w:lang w:val="en-US" w:eastAsia="zh-CN"/>
        </w:rPr>
      </w:pPr>
      <w:r>
        <w:rPr>
          <w:rFonts w:hint="default" w:ascii="Times New Roman" w:hAnsi="Times New Roman" w:eastAsia="方正仿宋简体" w:cs="Times New Roman"/>
          <w:sz w:val="30"/>
          <w:szCs w:val="30"/>
        </w:rPr>
        <w:t>我矿将按照规定的计提方式对基金进行提取，202</w:t>
      </w:r>
      <w:r>
        <w:rPr>
          <w:rFonts w:hint="eastAsia" w:eastAsia="方正仿宋简体" w:cs="Times New Roman"/>
          <w:sz w:val="30"/>
          <w:szCs w:val="30"/>
          <w:lang w:val="en-US" w:eastAsia="zh-CN"/>
        </w:rPr>
        <w:t>6</w:t>
      </w:r>
      <w:r>
        <w:rPr>
          <w:rFonts w:hint="default" w:ascii="Times New Roman" w:hAnsi="Times New Roman" w:eastAsia="方正仿宋简体" w:cs="Times New Roman"/>
          <w:sz w:val="30"/>
          <w:szCs w:val="30"/>
        </w:rPr>
        <w:t>年计划提取金额为6372.828万元。</w:t>
      </w:r>
    </w:p>
    <w:p w14:paraId="7BCBB1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outlineLvl w:val="1"/>
        <w:rPr>
          <w:rFonts w:hint="default" w:ascii="Times New Roman" w:hAnsi="Times New Roman" w:eastAsia="楷体" w:cs="Times New Roman"/>
          <w:sz w:val="30"/>
          <w:szCs w:val="30"/>
          <w:lang w:val="en-US" w:eastAsia="zh-CN"/>
        </w:rPr>
      </w:pPr>
      <w:bookmarkStart w:id="48" w:name="_Toc26240"/>
      <w:bookmarkStart w:id="49" w:name="_Toc24899"/>
      <w:bookmarkStart w:id="50" w:name="_Toc19568"/>
      <w:r>
        <w:rPr>
          <w:rFonts w:hint="default" w:ascii="Times New Roman" w:hAnsi="Times New Roman" w:eastAsia="楷体" w:cs="Times New Roman"/>
          <w:sz w:val="30"/>
          <w:szCs w:val="30"/>
          <w:lang w:val="en-US" w:eastAsia="zh-CN"/>
        </w:rPr>
        <w:t>第</w:t>
      </w:r>
      <w:r>
        <w:rPr>
          <w:rFonts w:hint="eastAsia" w:eastAsia="楷体" w:cs="Times New Roman"/>
          <w:sz w:val="30"/>
          <w:szCs w:val="30"/>
          <w:lang w:val="en-US" w:eastAsia="zh-CN"/>
        </w:rPr>
        <w:t>五</w:t>
      </w:r>
      <w:r>
        <w:rPr>
          <w:rFonts w:hint="default" w:ascii="Times New Roman" w:hAnsi="Times New Roman" w:eastAsia="楷体" w:cs="Times New Roman"/>
          <w:sz w:val="30"/>
          <w:szCs w:val="30"/>
          <w:lang w:val="en-US" w:eastAsia="zh-CN"/>
        </w:rPr>
        <w:t xml:space="preserve">节 </w:t>
      </w:r>
      <w:r>
        <w:rPr>
          <w:rFonts w:hint="default" w:ascii="Times New Roman" w:hAnsi="Times New Roman" w:eastAsia="楷体" w:cs="Times New Roman"/>
          <w:sz w:val="30"/>
          <w:szCs w:val="30"/>
        </w:rPr>
        <w:t>本年度治理实施计划</w:t>
      </w:r>
      <w:bookmarkEnd w:id="48"/>
      <w:bookmarkEnd w:id="49"/>
      <w:bookmarkEnd w:id="50"/>
    </w:p>
    <w:p w14:paraId="2FD7AD0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我矿拟按照矿山地质环境保护与恢复治理方案、土地复垦方案及结合煤矿生产实际情况，开展矿山地质环境治理及预防等工作，本年度拟安排治理基金</w:t>
      </w:r>
      <w:r>
        <w:rPr>
          <w:rFonts w:hint="eastAsia" w:eastAsia="方正仿宋简体" w:cs="Times New Roman"/>
          <w:color w:val="auto"/>
          <w:sz w:val="30"/>
          <w:szCs w:val="30"/>
          <w:highlight w:val="none"/>
          <w:lang w:val="en-US" w:eastAsia="zh-CN"/>
        </w:rPr>
        <w:t>8255.4</w:t>
      </w:r>
      <w:r>
        <w:rPr>
          <w:rFonts w:hint="default" w:ascii="Times New Roman" w:hAnsi="Times New Roman" w:eastAsia="方正仿宋简体" w:cs="Times New Roman"/>
          <w:sz w:val="30"/>
          <w:szCs w:val="30"/>
          <w:highlight w:val="none"/>
          <w:lang w:val="en-US" w:eastAsia="zh-CN"/>
        </w:rPr>
        <w:t>万元，具体治理计划如下：</w:t>
      </w:r>
    </w:p>
    <w:p w14:paraId="3FECCB9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1.洗选矸石进行综合利用，费用约</w:t>
      </w:r>
      <w:r>
        <w:rPr>
          <w:rFonts w:hint="eastAsia" w:eastAsia="方正仿宋简体" w:cs="Times New Roman"/>
          <w:sz w:val="30"/>
          <w:szCs w:val="30"/>
          <w:highlight w:val="none"/>
          <w:lang w:val="en-US" w:eastAsia="zh-CN"/>
        </w:rPr>
        <w:t>1911</w:t>
      </w:r>
      <w:r>
        <w:rPr>
          <w:rFonts w:hint="default" w:ascii="Times New Roman" w:hAnsi="Times New Roman" w:eastAsia="方正仿宋简体" w:cs="Times New Roman"/>
          <w:sz w:val="30"/>
          <w:szCs w:val="30"/>
          <w:highlight w:val="none"/>
          <w:lang w:val="en-US" w:eastAsia="zh-CN"/>
        </w:rPr>
        <w:t>万元。</w:t>
      </w:r>
    </w:p>
    <w:p w14:paraId="18E6255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rPr>
      </w:pPr>
      <w:r>
        <w:rPr>
          <w:rFonts w:hint="default" w:ascii="Times New Roman" w:hAnsi="Times New Roman" w:eastAsia="方正仿宋简体" w:cs="Times New Roman"/>
          <w:sz w:val="30"/>
          <w:szCs w:val="30"/>
          <w:highlight w:val="none"/>
        </w:rPr>
        <w:t>2.</w:t>
      </w:r>
      <w:r>
        <w:rPr>
          <w:rFonts w:hint="default" w:ascii="Times New Roman" w:hAnsi="Times New Roman" w:eastAsia="方正仿宋简体" w:cs="Times New Roman"/>
          <w:sz w:val="30"/>
          <w:szCs w:val="30"/>
          <w:highlight w:val="none"/>
          <w:lang w:val="en-US" w:eastAsia="zh-CN"/>
        </w:rPr>
        <w:t>采空区矸石覆岩离层注浆充填项目运营</w:t>
      </w:r>
      <w:r>
        <w:rPr>
          <w:rFonts w:hint="default" w:ascii="Times New Roman" w:hAnsi="Times New Roman" w:eastAsia="方正仿宋简体" w:cs="Times New Roman"/>
          <w:sz w:val="30"/>
          <w:szCs w:val="30"/>
          <w:highlight w:val="none"/>
        </w:rPr>
        <w:t>，费用</w:t>
      </w:r>
      <w:r>
        <w:rPr>
          <w:rFonts w:hint="default" w:ascii="Times New Roman" w:hAnsi="Times New Roman" w:eastAsia="方正仿宋简体" w:cs="Times New Roman"/>
          <w:sz w:val="30"/>
          <w:szCs w:val="30"/>
          <w:highlight w:val="none"/>
          <w:lang w:val="en-US" w:eastAsia="zh-CN"/>
        </w:rPr>
        <w:t>约</w:t>
      </w:r>
      <w:r>
        <w:rPr>
          <w:rFonts w:hint="eastAsia" w:eastAsia="方正仿宋简体" w:cs="Times New Roman"/>
          <w:sz w:val="30"/>
          <w:szCs w:val="30"/>
          <w:highlight w:val="none"/>
          <w:lang w:val="en-US" w:eastAsia="zh-CN"/>
        </w:rPr>
        <w:t>1911</w:t>
      </w:r>
      <w:r>
        <w:rPr>
          <w:rFonts w:hint="default" w:ascii="Times New Roman" w:hAnsi="Times New Roman" w:eastAsia="方正仿宋简体" w:cs="Times New Roman"/>
          <w:sz w:val="30"/>
          <w:szCs w:val="30"/>
          <w:highlight w:val="none"/>
        </w:rPr>
        <w:t>万元。</w:t>
      </w:r>
    </w:p>
    <w:p w14:paraId="316404B3">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rPr>
      </w:pPr>
      <w:r>
        <w:rPr>
          <w:rFonts w:hint="default" w:ascii="Times New Roman" w:hAnsi="Times New Roman" w:eastAsia="方正仿宋简体" w:cs="Times New Roman"/>
          <w:sz w:val="30"/>
          <w:szCs w:val="30"/>
          <w:highlight w:val="none"/>
        </w:rPr>
        <w:t>3.</w:t>
      </w:r>
      <w:r>
        <w:rPr>
          <w:rFonts w:hint="default" w:ascii="Times New Roman" w:hAnsi="Times New Roman" w:eastAsia="方正仿宋简体" w:cs="Times New Roman"/>
          <w:sz w:val="30"/>
          <w:szCs w:val="30"/>
          <w:highlight w:val="none"/>
          <w:lang w:val="en-US" w:eastAsia="zh-CN"/>
        </w:rPr>
        <w:t>矸石覆岩离层注浆充填项目</w:t>
      </w:r>
      <w:r>
        <w:rPr>
          <w:rFonts w:hint="eastAsia" w:ascii="Times New Roman" w:hAnsi="Times New Roman" w:eastAsia="方正仿宋简体" w:cs="Times New Roman"/>
          <w:sz w:val="30"/>
          <w:szCs w:val="30"/>
          <w:highlight w:val="none"/>
          <w:lang w:val="en-US" w:eastAsia="zh-CN"/>
        </w:rPr>
        <w:t>二级站加固，费用约300万元。</w:t>
      </w:r>
    </w:p>
    <w:p w14:paraId="3604B9D9">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4</w:t>
      </w:r>
      <w:r>
        <w:rPr>
          <w:rFonts w:hint="default" w:ascii="Times New Roman" w:hAnsi="Times New Roman" w:eastAsia="方正仿宋简体" w:cs="Times New Roman"/>
          <w:sz w:val="30"/>
          <w:szCs w:val="30"/>
          <w:highlight w:val="none"/>
        </w:rPr>
        <w:t>.</w:t>
      </w:r>
      <w:r>
        <w:rPr>
          <w:rFonts w:hint="eastAsia" w:eastAsia="方正仿宋简体" w:cs="Times New Roman"/>
          <w:sz w:val="30"/>
          <w:szCs w:val="30"/>
          <w:highlight w:val="none"/>
          <w:lang w:val="en-US" w:eastAsia="zh-CN"/>
        </w:rPr>
        <w:t>葫芦素煤矿污染源质量检测服务，费用约10万元。</w:t>
      </w:r>
    </w:p>
    <w:p w14:paraId="0BF2A2B2">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简体" w:cs="Times New Roman"/>
          <w:sz w:val="30"/>
          <w:szCs w:val="30"/>
          <w:highlight w:val="none"/>
        </w:rPr>
      </w:pPr>
      <w:r>
        <w:rPr>
          <w:rFonts w:hint="eastAsia" w:eastAsia="方正仿宋简体" w:cs="Times New Roman"/>
          <w:sz w:val="30"/>
          <w:szCs w:val="30"/>
          <w:highlight w:val="none"/>
          <w:lang w:val="en-US" w:eastAsia="zh-CN"/>
        </w:rPr>
        <w:t>5.矿区移民拆迁后建筑垃圾清运处置及地表修复项目</w:t>
      </w:r>
      <w:r>
        <w:rPr>
          <w:rFonts w:hint="default" w:ascii="Times New Roman" w:hAnsi="Times New Roman" w:eastAsia="方正仿宋简体" w:cs="Times New Roman"/>
          <w:sz w:val="30"/>
          <w:szCs w:val="30"/>
          <w:highlight w:val="none"/>
        </w:rPr>
        <w:t>，费用约</w:t>
      </w:r>
      <w:r>
        <w:rPr>
          <w:rFonts w:hint="eastAsia" w:eastAsia="方正仿宋简体" w:cs="Times New Roman"/>
          <w:sz w:val="30"/>
          <w:szCs w:val="30"/>
          <w:highlight w:val="none"/>
          <w:lang w:val="en-US" w:eastAsia="zh-CN"/>
        </w:rPr>
        <w:t>600</w:t>
      </w:r>
      <w:r>
        <w:rPr>
          <w:rFonts w:hint="default" w:ascii="Times New Roman" w:hAnsi="Times New Roman" w:eastAsia="方正仿宋简体" w:cs="Times New Roman"/>
          <w:sz w:val="30"/>
          <w:szCs w:val="30"/>
          <w:highlight w:val="none"/>
        </w:rPr>
        <w:t>万元。</w:t>
      </w:r>
    </w:p>
    <w:p w14:paraId="402D023D">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6.葫芦素煤矿工作面地表沉降岩移观测，费用约210万元。</w:t>
      </w:r>
    </w:p>
    <w:p w14:paraId="1446C471">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7.葫芦素煤矿六盘区水文地质补充勘探，费用约900万元。</w:t>
      </w:r>
    </w:p>
    <w:p w14:paraId="3CA1D531">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8.葫芦素煤矿六盘区水文地质补充勘探监理服务，费用约20.8万元。</w:t>
      </w:r>
    </w:p>
    <w:p w14:paraId="1FD96065">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9.葫芦素煤矿周边绿化服务项目，费用约400万元。</w:t>
      </w:r>
    </w:p>
    <w:p w14:paraId="5265C72C">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10.葫芦素煤矿新建地下水井及方案编制技术服务，费用约10万元。</w:t>
      </w:r>
    </w:p>
    <w:p w14:paraId="6FCF06C6">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eastAsia="方正仿宋简体" w:cs="Times New Roman"/>
          <w:sz w:val="30"/>
          <w:szCs w:val="30"/>
          <w:highlight w:val="none"/>
          <w:lang w:val="en-US" w:eastAsia="zh-CN"/>
        </w:rPr>
      </w:pPr>
      <w:r>
        <w:rPr>
          <w:rFonts w:hint="eastAsia" w:eastAsia="方正仿宋简体" w:cs="Times New Roman"/>
          <w:sz w:val="30"/>
          <w:szCs w:val="30"/>
          <w:highlight w:val="none"/>
          <w:lang w:val="en-US" w:eastAsia="zh-CN"/>
        </w:rPr>
        <w:t>11.葫芦素煤矿矿区生态修复方案、葫芦素煤矿矿山地质环境恢复治理计划及总结编制技术服务，费用约80万元。</w:t>
      </w:r>
    </w:p>
    <w:p w14:paraId="1F30543C">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b w:val="0"/>
          <w:bCs w:val="0"/>
          <w:kern w:val="2"/>
          <w:sz w:val="30"/>
          <w:szCs w:val="30"/>
          <w:highlight w:val="none"/>
          <w:lang w:val="en-US" w:eastAsia="zh-CN" w:bidi="ar-SA"/>
        </w:rPr>
      </w:pPr>
      <w:r>
        <w:rPr>
          <w:rFonts w:hint="eastAsia" w:eastAsia="方正仿宋简体" w:cs="Times New Roman"/>
          <w:sz w:val="30"/>
          <w:szCs w:val="30"/>
          <w:highlight w:val="none"/>
          <w:lang w:val="en-US" w:eastAsia="zh-CN"/>
        </w:rPr>
        <w:t>12</w:t>
      </w:r>
      <w:r>
        <w:rPr>
          <w:rFonts w:hint="default" w:ascii="Times New Roman" w:hAnsi="Times New Roman" w:eastAsia="方正仿宋简体" w:cs="Times New Roman"/>
          <w:sz w:val="30"/>
          <w:szCs w:val="30"/>
          <w:highlight w:val="none"/>
          <w:lang w:val="en-US" w:eastAsia="zh-CN"/>
        </w:rPr>
        <w:t>.矿区周边10公里范围内或受矿区影响的苏木乡镇辖区范围内</w:t>
      </w:r>
      <w:r>
        <w:rPr>
          <w:rFonts w:hint="eastAsia" w:eastAsia="方正仿宋简体" w:cs="Times New Roman"/>
          <w:sz w:val="30"/>
          <w:szCs w:val="30"/>
          <w:highlight w:val="none"/>
          <w:lang w:val="en-US" w:eastAsia="zh-CN"/>
        </w:rPr>
        <w:t>生态修复治理项目：图克项目区生态恢复治理工程1，费用1902.6</w:t>
      </w:r>
      <w:r>
        <w:rPr>
          <w:rFonts w:hint="default" w:ascii="Times New Roman" w:hAnsi="Times New Roman" w:eastAsia="方正仿宋简体" w:cs="Times New Roman"/>
          <w:sz w:val="30"/>
          <w:szCs w:val="30"/>
          <w:highlight w:val="none"/>
          <w:lang w:val="en-US" w:eastAsia="zh-CN"/>
        </w:rPr>
        <w:t>万元</w:t>
      </w:r>
      <w:r>
        <w:rPr>
          <w:rFonts w:hint="default" w:ascii="Times New Roman" w:hAnsi="Times New Roman" w:eastAsia="方正仿宋简体" w:cs="Times New Roman"/>
          <w:b w:val="0"/>
          <w:bCs w:val="0"/>
          <w:kern w:val="2"/>
          <w:sz w:val="30"/>
          <w:szCs w:val="30"/>
          <w:highlight w:val="none"/>
          <w:lang w:val="en-US" w:eastAsia="zh-CN" w:bidi="ar-SA"/>
        </w:rPr>
        <w:t>。</w:t>
      </w:r>
    </w:p>
    <w:p w14:paraId="06E1CE3C">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b w:val="0"/>
          <w:bCs w:val="0"/>
          <w:kern w:val="2"/>
          <w:sz w:val="30"/>
          <w:szCs w:val="30"/>
          <w:highlight w:val="none"/>
          <w:lang w:val="en-US" w:eastAsia="zh-CN" w:bidi="ar-SA"/>
        </w:rPr>
      </w:pPr>
    </w:p>
    <w:p w14:paraId="39FC447F">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b w:val="0"/>
          <w:bCs w:val="0"/>
          <w:kern w:val="2"/>
          <w:sz w:val="30"/>
          <w:szCs w:val="30"/>
          <w:highlight w:val="none"/>
          <w:lang w:val="en-US" w:eastAsia="zh-CN" w:bidi="ar-SA"/>
        </w:rPr>
      </w:pPr>
      <w:bookmarkStart w:id="51" w:name="_GoBack"/>
      <w:bookmarkEnd w:id="51"/>
    </w:p>
    <w:p w14:paraId="10B2A007">
      <w:pPr>
        <w:keepNext w:val="0"/>
        <w:keepLines w:val="0"/>
        <w:pageBreakBefore w:val="0"/>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b w:val="0"/>
          <w:bCs w:val="0"/>
          <w:kern w:val="2"/>
          <w:sz w:val="30"/>
          <w:szCs w:val="30"/>
          <w:highlight w:val="none"/>
          <w:lang w:val="en-US" w:eastAsia="zh-CN" w:bidi="ar-SA"/>
        </w:rPr>
      </w:pPr>
    </w:p>
    <w:p w14:paraId="04B96CF9">
      <w:pPr>
        <w:keepNext w:val="0"/>
        <w:keepLines w:val="0"/>
        <w:pageBreakBefore w:val="0"/>
        <w:kinsoku/>
        <w:wordWrap/>
        <w:overflowPunct/>
        <w:topLinePunct w:val="0"/>
        <w:autoSpaceDE/>
        <w:autoSpaceDN/>
        <w:bidi w:val="0"/>
        <w:spacing w:line="560" w:lineRule="exact"/>
        <w:ind w:firstLine="6000" w:firstLineChars="20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葫芦素煤矿</w:t>
      </w:r>
    </w:p>
    <w:p w14:paraId="02760975">
      <w:pPr>
        <w:keepNext w:val="0"/>
        <w:keepLines w:val="0"/>
        <w:pageBreakBefore w:val="0"/>
        <w:kinsoku/>
        <w:wordWrap/>
        <w:overflowPunct/>
        <w:topLinePunct w:val="0"/>
        <w:autoSpaceDE/>
        <w:autoSpaceDN/>
        <w:bidi w:val="0"/>
        <w:spacing w:line="560" w:lineRule="exact"/>
        <w:ind w:firstLine="5700" w:firstLineChars="1900"/>
        <w:textAlignment w:val="auto"/>
        <w:rPr>
          <w:rFonts w:hint="default" w:ascii="Times New Roman" w:hAnsi="Times New Roman" w:eastAsia="方正仿宋简体" w:cs="Times New Roman"/>
          <w:sz w:val="30"/>
          <w:szCs w:val="30"/>
          <w:lang w:val="en-US" w:eastAsia="zh-CN"/>
        </w:rPr>
      </w:pPr>
      <w:r>
        <w:rPr>
          <w:rFonts w:hint="default" w:ascii="Times New Roman" w:hAnsi="Times New Roman" w:eastAsia="方正仿宋简体" w:cs="Times New Roman"/>
          <w:sz w:val="30"/>
          <w:szCs w:val="30"/>
          <w:lang w:val="en-US" w:eastAsia="zh-CN"/>
        </w:rPr>
        <w:t>202</w:t>
      </w:r>
      <w:r>
        <w:rPr>
          <w:rFonts w:hint="eastAsia" w:eastAsia="方正仿宋简体" w:cs="Times New Roman"/>
          <w:sz w:val="30"/>
          <w:szCs w:val="30"/>
          <w:lang w:val="en-US" w:eastAsia="zh-CN"/>
        </w:rPr>
        <w:t>6</w:t>
      </w:r>
      <w:r>
        <w:rPr>
          <w:rFonts w:hint="default" w:ascii="Times New Roman" w:hAnsi="Times New Roman" w:eastAsia="方正仿宋简体" w:cs="Times New Roman"/>
          <w:sz w:val="30"/>
          <w:szCs w:val="30"/>
          <w:lang w:val="en-US" w:eastAsia="zh-CN"/>
        </w:rPr>
        <w:t>年</w:t>
      </w:r>
      <w:r>
        <w:rPr>
          <w:rFonts w:hint="eastAsia" w:eastAsia="方正仿宋简体" w:cs="Times New Roman"/>
          <w:sz w:val="30"/>
          <w:szCs w:val="30"/>
          <w:lang w:val="en-US" w:eastAsia="zh-CN"/>
        </w:rPr>
        <w:t>4</w:t>
      </w:r>
      <w:r>
        <w:rPr>
          <w:rFonts w:hint="default" w:ascii="Times New Roman" w:hAnsi="Times New Roman" w:eastAsia="方正仿宋简体" w:cs="Times New Roman"/>
          <w:sz w:val="30"/>
          <w:szCs w:val="30"/>
          <w:lang w:val="en-US" w:eastAsia="zh-CN"/>
        </w:rPr>
        <w:t>月</w:t>
      </w:r>
      <w:r>
        <w:rPr>
          <w:rFonts w:hint="eastAsia" w:eastAsia="方正仿宋简体" w:cs="Times New Roman"/>
          <w:sz w:val="30"/>
          <w:szCs w:val="30"/>
          <w:lang w:val="en-US" w:eastAsia="zh-CN"/>
        </w:rPr>
        <w:t>8</w:t>
      </w:r>
      <w:r>
        <w:rPr>
          <w:rFonts w:hint="default" w:ascii="Times New Roman" w:hAnsi="Times New Roman" w:eastAsia="方正仿宋简体" w:cs="Times New Roman"/>
          <w:sz w:val="30"/>
          <w:szCs w:val="30"/>
          <w:lang w:val="en-US" w:eastAsia="zh-CN"/>
        </w:rPr>
        <w:t>日</w:t>
      </w:r>
    </w:p>
    <w:p w14:paraId="1BF493C3">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黑体" w:cs="Times New Roman"/>
          <w:b/>
          <w:spacing w:val="-4"/>
          <w:sz w:val="32"/>
          <w:szCs w:val="32"/>
        </w:rPr>
      </w:pPr>
    </w:p>
    <w:sectPr>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B42E47-93FA-4ABC-A6DD-3EAB568FCE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82816301-4FC7-4360-B9D9-EF8A7A225E8E}"/>
  </w:font>
  <w:font w:name="方正仿宋简体">
    <w:panose1 w:val="02000000000000000000"/>
    <w:charset w:val="86"/>
    <w:family w:val="auto"/>
    <w:pitch w:val="default"/>
    <w:sig w:usb0="A00002BF" w:usb1="184F6CFA" w:usb2="00000012" w:usb3="00000000" w:csb0="00040001" w:csb1="00000000"/>
    <w:embedRegular r:id="rId3" w:fontKey="{2EA5C815-518A-4A12-81CC-86FE5FE8678C}"/>
  </w:font>
  <w:font w:name="楷体">
    <w:panose1 w:val="02010609060101010101"/>
    <w:charset w:val="86"/>
    <w:family w:val="auto"/>
    <w:pitch w:val="default"/>
    <w:sig w:usb0="800002BF" w:usb1="38CF7CFA" w:usb2="00000016" w:usb3="00000000" w:csb0="00040001" w:csb1="00000000"/>
    <w:embedRegular r:id="rId4" w:fontKey="{3E6CD639-4780-4453-8E8D-49DFB955DC90}"/>
  </w:font>
  <w:font w:name="仿宋_GB2312">
    <w:panose1 w:val="02010609030101010101"/>
    <w:charset w:val="86"/>
    <w:family w:val="modern"/>
    <w:pitch w:val="default"/>
    <w:sig w:usb0="00000001" w:usb1="080E0000" w:usb2="00000000" w:usb3="00000000" w:csb0="00040000" w:csb1="00000000"/>
    <w:embedRegular r:id="rId5" w:fontKey="{6A134A72-056A-45B5-AA09-467382A39ED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55295">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A0DAA">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81CA9">
    <w:pPr>
      <w:pStyle w:val="5"/>
      <w:ind w:firstLine="360"/>
    </w:pPr>
    <w:r>
      <w:rPr>
        <w:sz w:val="18"/>
      </w:rPr>
      <w:pict>
        <v:shape id="_x0000_s4097" o:spid="_x0000_s4097" o:spt="202" type="#_x0000_t202" style="position:absolute;left:0pt;margin-top:0pt;height:144pt;width:144pt;mso-position-horizontal:lef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E418F80">
                <w:pPr>
                  <w:pStyle w:val="5"/>
                  <w:ind w:firstLine="7840" w:firstLineChars="2800"/>
                  <w:rPr>
                    <w:rStyle w:val="13"/>
                    <w:rFonts w:ascii="宋体" w:hAnsi="宋体"/>
                    <w:sz w:val="28"/>
                    <w:szCs w:val="28"/>
                  </w:rPr>
                </w:pP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- 1 -</w:t>
                </w:r>
                <w:r>
                  <w:rPr>
                    <w:rStyle w:val="13"/>
                    <w:rFonts w:ascii="宋体" w:hAnsi="宋体"/>
                    <w:sz w:val="28"/>
                    <w:szCs w:val="2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DD4C6">
    <w:pPr>
      <w:pStyle w:val="5"/>
      <w:ind w:firstLine="360"/>
    </w:pPr>
    <w:r>
      <w:rPr>
        <w:sz w:val="18"/>
      </w:rPr>
      <w:pict>
        <v:shape id="_x0000_s4098" o:spid="_x0000_s4098" o:spt="202" type="#_x0000_t202" style="position:absolute;left:0pt;margin-top:0pt;height:144pt;width:144pt;mso-position-horizontal:lef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2CA0FA8">
                <w:pPr>
                  <w:pStyle w:val="5"/>
                  <w:ind w:firstLine="280" w:firstLineChars="100"/>
                  <w:rPr>
                    <w:rStyle w:val="13"/>
                    <w:rFonts w:ascii="宋体" w:hAnsi="宋体"/>
                    <w:sz w:val="28"/>
                    <w:szCs w:val="28"/>
                  </w:rPr>
                </w:pP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- 2 -</w:t>
                </w:r>
                <w:r>
                  <w:rPr>
                    <w:rStyle w:val="13"/>
                    <w:rFonts w:ascii="宋体" w:hAnsi="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trackedChanges"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ztFileName" w:val="132869475895174322N0"/>
    <w:docVar w:name="aztPrintName" w:val="000000ESAOAPRINT"/>
    <w:docVar w:name="aztPrintType" w:val="2"/>
    <w:docVar w:name="commondata" w:val="eyJoZGlkIjoiMWZkODkxNWMwN2E3NmM1MDMxNDViNzEzNjEyZTAxYmEifQ=="/>
  </w:docVars>
  <w:rsids>
    <w:rsidRoot w:val="00156C85"/>
    <w:rsid w:val="00003748"/>
    <w:rsid w:val="000074DC"/>
    <w:rsid w:val="00007DC8"/>
    <w:rsid w:val="000106C1"/>
    <w:rsid w:val="00012026"/>
    <w:rsid w:val="0001264D"/>
    <w:rsid w:val="00013154"/>
    <w:rsid w:val="00013253"/>
    <w:rsid w:val="00013574"/>
    <w:rsid w:val="00014284"/>
    <w:rsid w:val="00014658"/>
    <w:rsid w:val="00014DA4"/>
    <w:rsid w:val="000157CF"/>
    <w:rsid w:val="00016904"/>
    <w:rsid w:val="000174CA"/>
    <w:rsid w:val="0002169C"/>
    <w:rsid w:val="000222A1"/>
    <w:rsid w:val="000264F1"/>
    <w:rsid w:val="00026A48"/>
    <w:rsid w:val="00031E25"/>
    <w:rsid w:val="00031FC0"/>
    <w:rsid w:val="00032F1B"/>
    <w:rsid w:val="00034518"/>
    <w:rsid w:val="00037378"/>
    <w:rsid w:val="00041B8D"/>
    <w:rsid w:val="00041D10"/>
    <w:rsid w:val="0004287B"/>
    <w:rsid w:val="00042BA3"/>
    <w:rsid w:val="00042DFD"/>
    <w:rsid w:val="00050F44"/>
    <w:rsid w:val="00052242"/>
    <w:rsid w:val="00052684"/>
    <w:rsid w:val="00052FAD"/>
    <w:rsid w:val="00054C01"/>
    <w:rsid w:val="0005514D"/>
    <w:rsid w:val="00056272"/>
    <w:rsid w:val="00056B83"/>
    <w:rsid w:val="00061EF1"/>
    <w:rsid w:val="00062885"/>
    <w:rsid w:val="000629E6"/>
    <w:rsid w:val="00062DA6"/>
    <w:rsid w:val="00065D90"/>
    <w:rsid w:val="00066F61"/>
    <w:rsid w:val="00067076"/>
    <w:rsid w:val="00067747"/>
    <w:rsid w:val="00067830"/>
    <w:rsid w:val="00067B02"/>
    <w:rsid w:val="00071148"/>
    <w:rsid w:val="00077DE3"/>
    <w:rsid w:val="000800A8"/>
    <w:rsid w:val="00081AAA"/>
    <w:rsid w:val="00081EDD"/>
    <w:rsid w:val="000820B3"/>
    <w:rsid w:val="00083F30"/>
    <w:rsid w:val="00083F95"/>
    <w:rsid w:val="00084163"/>
    <w:rsid w:val="00084C7E"/>
    <w:rsid w:val="00085C8F"/>
    <w:rsid w:val="00086573"/>
    <w:rsid w:val="00086954"/>
    <w:rsid w:val="00086BB8"/>
    <w:rsid w:val="00086E52"/>
    <w:rsid w:val="000928C0"/>
    <w:rsid w:val="000932B8"/>
    <w:rsid w:val="00093419"/>
    <w:rsid w:val="000947EC"/>
    <w:rsid w:val="000953BD"/>
    <w:rsid w:val="00096D09"/>
    <w:rsid w:val="000A1640"/>
    <w:rsid w:val="000A1F4D"/>
    <w:rsid w:val="000A22C4"/>
    <w:rsid w:val="000A3259"/>
    <w:rsid w:val="000A332C"/>
    <w:rsid w:val="000A5018"/>
    <w:rsid w:val="000A6038"/>
    <w:rsid w:val="000A6643"/>
    <w:rsid w:val="000B037C"/>
    <w:rsid w:val="000B03C4"/>
    <w:rsid w:val="000B10E4"/>
    <w:rsid w:val="000B1162"/>
    <w:rsid w:val="000B2D30"/>
    <w:rsid w:val="000B489B"/>
    <w:rsid w:val="000B5BBF"/>
    <w:rsid w:val="000C01DC"/>
    <w:rsid w:val="000C0678"/>
    <w:rsid w:val="000C0E7F"/>
    <w:rsid w:val="000C28BE"/>
    <w:rsid w:val="000C2D39"/>
    <w:rsid w:val="000C343C"/>
    <w:rsid w:val="000C3D1D"/>
    <w:rsid w:val="000C45AB"/>
    <w:rsid w:val="000C7026"/>
    <w:rsid w:val="000C76A1"/>
    <w:rsid w:val="000C7E3B"/>
    <w:rsid w:val="000D00DE"/>
    <w:rsid w:val="000D2D2A"/>
    <w:rsid w:val="000D31F8"/>
    <w:rsid w:val="000D7797"/>
    <w:rsid w:val="000E3F18"/>
    <w:rsid w:val="000E4660"/>
    <w:rsid w:val="000E5096"/>
    <w:rsid w:val="000E5483"/>
    <w:rsid w:val="000E55B4"/>
    <w:rsid w:val="000E5E5A"/>
    <w:rsid w:val="000E64E3"/>
    <w:rsid w:val="000F1AFC"/>
    <w:rsid w:val="000F5FC8"/>
    <w:rsid w:val="000F6CD3"/>
    <w:rsid w:val="000F742C"/>
    <w:rsid w:val="000F7563"/>
    <w:rsid w:val="00100149"/>
    <w:rsid w:val="001003F2"/>
    <w:rsid w:val="00100BD1"/>
    <w:rsid w:val="00100CBA"/>
    <w:rsid w:val="00101083"/>
    <w:rsid w:val="00101EA5"/>
    <w:rsid w:val="001025B1"/>
    <w:rsid w:val="00102FDA"/>
    <w:rsid w:val="0010340D"/>
    <w:rsid w:val="001044B8"/>
    <w:rsid w:val="001049AD"/>
    <w:rsid w:val="00106AB1"/>
    <w:rsid w:val="0010748B"/>
    <w:rsid w:val="001104AE"/>
    <w:rsid w:val="00110B06"/>
    <w:rsid w:val="00112E00"/>
    <w:rsid w:val="001138F7"/>
    <w:rsid w:val="001160F3"/>
    <w:rsid w:val="001176FB"/>
    <w:rsid w:val="00117AA1"/>
    <w:rsid w:val="00117E2C"/>
    <w:rsid w:val="00120C78"/>
    <w:rsid w:val="001227AB"/>
    <w:rsid w:val="00123C21"/>
    <w:rsid w:val="00124C9A"/>
    <w:rsid w:val="00125058"/>
    <w:rsid w:val="0012536A"/>
    <w:rsid w:val="001258EE"/>
    <w:rsid w:val="001276C8"/>
    <w:rsid w:val="001308DB"/>
    <w:rsid w:val="0013197B"/>
    <w:rsid w:val="00131CDE"/>
    <w:rsid w:val="00131E37"/>
    <w:rsid w:val="00132272"/>
    <w:rsid w:val="001362D7"/>
    <w:rsid w:val="00136A0D"/>
    <w:rsid w:val="00137A60"/>
    <w:rsid w:val="00141C75"/>
    <w:rsid w:val="00142BE7"/>
    <w:rsid w:val="0014370A"/>
    <w:rsid w:val="00143D9B"/>
    <w:rsid w:val="00144BAC"/>
    <w:rsid w:val="00145E1E"/>
    <w:rsid w:val="00151C3D"/>
    <w:rsid w:val="0015222B"/>
    <w:rsid w:val="00153797"/>
    <w:rsid w:val="00153DB7"/>
    <w:rsid w:val="00155540"/>
    <w:rsid w:val="0015628E"/>
    <w:rsid w:val="00156683"/>
    <w:rsid w:val="00156C85"/>
    <w:rsid w:val="00157861"/>
    <w:rsid w:val="001634E2"/>
    <w:rsid w:val="0016726E"/>
    <w:rsid w:val="001673E9"/>
    <w:rsid w:val="001678C2"/>
    <w:rsid w:val="00167E27"/>
    <w:rsid w:val="00171703"/>
    <w:rsid w:val="00173394"/>
    <w:rsid w:val="001736AD"/>
    <w:rsid w:val="00173877"/>
    <w:rsid w:val="001741EA"/>
    <w:rsid w:val="001745AB"/>
    <w:rsid w:val="00174746"/>
    <w:rsid w:val="00174780"/>
    <w:rsid w:val="0017616A"/>
    <w:rsid w:val="00176597"/>
    <w:rsid w:val="00176C84"/>
    <w:rsid w:val="001812CF"/>
    <w:rsid w:val="001842C4"/>
    <w:rsid w:val="0018647F"/>
    <w:rsid w:val="00187035"/>
    <w:rsid w:val="00191736"/>
    <w:rsid w:val="00191CAE"/>
    <w:rsid w:val="00192104"/>
    <w:rsid w:val="00192852"/>
    <w:rsid w:val="00192864"/>
    <w:rsid w:val="00194C24"/>
    <w:rsid w:val="00196316"/>
    <w:rsid w:val="001968C8"/>
    <w:rsid w:val="00196EDB"/>
    <w:rsid w:val="001A005D"/>
    <w:rsid w:val="001A1E3B"/>
    <w:rsid w:val="001A2413"/>
    <w:rsid w:val="001A381A"/>
    <w:rsid w:val="001A4D0D"/>
    <w:rsid w:val="001A4E73"/>
    <w:rsid w:val="001A4EF3"/>
    <w:rsid w:val="001A50BF"/>
    <w:rsid w:val="001A5DA8"/>
    <w:rsid w:val="001A65D6"/>
    <w:rsid w:val="001A7678"/>
    <w:rsid w:val="001B0592"/>
    <w:rsid w:val="001B1FF4"/>
    <w:rsid w:val="001B2005"/>
    <w:rsid w:val="001B394A"/>
    <w:rsid w:val="001B735E"/>
    <w:rsid w:val="001C032C"/>
    <w:rsid w:val="001C31EE"/>
    <w:rsid w:val="001C38F5"/>
    <w:rsid w:val="001C3DAE"/>
    <w:rsid w:val="001C4416"/>
    <w:rsid w:val="001C47EC"/>
    <w:rsid w:val="001D1A19"/>
    <w:rsid w:val="001D1CA0"/>
    <w:rsid w:val="001D3730"/>
    <w:rsid w:val="001D383A"/>
    <w:rsid w:val="001D457B"/>
    <w:rsid w:val="001D4C5E"/>
    <w:rsid w:val="001D4CBB"/>
    <w:rsid w:val="001D5F07"/>
    <w:rsid w:val="001D63FA"/>
    <w:rsid w:val="001D7735"/>
    <w:rsid w:val="001D7AE7"/>
    <w:rsid w:val="001E06A1"/>
    <w:rsid w:val="001E1A1F"/>
    <w:rsid w:val="001E2561"/>
    <w:rsid w:val="001E49BD"/>
    <w:rsid w:val="001E4CBF"/>
    <w:rsid w:val="001E4E68"/>
    <w:rsid w:val="001E54B3"/>
    <w:rsid w:val="001E674C"/>
    <w:rsid w:val="001E69C6"/>
    <w:rsid w:val="001F1519"/>
    <w:rsid w:val="001F22ED"/>
    <w:rsid w:val="001F57E9"/>
    <w:rsid w:val="001F5A39"/>
    <w:rsid w:val="001F6882"/>
    <w:rsid w:val="001F6FF0"/>
    <w:rsid w:val="001F70C2"/>
    <w:rsid w:val="002006D8"/>
    <w:rsid w:val="002017D1"/>
    <w:rsid w:val="00201B16"/>
    <w:rsid w:val="00202E11"/>
    <w:rsid w:val="00206FF8"/>
    <w:rsid w:val="002074C8"/>
    <w:rsid w:val="00207E51"/>
    <w:rsid w:val="00207EF5"/>
    <w:rsid w:val="00210ADD"/>
    <w:rsid w:val="00211A4E"/>
    <w:rsid w:val="00212316"/>
    <w:rsid w:val="002201BD"/>
    <w:rsid w:val="00222AC5"/>
    <w:rsid w:val="00225D6C"/>
    <w:rsid w:val="00225EE8"/>
    <w:rsid w:val="002275E5"/>
    <w:rsid w:val="00227820"/>
    <w:rsid w:val="00231BFB"/>
    <w:rsid w:val="00232A71"/>
    <w:rsid w:val="00232E3C"/>
    <w:rsid w:val="002352A0"/>
    <w:rsid w:val="00235860"/>
    <w:rsid w:val="0023590C"/>
    <w:rsid w:val="00236388"/>
    <w:rsid w:val="00236E5D"/>
    <w:rsid w:val="0023706A"/>
    <w:rsid w:val="002404A9"/>
    <w:rsid w:val="002407D4"/>
    <w:rsid w:val="00240DAB"/>
    <w:rsid w:val="00241EC9"/>
    <w:rsid w:val="00242655"/>
    <w:rsid w:val="00242B94"/>
    <w:rsid w:val="00242B9F"/>
    <w:rsid w:val="00242D7A"/>
    <w:rsid w:val="0024397C"/>
    <w:rsid w:val="00246FB1"/>
    <w:rsid w:val="00250D3F"/>
    <w:rsid w:val="002517CC"/>
    <w:rsid w:val="00252A6F"/>
    <w:rsid w:val="00252AC4"/>
    <w:rsid w:val="00252FCD"/>
    <w:rsid w:val="00253C8A"/>
    <w:rsid w:val="00262F2B"/>
    <w:rsid w:val="00265C9B"/>
    <w:rsid w:val="00265CC4"/>
    <w:rsid w:val="002705F5"/>
    <w:rsid w:val="00270EFA"/>
    <w:rsid w:val="002716AF"/>
    <w:rsid w:val="0027232C"/>
    <w:rsid w:val="002724A3"/>
    <w:rsid w:val="00272CB3"/>
    <w:rsid w:val="00272FED"/>
    <w:rsid w:val="00273D40"/>
    <w:rsid w:val="00273F02"/>
    <w:rsid w:val="002745C6"/>
    <w:rsid w:val="00274934"/>
    <w:rsid w:val="002760D9"/>
    <w:rsid w:val="00276680"/>
    <w:rsid w:val="002767B1"/>
    <w:rsid w:val="00280828"/>
    <w:rsid w:val="00283DD7"/>
    <w:rsid w:val="0028496D"/>
    <w:rsid w:val="00284D95"/>
    <w:rsid w:val="00285A12"/>
    <w:rsid w:val="00286402"/>
    <w:rsid w:val="002870B4"/>
    <w:rsid w:val="0029459E"/>
    <w:rsid w:val="0029479E"/>
    <w:rsid w:val="00295164"/>
    <w:rsid w:val="00296C86"/>
    <w:rsid w:val="00297611"/>
    <w:rsid w:val="00297BE9"/>
    <w:rsid w:val="002A1BF3"/>
    <w:rsid w:val="002A2A76"/>
    <w:rsid w:val="002A3005"/>
    <w:rsid w:val="002A34EE"/>
    <w:rsid w:val="002A3F54"/>
    <w:rsid w:val="002A4778"/>
    <w:rsid w:val="002A4913"/>
    <w:rsid w:val="002A4998"/>
    <w:rsid w:val="002A5237"/>
    <w:rsid w:val="002A641D"/>
    <w:rsid w:val="002B0898"/>
    <w:rsid w:val="002B1FAA"/>
    <w:rsid w:val="002B637D"/>
    <w:rsid w:val="002B6660"/>
    <w:rsid w:val="002B6723"/>
    <w:rsid w:val="002B762E"/>
    <w:rsid w:val="002C0500"/>
    <w:rsid w:val="002C051F"/>
    <w:rsid w:val="002C1021"/>
    <w:rsid w:val="002C2B44"/>
    <w:rsid w:val="002C32A1"/>
    <w:rsid w:val="002C4F1D"/>
    <w:rsid w:val="002C6246"/>
    <w:rsid w:val="002C661D"/>
    <w:rsid w:val="002C68C3"/>
    <w:rsid w:val="002C6FDA"/>
    <w:rsid w:val="002C77BF"/>
    <w:rsid w:val="002C7B3D"/>
    <w:rsid w:val="002D0BA0"/>
    <w:rsid w:val="002D148E"/>
    <w:rsid w:val="002D2EAD"/>
    <w:rsid w:val="002D3621"/>
    <w:rsid w:val="002D37C4"/>
    <w:rsid w:val="002D4961"/>
    <w:rsid w:val="002E13B2"/>
    <w:rsid w:val="002E3DB9"/>
    <w:rsid w:val="002E5055"/>
    <w:rsid w:val="002E66FB"/>
    <w:rsid w:val="002F4ADE"/>
    <w:rsid w:val="002F54B0"/>
    <w:rsid w:val="002F7135"/>
    <w:rsid w:val="002F719E"/>
    <w:rsid w:val="002F76EB"/>
    <w:rsid w:val="002F7A43"/>
    <w:rsid w:val="00300E1E"/>
    <w:rsid w:val="00302FB2"/>
    <w:rsid w:val="00303461"/>
    <w:rsid w:val="00304C86"/>
    <w:rsid w:val="00304E51"/>
    <w:rsid w:val="003053BD"/>
    <w:rsid w:val="00306178"/>
    <w:rsid w:val="0030668B"/>
    <w:rsid w:val="003134F2"/>
    <w:rsid w:val="0031494C"/>
    <w:rsid w:val="003154E5"/>
    <w:rsid w:val="00315CE1"/>
    <w:rsid w:val="003201E9"/>
    <w:rsid w:val="003204FD"/>
    <w:rsid w:val="00320B24"/>
    <w:rsid w:val="00321114"/>
    <w:rsid w:val="00321AF8"/>
    <w:rsid w:val="00323074"/>
    <w:rsid w:val="003233A3"/>
    <w:rsid w:val="003233EB"/>
    <w:rsid w:val="003236CB"/>
    <w:rsid w:val="00323F80"/>
    <w:rsid w:val="003249D0"/>
    <w:rsid w:val="003266E2"/>
    <w:rsid w:val="00326FAB"/>
    <w:rsid w:val="00327730"/>
    <w:rsid w:val="0033013C"/>
    <w:rsid w:val="003320DA"/>
    <w:rsid w:val="0033251B"/>
    <w:rsid w:val="00332CF3"/>
    <w:rsid w:val="00332FA3"/>
    <w:rsid w:val="00334137"/>
    <w:rsid w:val="003343DC"/>
    <w:rsid w:val="00337F85"/>
    <w:rsid w:val="00340634"/>
    <w:rsid w:val="003410AE"/>
    <w:rsid w:val="003424D4"/>
    <w:rsid w:val="00346347"/>
    <w:rsid w:val="003473BF"/>
    <w:rsid w:val="0035050D"/>
    <w:rsid w:val="0035078F"/>
    <w:rsid w:val="00351190"/>
    <w:rsid w:val="0035168D"/>
    <w:rsid w:val="00351CBA"/>
    <w:rsid w:val="00353402"/>
    <w:rsid w:val="003546F7"/>
    <w:rsid w:val="00354D9B"/>
    <w:rsid w:val="00356244"/>
    <w:rsid w:val="0035708C"/>
    <w:rsid w:val="00357F1F"/>
    <w:rsid w:val="00361B7B"/>
    <w:rsid w:val="0036288B"/>
    <w:rsid w:val="00362D6B"/>
    <w:rsid w:val="00363363"/>
    <w:rsid w:val="00363415"/>
    <w:rsid w:val="00363981"/>
    <w:rsid w:val="00363B5D"/>
    <w:rsid w:val="00363F40"/>
    <w:rsid w:val="003647FF"/>
    <w:rsid w:val="00364BBA"/>
    <w:rsid w:val="00367D5C"/>
    <w:rsid w:val="00373385"/>
    <w:rsid w:val="00374ED9"/>
    <w:rsid w:val="003755A6"/>
    <w:rsid w:val="003767B4"/>
    <w:rsid w:val="00380AEB"/>
    <w:rsid w:val="003824E6"/>
    <w:rsid w:val="003830A3"/>
    <w:rsid w:val="00384655"/>
    <w:rsid w:val="003867B9"/>
    <w:rsid w:val="003868DC"/>
    <w:rsid w:val="00386B55"/>
    <w:rsid w:val="00387F9A"/>
    <w:rsid w:val="00392669"/>
    <w:rsid w:val="0039346B"/>
    <w:rsid w:val="00393FF1"/>
    <w:rsid w:val="0039446F"/>
    <w:rsid w:val="003945CA"/>
    <w:rsid w:val="00394C8E"/>
    <w:rsid w:val="00395D93"/>
    <w:rsid w:val="00395DEA"/>
    <w:rsid w:val="00397577"/>
    <w:rsid w:val="00397A33"/>
    <w:rsid w:val="003A076B"/>
    <w:rsid w:val="003A1C0F"/>
    <w:rsid w:val="003A2A57"/>
    <w:rsid w:val="003A32F7"/>
    <w:rsid w:val="003A5E58"/>
    <w:rsid w:val="003A641C"/>
    <w:rsid w:val="003A7300"/>
    <w:rsid w:val="003B059C"/>
    <w:rsid w:val="003B1939"/>
    <w:rsid w:val="003B2265"/>
    <w:rsid w:val="003B2E39"/>
    <w:rsid w:val="003B3CDE"/>
    <w:rsid w:val="003B4F41"/>
    <w:rsid w:val="003B56DF"/>
    <w:rsid w:val="003B6F3A"/>
    <w:rsid w:val="003B7629"/>
    <w:rsid w:val="003C1A24"/>
    <w:rsid w:val="003C1BCB"/>
    <w:rsid w:val="003C2279"/>
    <w:rsid w:val="003C63D8"/>
    <w:rsid w:val="003C6690"/>
    <w:rsid w:val="003D1348"/>
    <w:rsid w:val="003D1FF3"/>
    <w:rsid w:val="003D272A"/>
    <w:rsid w:val="003D325C"/>
    <w:rsid w:val="003D3E27"/>
    <w:rsid w:val="003D4A67"/>
    <w:rsid w:val="003D4DBC"/>
    <w:rsid w:val="003D511B"/>
    <w:rsid w:val="003E059E"/>
    <w:rsid w:val="003E1C4A"/>
    <w:rsid w:val="003E22B1"/>
    <w:rsid w:val="003E2EE1"/>
    <w:rsid w:val="003E2FB4"/>
    <w:rsid w:val="003E3159"/>
    <w:rsid w:val="003E32E6"/>
    <w:rsid w:val="003E3AD9"/>
    <w:rsid w:val="003E5715"/>
    <w:rsid w:val="003E5B18"/>
    <w:rsid w:val="003F103C"/>
    <w:rsid w:val="003F1DA5"/>
    <w:rsid w:val="003F45C1"/>
    <w:rsid w:val="003F6836"/>
    <w:rsid w:val="004038ED"/>
    <w:rsid w:val="00406BC4"/>
    <w:rsid w:val="004102B1"/>
    <w:rsid w:val="0041178A"/>
    <w:rsid w:val="00412362"/>
    <w:rsid w:val="00413277"/>
    <w:rsid w:val="00414096"/>
    <w:rsid w:val="00414512"/>
    <w:rsid w:val="00414B76"/>
    <w:rsid w:val="00415314"/>
    <w:rsid w:val="004167A0"/>
    <w:rsid w:val="00420129"/>
    <w:rsid w:val="00420FC4"/>
    <w:rsid w:val="0042103F"/>
    <w:rsid w:val="00421B1C"/>
    <w:rsid w:val="00422290"/>
    <w:rsid w:val="004230B6"/>
    <w:rsid w:val="004235CC"/>
    <w:rsid w:val="00423BAC"/>
    <w:rsid w:val="0042495E"/>
    <w:rsid w:val="004251B0"/>
    <w:rsid w:val="004263DD"/>
    <w:rsid w:val="004308AC"/>
    <w:rsid w:val="00432AC8"/>
    <w:rsid w:val="00433763"/>
    <w:rsid w:val="00434500"/>
    <w:rsid w:val="00436A6E"/>
    <w:rsid w:val="004378D3"/>
    <w:rsid w:val="004405A7"/>
    <w:rsid w:val="00442C96"/>
    <w:rsid w:val="00445D7E"/>
    <w:rsid w:val="00446671"/>
    <w:rsid w:val="0044732D"/>
    <w:rsid w:val="00447F37"/>
    <w:rsid w:val="00450025"/>
    <w:rsid w:val="004505C7"/>
    <w:rsid w:val="00450D41"/>
    <w:rsid w:val="00451437"/>
    <w:rsid w:val="00451620"/>
    <w:rsid w:val="0045185B"/>
    <w:rsid w:val="00451CF1"/>
    <w:rsid w:val="00452C2D"/>
    <w:rsid w:val="00453E0A"/>
    <w:rsid w:val="00454F5C"/>
    <w:rsid w:val="00456955"/>
    <w:rsid w:val="004570EB"/>
    <w:rsid w:val="00457518"/>
    <w:rsid w:val="004579BE"/>
    <w:rsid w:val="00457C25"/>
    <w:rsid w:val="00460DDA"/>
    <w:rsid w:val="00460F5C"/>
    <w:rsid w:val="00461D45"/>
    <w:rsid w:val="00462107"/>
    <w:rsid w:val="0046264C"/>
    <w:rsid w:val="00462B07"/>
    <w:rsid w:val="00463160"/>
    <w:rsid w:val="00463AEC"/>
    <w:rsid w:val="00464458"/>
    <w:rsid w:val="00467EDB"/>
    <w:rsid w:val="004700CA"/>
    <w:rsid w:val="00471B2A"/>
    <w:rsid w:val="00471CBF"/>
    <w:rsid w:val="00472AFD"/>
    <w:rsid w:val="00475725"/>
    <w:rsid w:val="004768DD"/>
    <w:rsid w:val="004771EF"/>
    <w:rsid w:val="004775CB"/>
    <w:rsid w:val="00480B5B"/>
    <w:rsid w:val="004817E6"/>
    <w:rsid w:val="00482170"/>
    <w:rsid w:val="004827D6"/>
    <w:rsid w:val="00482A67"/>
    <w:rsid w:val="0048382C"/>
    <w:rsid w:val="00485D5B"/>
    <w:rsid w:val="00485F1A"/>
    <w:rsid w:val="00486632"/>
    <w:rsid w:val="004913C4"/>
    <w:rsid w:val="0049201B"/>
    <w:rsid w:val="00492288"/>
    <w:rsid w:val="00493644"/>
    <w:rsid w:val="00496980"/>
    <w:rsid w:val="004974F0"/>
    <w:rsid w:val="004A12B9"/>
    <w:rsid w:val="004A1E4A"/>
    <w:rsid w:val="004A24F3"/>
    <w:rsid w:val="004A4FCB"/>
    <w:rsid w:val="004A598E"/>
    <w:rsid w:val="004A6B65"/>
    <w:rsid w:val="004B1998"/>
    <w:rsid w:val="004B2033"/>
    <w:rsid w:val="004B4654"/>
    <w:rsid w:val="004B4765"/>
    <w:rsid w:val="004B4800"/>
    <w:rsid w:val="004B5AD6"/>
    <w:rsid w:val="004B7698"/>
    <w:rsid w:val="004B7856"/>
    <w:rsid w:val="004C1A5F"/>
    <w:rsid w:val="004C1B2F"/>
    <w:rsid w:val="004C3BA3"/>
    <w:rsid w:val="004C3ED8"/>
    <w:rsid w:val="004C47AF"/>
    <w:rsid w:val="004C5F56"/>
    <w:rsid w:val="004C6A96"/>
    <w:rsid w:val="004D128A"/>
    <w:rsid w:val="004D4845"/>
    <w:rsid w:val="004D6DD1"/>
    <w:rsid w:val="004D6F8B"/>
    <w:rsid w:val="004D70EA"/>
    <w:rsid w:val="004D7BD6"/>
    <w:rsid w:val="004D7E06"/>
    <w:rsid w:val="004D7E68"/>
    <w:rsid w:val="004E00A4"/>
    <w:rsid w:val="004E06C2"/>
    <w:rsid w:val="004E0BD6"/>
    <w:rsid w:val="004E1015"/>
    <w:rsid w:val="004E10FC"/>
    <w:rsid w:val="004E1F78"/>
    <w:rsid w:val="004E2D28"/>
    <w:rsid w:val="004E4A6D"/>
    <w:rsid w:val="004E4D22"/>
    <w:rsid w:val="004E5A26"/>
    <w:rsid w:val="004E73E2"/>
    <w:rsid w:val="004E7873"/>
    <w:rsid w:val="004E7D8A"/>
    <w:rsid w:val="004F27C2"/>
    <w:rsid w:val="004F2B22"/>
    <w:rsid w:val="004F4CE9"/>
    <w:rsid w:val="004F50AF"/>
    <w:rsid w:val="004F52CC"/>
    <w:rsid w:val="004F57A2"/>
    <w:rsid w:val="004F7079"/>
    <w:rsid w:val="004F79C9"/>
    <w:rsid w:val="005017BA"/>
    <w:rsid w:val="005042D3"/>
    <w:rsid w:val="005068FE"/>
    <w:rsid w:val="0051068E"/>
    <w:rsid w:val="005107CA"/>
    <w:rsid w:val="005108ED"/>
    <w:rsid w:val="0051096F"/>
    <w:rsid w:val="00511009"/>
    <w:rsid w:val="0051234B"/>
    <w:rsid w:val="00512C9B"/>
    <w:rsid w:val="00513321"/>
    <w:rsid w:val="00514B20"/>
    <w:rsid w:val="00514EF3"/>
    <w:rsid w:val="005151E4"/>
    <w:rsid w:val="0051697E"/>
    <w:rsid w:val="00517BB9"/>
    <w:rsid w:val="00520181"/>
    <w:rsid w:val="00521BF5"/>
    <w:rsid w:val="005222D3"/>
    <w:rsid w:val="0052256E"/>
    <w:rsid w:val="0052373D"/>
    <w:rsid w:val="00523C51"/>
    <w:rsid w:val="00526C1D"/>
    <w:rsid w:val="00527CCA"/>
    <w:rsid w:val="00535495"/>
    <w:rsid w:val="0053629A"/>
    <w:rsid w:val="0053662D"/>
    <w:rsid w:val="00536943"/>
    <w:rsid w:val="00540493"/>
    <w:rsid w:val="00540F2A"/>
    <w:rsid w:val="00541D0C"/>
    <w:rsid w:val="005428B6"/>
    <w:rsid w:val="0054402D"/>
    <w:rsid w:val="00545017"/>
    <w:rsid w:val="005466FF"/>
    <w:rsid w:val="005475D3"/>
    <w:rsid w:val="0055218A"/>
    <w:rsid w:val="0055260C"/>
    <w:rsid w:val="005538A4"/>
    <w:rsid w:val="005545D7"/>
    <w:rsid w:val="00556029"/>
    <w:rsid w:val="00556987"/>
    <w:rsid w:val="00557C2F"/>
    <w:rsid w:val="0056167B"/>
    <w:rsid w:val="00563CCA"/>
    <w:rsid w:val="00565DFC"/>
    <w:rsid w:val="005664E8"/>
    <w:rsid w:val="00566D04"/>
    <w:rsid w:val="0057285D"/>
    <w:rsid w:val="005741C9"/>
    <w:rsid w:val="00575214"/>
    <w:rsid w:val="00575FDF"/>
    <w:rsid w:val="00576530"/>
    <w:rsid w:val="00576A67"/>
    <w:rsid w:val="00577895"/>
    <w:rsid w:val="00577BB7"/>
    <w:rsid w:val="00582022"/>
    <w:rsid w:val="00582C2F"/>
    <w:rsid w:val="005834D6"/>
    <w:rsid w:val="00584736"/>
    <w:rsid w:val="00584EE6"/>
    <w:rsid w:val="005851B5"/>
    <w:rsid w:val="00586146"/>
    <w:rsid w:val="00586648"/>
    <w:rsid w:val="0059298B"/>
    <w:rsid w:val="00592DBD"/>
    <w:rsid w:val="005937AD"/>
    <w:rsid w:val="005A060E"/>
    <w:rsid w:val="005A0927"/>
    <w:rsid w:val="005A1719"/>
    <w:rsid w:val="005A23F4"/>
    <w:rsid w:val="005A4221"/>
    <w:rsid w:val="005A54BB"/>
    <w:rsid w:val="005B09CA"/>
    <w:rsid w:val="005B2332"/>
    <w:rsid w:val="005C0591"/>
    <w:rsid w:val="005C4A41"/>
    <w:rsid w:val="005C5C8E"/>
    <w:rsid w:val="005C7152"/>
    <w:rsid w:val="005C7CCE"/>
    <w:rsid w:val="005D13BF"/>
    <w:rsid w:val="005D3491"/>
    <w:rsid w:val="005D402E"/>
    <w:rsid w:val="005D46B8"/>
    <w:rsid w:val="005D5366"/>
    <w:rsid w:val="005D5997"/>
    <w:rsid w:val="005D5C28"/>
    <w:rsid w:val="005E02CF"/>
    <w:rsid w:val="005E1027"/>
    <w:rsid w:val="005E1DCC"/>
    <w:rsid w:val="005E1E7E"/>
    <w:rsid w:val="005E2808"/>
    <w:rsid w:val="005E3290"/>
    <w:rsid w:val="005E4209"/>
    <w:rsid w:val="005E44CF"/>
    <w:rsid w:val="005E49E1"/>
    <w:rsid w:val="005E58A4"/>
    <w:rsid w:val="005E591D"/>
    <w:rsid w:val="005E623C"/>
    <w:rsid w:val="005F0237"/>
    <w:rsid w:val="005F06D8"/>
    <w:rsid w:val="005F1752"/>
    <w:rsid w:val="005F28A8"/>
    <w:rsid w:val="005F2992"/>
    <w:rsid w:val="005F33F2"/>
    <w:rsid w:val="005F5B4F"/>
    <w:rsid w:val="00601E20"/>
    <w:rsid w:val="00602297"/>
    <w:rsid w:val="00602350"/>
    <w:rsid w:val="006043F5"/>
    <w:rsid w:val="00604BF8"/>
    <w:rsid w:val="00604F52"/>
    <w:rsid w:val="0060588F"/>
    <w:rsid w:val="00606EEC"/>
    <w:rsid w:val="00607089"/>
    <w:rsid w:val="00607906"/>
    <w:rsid w:val="006109FA"/>
    <w:rsid w:val="00610FBA"/>
    <w:rsid w:val="00612C2A"/>
    <w:rsid w:val="00612F64"/>
    <w:rsid w:val="006135EB"/>
    <w:rsid w:val="00614DA5"/>
    <w:rsid w:val="006153F8"/>
    <w:rsid w:val="006156D0"/>
    <w:rsid w:val="00616D26"/>
    <w:rsid w:val="00620A30"/>
    <w:rsid w:val="00621D4D"/>
    <w:rsid w:val="00622443"/>
    <w:rsid w:val="00622960"/>
    <w:rsid w:val="00623201"/>
    <w:rsid w:val="00623BE5"/>
    <w:rsid w:val="00625A93"/>
    <w:rsid w:val="00625DF0"/>
    <w:rsid w:val="00626287"/>
    <w:rsid w:val="006272C6"/>
    <w:rsid w:val="0062760F"/>
    <w:rsid w:val="00630CCC"/>
    <w:rsid w:val="006313FD"/>
    <w:rsid w:val="006317D9"/>
    <w:rsid w:val="00631F9C"/>
    <w:rsid w:val="0063398B"/>
    <w:rsid w:val="00634C03"/>
    <w:rsid w:val="0063638E"/>
    <w:rsid w:val="00637790"/>
    <w:rsid w:val="00637B89"/>
    <w:rsid w:val="00640DA8"/>
    <w:rsid w:val="0064134F"/>
    <w:rsid w:val="00642FF7"/>
    <w:rsid w:val="00643908"/>
    <w:rsid w:val="00644B60"/>
    <w:rsid w:val="006450F8"/>
    <w:rsid w:val="00645207"/>
    <w:rsid w:val="00645437"/>
    <w:rsid w:val="006454FB"/>
    <w:rsid w:val="00645E9A"/>
    <w:rsid w:val="006466D0"/>
    <w:rsid w:val="00646809"/>
    <w:rsid w:val="00651B26"/>
    <w:rsid w:val="006536B2"/>
    <w:rsid w:val="0065404A"/>
    <w:rsid w:val="00654D0F"/>
    <w:rsid w:val="00655DA4"/>
    <w:rsid w:val="00657699"/>
    <w:rsid w:val="006606EC"/>
    <w:rsid w:val="006638B3"/>
    <w:rsid w:val="00664122"/>
    <w:rsid w:val="00664652"/>
    <w:rsid w:val="00665433"/>
    <w:rsid w:val="00665765"/>
    <w:rsid w:val="00665BCC"/>
    <w:rsid w:val="00666065"/>
    <w:rsid w:val="0066666A"/>
    <w:rsid w:val="00666F6C"/>
    <w:rsid w:val="006672DC"/>
    <w:rsid w:val="00667773"/>
    <w:rsid w:val="00670CE9"/>
    <w:rsid w:val="00672912"/>
    <w:rsid w:val="00672C70"/>
    <w:rsid w:val="0067306A"/>
    <w:rsid w:val="006734C3"/>
    <w:rsid w:val="00673F67"/>
    <w:rsid w:val="0067409B"/>
    <w:rsid w:val="0067427A"/>
    <w:rsid w:val="00675D6C"/>
    <w:rsid w:val="006767C8"/>
    <w:rsid w:val="006779A8"/>
    <w:rsid w:val="006806B5"/>
    <w:rsid w:val="006807D2"/>
    <w:rsid w:val="00680818"/>
    <w:rsid w:val="00681918"/>
    <w:rsid w:val="00682023"/>
    <w:rsid w:val="006829FD"/>
    <w:rsid w:val="00683C26"/>
    <w:rsid w:val="00684073"/>
    <w:rsid w:val="00685D05"/>
    <w:rsid w:val="0068633A"/>
    <w:rsid w:val="0068643E"/>
    <w:rsid w:val="00686CE6"/>
    <w:rsid w:val="00693018"/>
    <w:rsid w:val="0069356B"/>
    <w:rsid w:val="00693836"/>
    <w:rsid w:val="00693C9F"/>
    <w:rsid w:val="00693D9A"/>
    <w:rsid w:val="00694D63"/>
    <w:rsid w:val="00695C15"/>
    <w:rsid w:val="00695E3F"/>
    <w:rsid w:val="006A088C"/>
    <w:rsid w:val="006A096D"/>
    <w:rsid w:val="006A1101"/>
    <w:rsid w:val="006A15D2"/>
    <w:rsid w:val="006A23C0"/>
    <w:rsid w:val="006A69A4"/>
    <w:rsid w:val="006A7606"/>
    <w:rsid w:val="006B0759"/>
    <w:rsid w:val="006B081B"/>
    <w:rsid w:val="006B16B2"/>
    <w:rsid w:val="006B5B27"/>
    <w:rsid w:val="006B70CD"/>
    <w:rsid w:val="006B7582"/>
    <w:rsid w:val="006C032E"/>
    <w:rsid w:val="006C2031"/>
    <w:rsid w:val="006C2C86"/>
    <w:rsid w:val="006C577F"/>
    <w:rsid w:val="006C6110"/>
    <w:rsid w:val="006C6D89"/>
    <w:rsid w:val="006C6F1A"/>
    <w:rsid w:val="006D0CA7"/>
    <w:rsid w:val="006D0DA2"/>
    <w:rsid w:val="006D15EA"/>
    <w:rsid w:val="006D17BB"/>
    <w:rsid w:val="006D1AC6"/>
    <w:rsid w:val="006D2C3C"/>
    <w:rsid w:val="006D30E4"/>
    <w:rsid w:val="006D59A1"/>
    <w:rsid w:val="006D67D7"/>
    <w:rsid w:val="006D74FF"/>
    <w:rsid w:val="006D7AF4"/>
    <w:rsid w:val="006E09B9"/>
    <w:rsid w:val="006E3545"/>
    <w:rsid w:val="006E4788"/>
    <w:rsid w:val="006F076B"/>
    <w:rsid w:val="006F2C84"/>
    <w:rsid w:val="006F5634"/>
    <w:rsid w:val="006F6613"/>
    <w:rsid w:val="00700475"/>
    <w:rsid w:val="00700B99"/>
    <w:rsid w:val="0070368D"/>
    <w:rsid w:val="007040A2"/>
    <w:rsid w:val="007042C0"/>
    <w:rsid w:val="007052C3"/>
    <w:rsid w:val="00707441"/>
    <w:rsid w:val="0071160A"/>
    <w:rsid w:val="00711982"/>
    <w:rsid w:val="00712433"/>
    <w:rsid w:val="007130DF"/>
    <w:rsid w:val="00713BF1"/>
    <w:rsid w:val="00714F11"/>
    <w:rsid w:val="007164D5"/>
    <w:rsid w:val="007176AB"/>
    <w:rsid w:val="0071791B"/>
    <w:rsid w:val="00720904"/>
    <w:rsid w:val="00721A92"/>
    <w:rsid w:val="00722BCB"/>
    <w:rsid w:val="00723886"/>
    <w:rsid w:val="00724142"/>
    <w:rsid w:val="0072467F"/>
    <w:rsid w:val="0072785F"/>
    <w:rsid w:val="007306F1"/>
    <w:rsid w:val="007307F0"/>
    <w:rsid w:val="00730A13"/>
    <w:rsid w:val="00730BF4"/>
    <w:rsid w:val="00733ED5"/>
    <w:rsid w:val="00734521"/>
    <w:rsid w:val="007347D8"/>
    <w:rsid w:val="00734AF2"/>
    <w:rsid w:val="00735582"/>
    <w:rsid w:val="00735DBC"/>
    <w:rsid w:val="00735DD2"/>
    <w:rsid w:val="00736DE9"/>
    <w:rsid w:val="00737C8D"/>
    <w:rsid w:val="007442BD"/>
    <w:rsid w:val="007467FF"/>
    <w:rsid w:val="00746906"/>
    <w:rsid w:val="00747608"/>
    <w:rsid w:val="00747994"/>
    <w:rsid w:val="007504CB"/>
    <w:rsid w:val="007509AD"/>
    <w:rsid w:val="00751CD2"/>
    <w:rsid w:val="00752353"/>
    <w:rsid w:val="00752391"/>
    <w:rsid w:val="007533AD"/>
    <w:rsid w:val="007537F6"/>
    <w:rsid w:val="0075395C"/>
    <w:rsid w:val="00753A13"/>
    <w:rsid w:val="0075410E"/>
    <w:rsid w:val="007557A0"/>
    <w:rsid w:val="00762076"/>
    <w:rsid w:val="00762D63"/>
    <w:rsid w:val="0076416D"/>
    <w:rsid w:val="00764571"/>
    <w:rsid w:val="0076469B"/>
    <w:rsid w:val="007648E9"/>
    <w:rsid w:val="0076506B"/>
    <w:rsid w:val="007654DD"/>
    <w:rsid w:val="00765F8A"/>
    <w:rsid w:val="0076649C"/>
    <w:rsid w:val="007707BB"/>
    <w:rsid w:val="007715AC"/>
    <w:rsid w:val="007725B8"/>
    <w:rsid w:val="00772EB4"/>
    <w:rsid w:val="00774D55"/>
    <w:rsid w:val="007779E2"/>
    <w:rsid w:val="0078089D"/>
    <w:rsid w:val="007826FD"/>
    <w:rsid w:val="00782C51"/>
    <w:rsid w:val="00784F9E"/>
    <w:rsid w:val="00785B5D"/>
    <w:rsid w:val="00791269"/>
    <w:rsid w:val="007915A8"/>
    <w:rsid w:val="00791BC8"/>
    <w:rsid w:val="00795A35"/>
    <w:rsid w:val="00796FDB"/>
    <w:rsid w:val="00797A0E"/>
    <w:rsid w:val="007A0429"/>
    <w:rsid w:val="007A1D95"/>
    <w:rsid w:val="007A3A05"/>
    <w:rsid w:val="007A41D0"/>
    <w:rsid w:val="007A6F35"/>
    <w:rsid w:val="007A7685"/>
    <w:rsid w:val="007A7A9B"/>
    <w:rsid w:val="007B000C"/>
    <w:rsid w:val="007B05C8"/>
    <w:rsid w:val="007B174D"/>
    <w:rsid w:val="007B2B47"/>
    <w:rsid w:val="007B2C81"/>
    <w:rsid w:val="007B37AC"/>
    <w:rsid w:val="007B380C"/>
    <w:rsid w:val="007B4A4B"/>
    <w:rsid w:val="007B4A7D"/>
    <w:rsid w:val="007B4B03"/>
    <w:rsid w:val="007B4FB1"/>
    <w:rsid w:val="007B6C5C"/>
    <w:rsid w:val="007B7908"/>
    <w:rsid w:val="007C0832"/>
    <w:rsid w:val="007C0DAC"/>
    <w:rsid w:val="007C11BC"/>
    <w:rsid w:val="007C30D7"/>
    <w:rsid w:val="007C3F9B"/>
    <w:rsid w:val="007C6032"/>
    <w:rsid w:val="007C7EF6"/>
    <w:rsid w:val="007D171B"/>
    <w:rsid w:val="007D2BCF"/>
    <w:rsid w:val="007D31D1"/>
    <w:rsid w:val="007D737D"/>
    <w:rsid w:val="007D767A"/>
    <w:rsid w:val="007E0BC1"/>
    <w:rsid w:val="007E0BCA"/>
    <w:rsid w:val="007E0C58"/>
    <w:rsid w:val="007E0DF7"/>
    <w:rsid w:val="007E13F7"/>
    <w:rsid w:val="007E16CD"/>
    <w:rsid w:val="007E23C0"/>
    <w:rsid w:val="007E27B1"/>
    <w:rsid w:val="007E2DE4"/>
    <w:rsid w:val="007E3A5A"/>
    <w:rsid w:val="007E69F5"/>
    <w:rsid w:val="007E6BDE"/>
    <w:rsid w:val="007F043E"/>
    <w:rsid w:val="007F04C4"/>
    <w:rsid w:val="007F0866"/>
    <w:rsid w:val="007F1346"/>
    <w:rsid w:val="007F2522"/>
    <w:rsid w:val="007F2548"/>
    <w:rsid w:val="007F3699"/>
    <w:rsid w:val="007F442C"/>
    <w:rsid w:val="007F4C7C"/>
    <w:rsid w:val="007F510E"/>
    <w:rsid w:val="007F6008"/>
    <w:rsid w:val="007F6861"/>
    <w:rsid w:val="007F79BD"/>
    <w:rsid w:val="00800577"/>
    <w:rsid w:val="00800B8E"/>
    <w:rsid w:val="00801DE6"/>
    <w:rsid w:val="00802B07"/>
    <w:rsid w:val="00802D77"/>
    <w:rsid w:val="00806626"/>
    <w:rsid w:val="008125BB"/>
    <w:rsid w:val="0081356A"/>
    <w:rsid w:val="00813C68"/>
    <w:rsid w:val="00813E44"/>
    <w:rsid w:val="00814784"/>
    <w:rsid w:val="00814FC8"/>
    <w:rsid w:val="00815B94"/>
    <w:rsid w:val="00815DFF"/>
    <w:rsid w:val="00816629"/>
    <w:rsid w:val="00817555"/>
    <w:rsid w:val="008175A5"/>
    <w:rsid w:val="0082044E"/>
    <w:rsid w:val="00820487"/>
    <w:rsid w:val="00820A5A"/>
    <w:rsid w:val="00820BBF"/>
    <w:rsid w:val="00820E3A"/>
    <w:rsid w:val="00821167"/>
    <w:rsid w:val="008215D1"/>
    <w:rsid w:val="00822981"/>
    <w:rsid w:val="0082339C"/>
    <w:rsid w:val="008233EF"/>
    <w:rsid w:val="00823653"/>
    <w:rsid w:val="00824416"/>
    <w:rsid w:val="00824CD4"/>
    <w:rsid w:val="00827421"/>
    <w:rsid w:val="00827FEB"/>
    <w:rsid w:val="00831861"/>
    <w:rsid w:val="00831C51"/>
    <w:rsid w:val="00832576"/>
    <w:rsid w:val="00835876"/>
    <w:rsid w:val="00835FC7"/>
    <w:rsid w:val="0083651C"/>
    <w:rsid w:val="00836C7F"/>
    <w:rsid w:val="00836D5C"/>
    <w:rsid w:val="0083739C"/>
    <w:rsid w:val="008403F2"/>
    <w:rsid w:val="00842E75"/>
    <w:rsid w:val="00843067"/>
    <w:rsid w:val="008438C7"/>
    <w:rsid w:val="00844840"/>
    <w:rsid w:val="008455BF"/>
    <w:rsid w:val="00845A4C"/>
    <w:rsid w:val="00845BC3"/>
    <w:rsid w:val="00847764"/>
    <w:rsid w:val="008478A4"/>
    <w:rsid w:val="00847B09"/>
    <w:rsid w:val="008511C5"/>
    <w:rsid w:val="00852149"/>
    <w:rsid w:val="00852C88"/>
    <w:rsid w:val="00853E59"/>
    <w:rsid w:val="0085421C"/>
    <w:rsid w:val="00860A86"/>
    <w:rsid w:val="00860C9F"/>
    <w:rsid w:val="008634F9"/>
    <w:rsid w:val="00863B59"/>
    <w:rsid w:val="00863BBA"/>
    <w:rsid w:val="00865023"/>
    <w:rsid w:val="00870570"/>
    <w:rsid w:val="008712C2"/>
    <w:rsid w:val="008723F9"/>
    <w:rsid w:val="008727D6"/>
    <w:rsid w:val="00873CA6"/>
    <w:rsid w:val="0087425A"/>
    <w:rsid w:val="00875435"/>
    <w:rsid w:val="00875FFA"/>
    <w:rsid w:val="0087648B"/>
    <w:rsid w:val="008764B6"/>
    <w:rsid w:val="008769D5"/>
    <w:rsid w:val="00880852"/>
    <w:rsid w:val="00880D3A"/>
    <w:rsid w:val="00881BEE"/>
    <w:rsid w:val="00882446"/>
    <w:rsid w:val="00883BDF"/>
    <w:rsid w:val="00887608"/>
    <w:rsid w:val="00890B57"/>
    <w:rsid w:val="008914A9"/>
    <w:rsid w:val="00891525"/>
    <w:rsid w:val="00893179"/>
    <w:rsid w:val="00893930"/>
    <w:rsid w:val="00894091"/>
    <w:rsid w:val="00894717"/>
    <w:rsid w:val="008976C2"/>
    <w:rsid w:val="008A0ECF"/>
    <w:rsid w:val="008A1F82"/>
    <w:rsid w:val="008A2050"/>
    <w:rsid w:val="008A2725"/>
    <w:rsid w:val="008A3AAA"/>
    <w:rsid w:val="008A3B21"/>
    <w:rsid w:val="008A74C7"/>
    <w:rsid w:val="008B05EB"/>
    <w:rsid w:val="008B0B83"/>
    <w:rsid w:val="008B2768"/>
    <w:rsid w:val="008B4316"/>
    <w:rsid w:val="008B6408"/>
    <w:rsid w:val="008B6B0D"/>
    <w:rsid w:val="008C1564"/>
    <w:rsid w:val="008C1BBA"/>
    <w:rsid w:val="008C45D8"/>
    <w:rsid w:val="008C54E9"/>
    <w:rsid w:val="008C58DF"/>
    <w:rsid w:val="008C5F20"/>
    <w:rsid w:val="008C7E70"/>
    <w:rsid w:val="008D3555"/>
    <w:rsid w:val="008D7600"/>
    <w:rsid w:val="008D7944"/>
    <w:rsid w:val="008E0B27"/>
    <w:rsid w:val="008E33CC"/>
    <w:rsid w:val="008E45B6"/>
    <w:rsid w:val="008E5730"/>
    <w:rsid w:val="008E5EAD"/>
    <w:rsid w:val="008E7477"/>
    <w:rsid w:val="008E79FA"/>
    <w:rsid w:val="008F1213"/>
    <w:rsid w:val="008F1B9A"/>
    <w:rsid w:val="008F24FA"/>
    <w:rsid w:val="008F2E94"/>
    <w:rsid w:val="008F376A"/>
    <w:rsid w:val="008F5333"/>
    <w:rsid w:val="008F7071"/>
    <w:rsid w:val="009033F2"/>
    <w:rsid w:val="009067C5"/>
    <w:rsid w:val="009070AE"/>
    <w:rsid w:val="00907902"/>
    <w:rsid w:val="009110AE"/>
    <w:rsid w:val="0091161A"/>
    <w:rsid w:val="00911B18"/>
    <w:rsid w:val="00911C52"/>
    <w:rsid w:val="00916278"/>
    <w:rsid w:val="00923383"/>
    <w:rsid w:val="00924AA4"/>
    <w:rsid w:val="00925562"/>
    <w:rsid w:val="00926782"/>
    <w:rsid w:val="009333DF"/>
    <w:rsid w:val="00934E23"/>
    <w:rsid w:val="00935A0F"/>
    <w:rsid w:val="00936A10"/>
    <w:rsid w:val="00937653"/>
    <w:rsid w:val="00937B97"/>
    <w:rsid w:val="00937F4B"/>
    <w:rsid w:val="00940D80"/>
    <w:rsid w:val="00941E12"/>
    <w:rsid w:val="00943236"/>
    <w:rsid w:val="00944E33"/>
    <w:rsid w:val="009479A3"/>
    <w:rsid w:val="00951F2B"/>
    <w:rsid w:val="00952072"/>
    <w:rsid w:val="0095215B"/>
    <w:rsid w:val="00952C30"/>
    <w:rsid w:val="0095657C"/>
    <w:rsid w:val="00956724"/>
    <w:rsid w:val="00956C6C"/>
    <w:rsid w:val="00960BD1"/>
    <w:rsid w:val="00962714"/>
    <w:rsid w:val="00962AFC"/>
    <w:rsid w:val="00962BBA"/>
    <w:rsid w:val="0096367B"/>
    <w:rsid w:val="00966D1A"/>
    <w:rsid w:val="009679E8"/>
    <w:rsid w:val="00967F73"/>
    <w:rsid w:val="009705E9"/>
    <w:rsid w:val="00970B92"/>
    <w:rsid w:val="00970FBF"/>
    <w:rsid w:val="009739B0"/>
    <w:rsid w:val="0097464D"/>
    <w:rsid w:val="009748BD"/>
    <w:rsid w:val="009803FE"/>
    <w:rsid w:val="0098124A"/>
    <w:rsid w:val="00981A62"/>
    <w:rsid w:val="00981ED8"/>
    <w:rsid w:val="0098463B"/>
    <w:rsid w:val="009849DE"/>
    <w:rsid w:val="00984F38"/>
    <w:rsid w:val="0098530C"/>
    <w:rsid w:val="00985B9A"/>
    <w:rsid w:val="00985D14"/>
    <w:rsid w:val="00986CE2"/>
    <w:rsid w:val="0098757E"/>
    <w:rsid w:val="00987E88"/>
    <w:rsid w:val="00990378"/>
    <w:rsid w:val="0099069B"/>
    <w:rsid w:val="00991A48"/>
    <w:rsid w:val="00993033"/>
    <w:rsid w:val="009931C0"/>
    <w:rsid w:val="00993ADD"/>
    <w:rsid w:val="00994F89"/>
    <w:rsid w:val="00995E8C"/>
    <w:rsid w:val="00996E45"/>
    <w:rsid w:val="009A0950"/>
    <w:rsid w:val="009A139E"/>
    <w:rsid w:val="009A390B"/>
    <w:rsid w:val="009A3BE8"/>
    <w:rsid w:val="009A3DB1"/>
    <w:rsid w:val="009A4D4E"/>
    <w:rsid w:val="009A5245"/>
    <w:rsid w:val="009A69DF"/>
    <w:rsid w:val="009A7D85"/>
    <w:rsid w:val="009B1771"/>
    <w:rsid w:val="009B3799"/>
    <w:rsid w:val="009B4939"/>
    <w:rsid w:val="009B5085"/>
    <w:rsid w:val="009B5BCB"/>
    <w:rsid w:val="009B667A"/>
    <w:rsid w:val="009B706D"/>
    <w:rsid w:val="009C0FFB"/>
    <w:rsid w:val="009C2CC2"/>
    <w:rsid w:val="009C4697"/>
    <w:rsid w:val="009C56C5"/>
    <w:rsid w:val="009C66CE"/>
    <w:rsid w:val="009C6FA6"/>
    <w:rsid w:val="009D0A8E"/>
    <w:rsid w:val="009D0F4F"/>
    <w:rsid w:val="009D10BD"/>
    <w:rsid w:val="009D1A0E"/>
    <w:rsid w:val="009D3C30"/>
    <w:rsid w:val="009D4614"/>
    <w:rsid w:val="009D4CF0"/>
    <w:rsid w:val="009D503E"/>
    <w:rsid w:val="009D5076"/>
    <w:rsid w:val="009D50B4"/>
    <w:rsid w:val="009D61AC"/>
    <w:rsid w:val="009E14EA"/>
    <w:rsid w:val="009E4A98"/>
    <w:rsid w:val="009E4B12"/>
    <w:rsid w:val="009E4E58"/>
    <w:rsid w:val="009E6D86"/>
    <w:rsid w:val="009F02FD"/>
    <w:rsid w:val="009F0716"/>
    <w:rsid w:val="009F1216"/>
    <w:rsid w:val="009F19D8"/>
    <w:rsid w:val="009F2E06"/>
    <w:rsid w:val="009F3361"/>
    <w:rsid w:val="009F428E"/>
    <w:rsid w:val="009F432A"/>
    <w:rsid w:val="009F615C"/>
    <w:rsid w:val="009F7325"/>
    <w:rsid w:val="00A0100A"/>
    <w:rsid w:val="00A01258"/>
    <w:rsid w:val="00A03356"/>
    <w:rsid w:val="00A04189"/>
    <w:rsid w:val="00A050CE"/>
    <w:rsid w:val="00A065B5"/>
    <w:rsid w:val="00A0747A"/>
    <w:rsid w:val="00A07B06"/>
    <w:rsid w:val="00A10852"/>
    <w:rsid w:val="00A10DE1"/>
    <w:rsid w:val="00A1128B"/>
    <w:rsid w:val="00A116EC"/>
    <w:rsid w:val="00A14BFA"/>
    <w:rsid w:val="00A1531B"/>
    <w:rsid w:val="00A157CA"/>
    <w:rsid w:val="00A1623D"/>
    <w:rsid w:val="00A20CA7"/>
    <w:rsid w:val="00A219B7"/>
    <w:rsid w:val="00A23D48"/>
    <w:rsid w:val="00A24225"/>
    <w:rsid w:val="00A30923"/>
    <w:rsid w:val="00A30A27"/>
    <w:rsid w:val="00A31844"/>
    <w:rsid w:val="00A3388B"/>
    <w:rsid w:val="00A350DE"/>
    <w:rsid w:val="00A379D4"/>
    <w:rsid w:val="00A42A4A"/>
    <w:rsid w:val="00A45410"/>
    <w:rsid w:val="00A464A2"/>
    <w:rsid w:val="00A46E43"/>
    <w:rsid w:val="00A47046"/>
    <w:rsid w:val="00A507CC"/>
    <w:rsid w:val="00A50F6E"/>
    <w:rsid w:val="00A520FB"/>
    <w:rsid w:val="00A5350C"/>
    <w:rsid w:val="00A53C65"/>
    <w:rsid w:val="00A5450C"/>
    <w:rsid w:val="00A551A5"/>
    <w:rsid w:val="00A55FC7"/>
    <w:rsid w:val="00A5717D"/>
    <w:rsid w:val="00A579CC"/>
    <w:rsid w:val="00A60808"/>
    <w:rsid w:val="00A60F29"/>
    <w:rsid w:val="00A62482"/>
    <w:rsid w:val="00A70D67"/>
    <w:rsid w:val="00A70DC1"/>
    <w:rsid w:val="00A718BC"/>
    <w:rsid w:val="00A71C01"/>
    <w:rsid w:val="00A71EE4"/>
    <w:rsid w:val="00A72228"/>
    <w:rsid w:val="00A73057"/>
    <w:rsid w:val="00A73135"/>
    <w:rsid w:val="00A74911"/>
    <w:rsid w:val="00A74EC7"/>
    <w:rsid w:val="00A766DA"/>
    <w:rsid w:val="00A7727B"/>
    <w:rsid w:val="00A777E3"/>
    <w:rsid w:val="00A779E7"/>
    <w:rsid w:val="00A77C42"/>
    <w:rsid w:val="00A77E2A"/>
    <w:rsid w:val="00A80002"/>
    <w:rsid w:val="00A84E46"/>
    <w:rsid w:val="00A84F59"/>
    <w:rsid w:val="00A86B01"/>
    <w:rsid w:val="00A90568"/>
    <w:rsid w:val="00A908A2"/>
    <w:rsid w:val="00A91CC2"/>
    <w:rsid w:val="00A923E1"/>
    <w:rsid w:val="00A924F8"/>
    <w:rsid w:val="00A92B9C"/>
    <w:rsid w:val="00A93BD9"/>
    <w:rsid w:val="00A945DB"/>
    <w:rsid w:val="00A94EF0"/>
    <w:rsid w:val="00AA04DE"/>
    <w:rsid w:val="00AA1C59"/>
    <w:rsid w:val="00AA3027"/>
    <w:rsid w:val="00AA373F"/>
    <w:rsid w:val="00AA395F"/>
    <w:rsid w:val="00AA4A5B"/>
    <w:rsid w:val="00AA4B1E"/>
    <w:rsid w:val="00AA7812"/>
    <w:rsid w:val="00AB05FD"/>
    <w:rsid w:val="00AB0C5C"/>
    <w:rsid w:val="00AB22AD"/>
    <w:rsid w:val="00AB3466"/>
    <w:rsid w:val="00AB383C"/>
    <w:rsid w:val="00AB4031"/>
    <w:rsid w:val="00AB654F"/>
    <w:rsid w:val="00AB6926"/>
    <w:rsid w:val="00AC0E04"/>
    <w:rsid w:val="00AC2B4F"/>
    <w:rsid w:val="00AC32D6"/>
    <w:rsid w:val="00AC3B90"/>
    <w:rsid w:val="00AC5086"/>
    <w:rsid w:val="00AC6E4E"/>
    <w:rsid w:val="00AC7979"/>
    <w:rsid w:val="00AC7E7B"/>
    <w:rsid w:val="00AD090F"/>
    <w:rsid w:val="00AD137C"/>
    <w:rsid w:val="00AD1AC2"/>
    <w:rsid w:val="00AD233A"/>
    <w:rsid w:val="00AD2390"/>
    <w:rsid w:val="00AD4601"/>
    <w:rsid w:val="00AD4DFF"/>
    <w:rsid w:val="00AD5152"/>
    <w:rsid w:val="00AD5E51"/>
    <w:rsid w:val="00AE0195"/>
    <w:rsid w:val="00AE0208"/>
    <w:rsid w:val="00AE1A54"/>
    <w:rsid w:val="00AE1E76"/>
    <w:rsid w:val="00AE41EF"/>
    <w:rsid w:val="00AE4C5F"/>
    <w:rsid w:val="00AE6D60"/>
    <w:rsid w:val="00AE79A6"/>
    <w:rsid w:val="00AE7BCE"/>
    <w:rsid w:val="00AF03C2"/>
    <w:rsid w:val="00AF19BC"/>
    <w:rsid w:val="00AF3261"/>
    <w:rsid w:val="00AF40D6"/>
    <w:rsid w:val="00AF4421"/>
    <w:rsid w:val="00AF497A"/>
    <w:rsid w:val="00AF502A"/>
    <w:rsid w:val="00AF54F5"/>
    <w:rsid w:val="00AF554B"/>
    <w:rsid w:val="00AF6E26"/>
    <w:rsid w:val="00B02C36"/>
    <w:rsid w:val="00B04089"/>
    <w:rsid w:val="00B040D5"/>
    <w:rsid w:val="00B0528D"/>
    <w:rsid w:val="00B078F3"/>
    <w:rsid w:val="00B1070E"/>
    <w:rsid w:val="00B10AA1"/>
    <w:rsid w:val="00B111FF"/>
    <w:rsid w:val="00B1136A"/>
    <w:rsid w:val="00B13732"/>
    <w:rsid w:val="00B14F90"/>
    <w:rsid w:val="00B152DE"/>
    <w:rsid w:val="00B16802"/>
    <w:rsid w:val="00B21047"/>
    <w:rsid w:val="00B21789"/>
    <w:rsid w:val="00B223C5"/>
    <w:rsid w:val="00B23C5C"/>
    <w:rsid w:val="00B2474C"/>
    <w:rsid w:val="00B248E8"/>
    <w:rsid w:val="00B25D5E"/>
    <w:rsid w:val="00B25E55"/>
    <w:rsid w:val="00B276AE"/>
    <w:rsid w:val="00B3003A"/>
    <w:rsid w:val="00B304CD"/>
    <w:rsid w:val="00B30554"/>
    <w:rsid w:val="00B30596"/>
    <w:rsid w:val="00B35789"/>
    <w:rsid w:val="00B35B99"/>
    <w:rsid w:val="00B36569"/>
    <w:rsid w:val="00B36F50"/>
    <w:rsid w:val="00B3746B"/>
    <w:rsid w:val="00B409F9"/>
    <w:rsid w:val="00B42E06"/>
    <w:rsid w:val="00B44002"/>
    <w:rsid w:val="00B44812"/>
    <w:rsid w:val="00B44A48"/>
    <w:rsid w:val="00B45F23"/>
    <w:rsid w:val="00B46344"/>
    <w:rsid w:val="00B46F41"/>
    <w:rsid w:val="00B51205"/>
    <w:rsid w:val="00B51442"/>
    <w:rsid w:val="00B51F34"/>
    <w:rsid w:val="00B51F97"/>
    <w:rsid w:val="00B528CE"/>
    <w:rsid w:val="00B53850"/>
    <w:rsid w:val="00B544DE"/>
    <w:rsid w:val="00B548B8"/>
    <w:rsid w:val="00B5505D"/>
    <w:rsid w:val="00B55549"/>
    <w:rsid w:val="00B5589F"/>
    <w:rsid w:val="00B55F8F"/>
    <w:rsid w:val="00B57114"/>
    <w:rsid w:val="00B575D0"/>
    <w:rsid w:val="00B60671"/>
    <w:rsid w:val="00B61512"/>
    <w:rsid w:val="00B615CD"/>
    <w:rsid w:val="00B624F2"/>
    <w:rsid w:val="00B64557"/>
    <w:rsid w:val="00B65F32"/>
    <w:rsid w:val="00B6735C"/>
    <w:rsid w:val="00B70088"/>
    <w:rsid w:val="00B75570"/>
    <w:rsid w:val="00B76B51"/>
    <w:rsid w:val="00B76B55"/>
    <w:rsid w:val="00B779DA"/>
    <w:rsid w:val="00B77ACA"/>
    <w:rsid w:val="00B77CA9"/>
    <w:rsid w:val="00B77D05"/>
    <w:rsid w:val="00B85AA2"/>
    <w:rsid w:val="00B900F1"/>
    <w:rsid w:val="00B91445"/>
    <w:rsid w:val="00B91678"/>
    <w:rsid w:val="00B92176"/>
    <w:rsid w:val="00B934E3"/>
    <w:rsid w:val="00B947B4"/>
    <w:rsid w:val="00B95638"/>
    <w:rsid w:val="00B97F00"/>
    <w:rsid w:val="00BA007A"/>
    <w:rsid w:val="00BA0344"/>
    <w:rsid w:val="00BA1E72"/>
    <w:rsid w:val="00BA2C83"/>
    <w:rsid w:val="00BA4129"/>
    <w:rsid w:val="00BA5A5F"/>
    <w:rsid w:val="00BA7795"/>
    <w:rsid w:val="00BB1F5E"/>
    <w:rsid w:val="00BB2527"/>
    <w:rsid w:val="00BB264A"/>
    <w:rsid w:val="00BB337E"/>
    <w:rsid w:val="00BB3531"/>
    <w:rsid w:val="00BB485E"/>
    <w:rsid w:val="00BB50EE"/>
    <w:rsid w:val="00BB7CB0"/>
    <w:rsid w:val="00BC00E1"/>
    <w:rsid w:val="00BC0CF9"/>
    <w:rsid w:val="00BC1A44"/>
    <w:rsid w:val="00BC1C01"/>
    <w:rsid w:val="00BC25E7"/>
    <w:rsid w:val="00BC341C"/>
    <w:rsid w:val="00BC45DE"/>
    <w:rsid w:val="00BC5B0B"/>
    <w:rsid w:val="00BC66A7"/>
    <w:rsid w:val="00BC677C"/>
    <w:rsid w:val="00BD023D"/>
    <w:rsid w:val="00BD0693"/>
    <w:rsid w:val="00BD0A12"/>
    <w:rsid w:val="00BD129C"/>
    <w:rsid w:val="00BD31CC"/>
    <w:rsid w:val="00BD4FA2"/>
    <w:rsid w:val="00BD5291"/>
    <w:rsid w:val="00BD5454"/>
    <w:rsid w:val="00BD64A9"/>
    <w:rsid w:val="00BD6FEB"/>
    <w:rsid w:val="00BD7F25"/>
    <w:rsid w:val="00BE037E"/>
    <w:rsid w:val="00BE0B87"/>
    <w:rsid w:val="00BE45F6"/>
    <w:rsid w:val="00BE4BCD"/>
    <w:rsid w:val="00BE56E2"/>
    <w:rsid w:val="00BE61A8"/>
    <w:rsid w:val="00BE631F"/>
    <w:rsid w:val="00BE78FB"/>
    <w:rsid w:val="00BF0248"/>
    <w:rsid w:val="00BF07AF"/>
    <w:rsid w:val="00BF14B5"/>
    <w:rsid w:val="00BF34D4"/>
    <w:rsid w:val="00BF3672"/>
    <w:rsid w:val="00BF4A56"/>
    <w:rsid w:val="00BF7189"/>
    <w:rsid w:val="00BF7B69"/>
    <w:rsid w:val="00C0280C"/>
    <w:rsid w:val="00C03369"/>
    <w:rsid w:val="00C05CED"/>
    <w:rsid w:val="00C05E00"/>
    <w:rsid w:val="00C101C1"/>
    <w:rsid w:val="00C10621"/>
    <w:rsid w:val="00C1378C"/>
    <w:rsid w:val="00C14264"/>
    <w:rsid w:val="00C17FF8"/>
    <w:rsid w:val="00C20529"/>
    <w:rsid w:val="00C21123"/>
    <w:rsid w:val="00C260E8"/>
    <w:rsid w:val="00C272EB"/>
    <w:rsid w:val="00C27C52"/>
    <w:rsid w:val="00C30030"/>
    <w:rsid w:val="00C3033E"/>
    <w:rsid w:val="00C32F78"/>
    <w:rsid w:val="00C338CC"/>
    <w:rsid w:val="00C33D4B"/>
    <w:rsid w:val="00C34522"/>
    <w:rsid w:val="00C34B29"/>
    <w:rsid w:val="00C3619D"/>
    <w:rsid w:val="00C36B00"/>
    <w:rsid w:val="00C40B44"/>
    <w:rsid w:val="00C41734"/>
    <w:rsid w:val="00C42299"/>
    <w:rsid w:val="00C42B2D"/>
    <w:rsid w:val="00C44FA4"/>
    <w:rsid w:val="00C455D9"/>
    <w:rsid w:val="00C456FE"/>
    <w:rsid w:val="00C45A7E"/>
    <w:rsid w:val="00C4630D"/>
    <w:rsid w:val="00C472EC"/>
    <w:rsid w:val="00C47AE8"/>
    <w:rsid w:val="00C51849"/>
    <w:rsid w:val="00C52E13"/>
    <w:rsid w:val="00C52F65"/>
    <w:rsid w:val="00C53644"/>
    <w:rsid w:val="00C53B85"/>
    <w:rsid w:val="00C55AC1"/>
    <w:rsid w:val="00C56220"/>
    <w:rsid w:val="00C5673D"/>
    <w:rsid w:val="00C5703A"/>
    <w:rsid w:val="00C57067"/>
    <w:rsid w:val="00C600E0"/>
    <w:rsid w:val="00C60A14"/>
    <w:rsid w:val="00C65939"/>
    <w:rsid w:val="00C70B55"/>
    <w:rsid w:val="00C71C91"/>
    <w:rsid w:val="00C72654"/>
    <w:rsid w:val="00C72A14"/>
    <w:rsid w:val="00C7304A"/>
    <w:rsid w:val="00C736BD"/>
    <w:rsid w:val="00C73CB5"/>
    <w:rsid w:val="00C7475B"/>
    <w:rsid w:val="00C74D24"/>
    <w:rsid w:val="00C7592F"/>
    <w:rsid w:val="00C76799"/>
    <w:rsid w:val="00C768B9"/>
    <w:rsid w:val="00C76EE4"/>
    <w:rsid w:val="00C8006B"/>
    <w:rsid w:val="00C802D6"/>
    <w:rsid w:val="00C81697"/>
    <w:rsid w:val="00C8281C"/>
    <w:rsid w:val="00C82ECC"/>
    <w:rsid w:val="00C82F14"/>
    <w:rsid w:val="00C836A8"/>
    <w:rsid w:val="00C859B1"/>
    <w:rsid w:val="00C85A58"/>
    <w:rsid w:val="00C85B3B"/>
    <w:rsid w:val="00C85F04"/>
    <w:rsid w:val="00C863B3"/>
    <w:rsid w:val="00C923EB"/>
    <w:rsid w:val="00C93215"/>
    <w:rsid w:val="00C93351"/>
    <w:rsid w:val="00C9657F"/>
    <w:rsid w:val="00C970A4"/>
    <w:rsid w:val="00C9750D"/>
    <w:rsid w:val="00CA118D"/>
    <w:rsid w:val="00CA2458"/>
    <w:rsid w:val="00CA302A"/>
    <w:rsid w:val="00CA378B"/>
    <w:rsid w:val="00CA603E"/>
    <w:rsid w:val="00CA634E"/>
    <w:rsid w:val="00CA69B2"/>
    <w:rsid w:val="00CA7A58"/>
    <w:rsid w:val="00CB08E2"/>
    <w:rsid w:val="00CB0B81"/>
    <w:rsid w:val="00CB1B12"/>
    <w:rsid w:val="00CB1E82"/>
    <w:rsid w:val="00CB340C"/>
    <w:rsid w:val="00CB3B19"/>
    <w:rsid w:val="00CB4813"/>
    <w:rsid w:val="00CB5BAF"/>
    <w:rsid w:val="00CB5CFC"/>
    <w:rsid w:val="00CB6488"/>
    <w:rsid w:val="00CB74DF"/>
    <w:rsid w:val="00CB762D"/>
    <w:rsid w:val="00CC2758"/>
    <w:rsid w:val="00CC4034"/>
    <w:rsid w:val="00CC40DC"/>
    <w:rsid w:val="00CC6B81"/>
    <w:rsid w:val="00CC7791"/>
    <w:rsid w:val="00CD0194"/>
    <w:rsid w:val="00CD1FA2"/>
    <w:rsid w:val="00CD32DC"/>
    <w:rsid w:val="00CD35F6"/>
    <w:rsid w:val="00CE1661"/>
    <w:rsid w:val="00CE16AD"/>
    <w:rsid w:val="00CE2F25"/>
    <w:rsid w:val="00CE338F"/>
    <w:rsid w:val="00CE39A5"/>
    <w:rsid w:val="00CE3E27"/>
    <w:rsid w:val="00CE4160"/>
    <w:rsid w:val="00CE52A6"/>
    <w:rsid w:val="00CE60D6"/>
    <w:rsid w:val="00CE7063"/>
    <w:rsid w:val="00CF0BA0"/>
    <w:rsid w:val="00CF0C29"/>
    <w:rsid w:val="00CF1E9D"/>
    <w:rsid w:val="00CF26CF"/>
    <w:rsid w:val="00CF28AC"/>
    <w:rsid w:val="00CF3753"/>
    <w:rsid w:val="00CF3A5A"/>
    <w:rsid w:val="00CF6144"/>
    <w:rsid w:val="00CF6CA6"/>
    <w:rsid w:val="00CF71DB"/>
    <w:rsid w:val="00CF75A1"/>
    <w:rsid w:val="00D00EC9"/>
    <w:rsid w:val="00D03144"/>
    <w:rsid w:val="00D05B3E"/>
    <w:rsid w:val="00D07311"/>
    <w:rsid w:val="00D0796C"/>
    <w:rsid w:val="00D10C06"/>
    <w:rsid w:val="00D12D5C"/>
    <w:rsid w:val="00D134D7"/>
    <w:rsid w:val="00D13635"/>
    <w:rsid w:val="00D13946"/>
    <w:rsid w:val="00D13FAF"/>
    <w:rsid w:val="00D17187"/>
    <w:rsid w:val="00D2053A"/>
    <w:rsid w:val="00D21042"/>
    <w:rsid w:val="00D215D6"/>
    <w:rsid w:val="00D222B1"/>
    <w:rsid w:val="00D2231C"/>
    <w:rsid w:val="00D25A53"/>
    <w:rsid w:val="00D31BCE"/>
    <w:rsid w:val="00D325C2"/>
    <w:rsid w:val="00D32905"/>
    <w:rsid w:val="00D32F1D"/>
    <w:rsid w:val="00D33800"/>
    <w:rsid w:val="00D358B2"/>
    <w:rsid w:val="00D35DCF"/>
    <w:rsid w:val="00D370E8"/>
    <w:rsid w:val="00D3779F"/>
    <w:rsid w:val="00D40109"/>
    <w:rsid w:val="00D4099F"/>
    <w:rsid w:val="00D418D1"/>
    <w:rsid w:val="00D430F5"/>
    <w:rsid w:val="00D440BE"/>
    <w:rsid w:val="00D450CF"/>
    <w:rsid w:val="00D46478"/>
    <w:rsid w:val="00D46553"/>
    <w:rsid w:val="00D5062A"/>
    <w:rsid w:val="00D5087B"/>
    <w:rsid w:val="00D51FB1"/>
    <w:rsid w:val="00D52CAD"/>
    <w:rsid w:val="00D5483C"/>
    <w:rsid w:val="00D54C06"/>
    <w:rsid w:val="00D56430"/>
    <w:rsid w:val="00D56B36"/>
    <w:rsid w:val="00D5705D"/>
    <w:rsid w:val="00D57693"/>
    <w:rsid w:val="00D60C04"/>
    <w:rsid w:val="00D613B5"/>
    <w:rsid w:val="00D6237F"/>
    <w:rsid w:val="00D6291A"/>
    <w:rsid w:val="00D67FFE"/>
    <w:rsid w:val="00D70949"/>
    <w:rsid w:val="00D7189D"/>
    <w:rsid w:val="00D718BE"/>
    <w:rsid w:val="00D71D27"/>
    <w:rsid w:val="00D73232"/>
    <w:rsid w:val="00D735F2"/>
    <w:rsid w:val="00D75AA6"/>
    <w:rsid w:val="00D76A92"/>
    <w:rsid w:val="00D7752A"/>
    <w:rsid w:val="00D80C52"/>
    <w:rsid w:val="00D80DEB"/>
    <w:rsid w:val="00D819DA"/>
    <w:rsid w:val="00D81B7A"/>
    <w:rsid w:val="00D8287A"/>
    <w:rsid w:val="00D84013"/>
    <w:rsid w:val="00D84494"/>
    <w:rsid w:val="00D84B31"/>
    <w:rsid w:val="00D854A9"/>
    <w:rsid w:val="00D85899"/>
    <w:rsid w:val="00D858FB"/>
    <w:rsid w:val="00D86673"/>
    <w:rsid w:val="00D8681E"/>
    <w:rsid w:val="00D86F49"/>
    <w:rsid w:val="00D8776F"/>
    <w:rsid w:val="00D9011C"/>
    <w:rsid w:val="00D9275A"/>
    <w:rsid w:val="00D92D15"/>
    <w:rsid w:val="00D930B1"/>
    <w:rsid w:val="00D93D76"/>
    <w:rsid w:val="00D95567"/>
    <w:rsid w:val="00D97081"/>
    <w:rsid w:val="00D97AB9"/>
    <w:rsid w:val="00D97CB5"/>
    <w:rsid w:val="00D97F79"/>
    <w:rsid w:val="00DA010D"/>
    <w:rsid w:val="00DA06F8"/>
    <w:rsid w:val="00DA2B4F"/>
    <w:rsid w:val="00DA3502"/>
    <w:rsid w:val="00DA3F70"/>
    <w:rsid w:val="00DA43FF"/>
    <w:rsid w:val="00DA4A13"/>
    <w:rsid w:val="00DA4C60"/>
    <w:rsid w:val="00DA5007"/>
    <w:rsid w:val="00DB1421"/>
    <w:rsid w:val="00DB1F6B"/>
    <w:rsid w:val="00DB4032"/>
    <w:rsid w:val="00DB4B60"/>
    <w:rsid w:val="00DB510C"/>
    <w:rsid w:val="00DC0A1A"/>
    <w:rsid w:val="00DC0B98"/>
    <w:rsid w:val="00DC13FE"/>
    <w:rsid w:val="00DC1E53"/>
    <w:rsid w:val="00DC25FD"/>
    <w:rsid w:val="00DC2FBD"/>
    <w:rsid w:val="00DD015E"/>
    <w:rsid w:val="00DD07DF"/>
    <w:rsid w:val="00DD14E8"/>
    <w:rsid w:val="00DD3352"/>
    <w:rsid w:val="00DD3735"/>
    <w:rsid w:val="00DD47AF"/>
    <w:rsid w:val="00DD4A09"/>
    <w:rsid w:val="00DD4CDF"/>
    <w:rsid w:val="00DD644B"/>
    <w:rsid w:val="00DD6639"/>
    <w:rsid w:val="00DD6BF8"/>
    <w:rsid w:val="00DD7AD2"/>
    <w:rsid w:val="00DD7B5F"/>
    <w:rsid w:val="00DE0506"/>
    <w:rsid w:val="00DE0E47"/>
    <w:rsid w:val="00DE11CE"/>
    <w:rsid w:val="00DE1681"/>
    <w:rsid w:val="00DE53DF"/>
    <w:rsid w:val="00DE6A23"/>
    <w:rsid w:val="00DE7E0A"/>
    <w:rsid w:val="00DF0198"/>
    <w:rsid w:val="00DF14C1"/>
    <w:rsid w:val="00DF285C"/>
    <w:rsid w:val="00DF49E7"/>
    <w:rsid w:val="00DF528A"/>
    <w:rsid w:val="00DF54D0"/>
    <w:rsid w:val="00E012E2"/>
    <w:rsid w:val="00E014E5"/>
    <w:rsid w:val="00E0153B"/>
    <w:rsid w:val="00E0275E"/>
    <w:rsid w:val="00E0331F"/>
    <w:rsid w:val="00E03B8E"/>
    <w:rsid w:val="00E03BBB"/>
    <w:rsid w:val="00E06B32"/>
    <w:rsid w:val="00E0789E"/>
    <w:rsid w:val="00E07BBC"/>
    <w:rsid w:val="00E10435"/>
    <w:rsid w:val="00E111B3"/>
    <w:rsid w:val="00E1192F"/>
    <w:rsid w:val="00E12887"/>
    <w:rsid w:val="00E13D7D"/>
    <w:rsid w:val="00E15A3E"/>
    <w:rsid w:val="00E15B86"/>
    <w:rsid w:val="00E17A90"/>
    <w:rsid w:val="00E20324"/>
    <w:rsid w:val="00E2097B"/>
    <w:rsid w:val="00E20B5D"/>
    <w:rsid w:val="00E214B9"/>
    <w:rsid w:val="00E2160E"/>
    <w:rsid w:val="00E216A9"/>
    <w:rsid w:val="00E2197C"/>
    <w:rsid w:val="00E2218E"/>
    <w:rsid w:val="00E221EA"/>
    <w:rsid w:val="00E23BF0"/>
    <w:rsid w:val="00E2430E"/>
    <w:rsid w:val="00E25440"/>
    <w:rsid w:val="00E254FB"/>
    <w:rsid w:val="00E25C99"/>
    <w:rsid w:val="00E26C09"/>
    <w:rsid w:val="00E26CD9"/>
    <w:rsid w:val="00E26E15"/>
    <w:rsid w:val="00E27174"/>
    <w:rsid w:val="00E304DF"/>
    <w:rsid w:val="00E305C8"/>
    <w:rsid w:val="00E31744"/>
    <w:rsid w:val="00E33E06"/>
    <w:rsid w:val="00E369B7"/>
    <w:rsid w:val="00E40840"/>
    <w:rsid w:val="00E4193C"/>
    <w:rsid w:val="00E41A02"/>
    <w:rsid w:val="00E473D0"/>
    <w:rsid w:val="00E479FB"/>
    <w:rsid w:val="00E50C7C"/>
    <w:rsid w:val="00E50D2D"/>
    <w:rsid w:val="00E522F3"/>
    <w:rsid w:val="00E525AE"/>
    <w:rsid w:val="00E52920"/>
    <w:rsid w:val="00E5314F"/>
    <w:rsid w:val="00E54EE0"/>
    <w:rsid w:val="00E558A1"/>
    <w:rsid w:val="00E563A0"/>
    <w:rsid w:val="00E57CD0"/>
    <w:rsid w:val="00E6089D"/>
    <w:rsid w:val="00E625E6"/>
    <w:rsid w:val="00E62918"/>
    <w:rsid w:val="00E64553"/>
    <w:rsid w:val="00E64610"/>
    <w:rsid w:val="00E65D89"/>
    <w:rsid w:val="00E660B5"/>
    <w:rsid w:val="00E665EE"/>
    <w:rsid w:val="00E70440"/>
    <w:rsid w:val="00E70D6D"/>
    <w:rsid w:val="00E71872"/>
    <w:rsid w:val="00E71902"/>
    <w:rsid w:val="00E72008"/>
    <w:rsid w:val="00E72F0A"/>
    <w:rsid w:val="00E74101"/>
    <w:rsid w:val="00E755AF"/>
    <w:rsid w:val="00E75F5D"/>
    <w:rsid w:val="00E778F5"/>
    <w:rsid w:val="00E8299C"/>
    <w:rsid w:val="00E84735"/>
    <w:rsid w:val="00E84798"/>
    <w:rsid w:val="00E852F3"/>
    <w:rsid w:val="00E85F9D"/>
    <w:rsid w:val="00E86736"/>
    <w:rsid w:val="00E871F3"/>
    <w:rsid w:val="00E8741A"/>
    <w:rsid w:val="00E90318"/>
    <w:rsid w:val="00E9063D"/>
    <w:rsid w:val="00E906B6"/>
    <w:rsid w:val="00E91890"/>
    <w:rsid w:val="00E936AD"/>
    <w:rsid w:val="00E93A7C"/>
    <w:rsid w:val="00E952AA"/>
    <w:rsid w:val="00E97612"/>
    <w:rsid w:val="00EA1233"/>
    <w:rsid w:val="00EA264B"/>
    <w:rsid w:val="00EA29ED"/>
    <w:rsid w:val="00EA606C"/>
    <w:rsid w:val="00EA7FD2"/>
    <w:rsid w:val="00EB2618"/>
    <w:rsid w:val="00EB3564"/>
    <w:rsid w:val="00EB396C"/>
    <w:rsid w:val="00EB3E9A"/>
    <w:rsid w:val="00EB486D"/>
    <w:rsid w:val="00EB4C31"/>
    <w:rsid w:val="00EB4E26"/>
    <w:rsid w:val="00EB55AD"/>
    <w:rsid w:val="00EB621E"/>
    <w:rsid w:val="00EB6446"/>
    <w:rsid w:val="00EB77E1"/>
    <w:rsid w:val="00EB7BF4"/>
    <w:rsid w:val="00EC138D"/>
    <w:rsid w:val="00EC16BE"/>
    <w:rsid w:val="00EC3352"/>
    <w:rsid w:val="00EC4121"/>
    <w:rsid w:val="00EC48DA"/>
    <w:rsid w:val="00EC51D9"/>
    <w:rsid w:val="00EC65E1"/>
    <w:rsid w:val="00ED08D6"/>
    <w:rsid w:val="00ED44A4"/>
    <w:rsid w:val="00ED46E1"/>
    <w:rsid w:val="00ED4DD3"/>
    <w:rsid w:val="00ED5514"/>
    <w:rsid w:val="00ED5CBA"/>
    <w:rsid w:val="00ED5E85"/>
    <w:rsid w:val="00ED72F0"/>
    <w:rsid w:val="00ED75B2"/>
    <w:rsid w:val="00EE246C"/>
    <w:rsid w:val="00EE26F5"/>
    <w:rsid w:val="00EE31F5"/>
    <w:rsid w:val="00EE343F"/>
    <w:rsid w:val="00EE4614"/>
    <w:rsid w:val="00EE4B09"/>
    <w:rsid w:val="00EE6E4E"/>
    <w:rsid w:val="00EF1AF5"/>
    <w:rsid w:val="00EF2865"/>
    <w:rsid w:val="00EF28D3"/>
    <w:rsid w:val="00EF3193"/>
    <w:rsid w:val="00EF421C"/>
    <w:rsid w:val="00EF4D74"/>
    <w:rsid w:val="00EF5119"/>
    <w:rsid w:val="00F00497"/>
    <w:rsid w:val="00F008C5"/>
    <w:rsid w:val="00F00CC1"/>
    <w:rsid w:val="00F0173C"/>
    <w:rsid w:val="00F0182B"/>
    <w:rsid w:val="00F0267D"/>
    <w:rsid w:val="00F0492F"/>
    <w:rsid w:val="00F05859"/>
    <w:rsid w:val="00F058A7"/>
    <w:rsid w:val="00F05FAD"/>
    <w:rsid w:val="00F06084"/>
    <w:rsid w:val="00F0638C"/>
    <w:rsid w:val="00F10B0E"/>
    <w:rsid w:val="00F117B8"/>
    <w:rsid w:val="00F1192B"/>
    <w:rsid w:val="00F11BF8"/>
    <w:rsid w:val="00F13B3A"/>
    <w:rsid w:val="00F1532A"/>
    <w:rsid w:val="00F17003"/>
    <w:rsid w:val="00F214B3"/>
    <w:rsid w:val="00F21DD2"/>
    <w:rsid w:val="00F21E06"/>
    <w:rsid w:val="00F227E7"/>
    <w:rsid w:val="00F242C9"/>
    <w:rsid w:val="00F25E44"/>
    <w:rsid w:val="00F30B8D"/>
    <w:rsid w:val="00F31BA9"/>
    <w:rsid w:val="00F33FA6"/>
    <w:rsid w:val="00F348B7"/>
    <w:rsid w:val="00F35193"/>
    <w:rsid w:val="00F40441"/>
    <w:rsid w:val="00F41FB1"/>
    <w:rsid w:val="00F42427"/>
    <w:rsid w:val="00F4469D"/>
    <w:rsid w:val="00F44DC0"/>
    <w:rsid w:val="00F516AA"/>
    <w:rsid w:val="00F5245C"/>
    <w:rsid w:val="00F52E6B"/>
    <w:rsid w:val="00F52F88"/>
    <w:rsid w:val="00F53B6A"/>
    <w:rsid w:val="00F54103"/>
    <w:rsid w:val="00F56213"/>
    <w:rsid w:val="00F56617"/>
    <w:rsid w:val="00F5774F"/>
    <w:rsid w:val="00F579F1"/>
    <w:rsid w:val="00F60CF4"/>
    <w:rsid w:val="00F60F4C"/>
    <w:rsid w:val="00F630D5"/>
    <w:rsid w:val="00F63A2C"/>
    <w:rsid w:val="00F63AE1"/>
    <w:rsid w:val="00F6481E"/>
    <w:rsid w:val="00F65F0F"/>
    <w:rsid w:val="00F65F74"/>
    <w:rsid w:val="00F6601C"/>
    <w:rsid w:val="00F662B7"/>
    <w:rsid w:val="00F6687A"/>
    <w:rsid w:val="00F67321"/>
    <w:rsid w:val="00F67963"/>
    <w:rsid w:val="00F703CC"/>
    <w:rsid w:val="00F7170E"/>
    <w:rsid w:val="00F71B5C"/>
    <w:rsid w:val="00F72BCB"/>
    <w:rsid w:val="00F72C66"/>
    <w:rsid w:val="00F8302C"/>
    <w:rsid w:val="00F86D9B"/>
    <w:rsid w:val="00F86DD7"/>
    <w:rsid w:val="00F86F99"/>
    <w:rsid w:val="00F90F39"/>
    <w:rsid w:val="00F911E7"/>
    <w:rsid w:val="00F91331"/>
    <w:rsid w:val="00F94B30"/>
    <w:rsid w:val="00F94F34"/>
    <w:rsid w:val="00F96E96"/>
    <w:rsid w:val="00F973BE"/>
    <w:rsid w:val="00FA07E5"/>
    <w:rsid w:val="00FA647B"/>
    <w:rsid w:val="00FB5819"/>
    <w:rsid w:val="00FB5B7E"/>
    <w:rsid w:val="00FB62F8"/>
    <w:rsid w:val="00FB6981"/>
    <w:rsid w:val="00FB6F4C"/>
    <w:rsid w:val="00FC1446"/>
    <w:rsid w:val="00FC22A8"/>
    <w:rsid w:val="00FC2629"/>
    <w:rsid w:val="00FC35E1"/>
    <w:rsid w:val="00FC41B5"/>
    <w:rsid w:val="00FC7668"/>
    <w:rsid w:val="00FD0143"/>
    <w:rsid w:val="00FD19F0"/>
    <w:rsid w:val="00FD1BB7"/>
    <w:rsid w:val="00FD21B6"/>
    <w:rsid w:val="00FD2FA7"/>
    <w:rsid w:val="00FD3190"/>
    <w:rsid w:val="00FD590E"/>
    <w:rsid w:val="00FD5F8E"/>
    <w:rsid w:val="00FD638E"/>
    <w:rsid w:val="00FD6442"/>
    <w:rsid w:val="00FD7C18"/>
    <w:rsid w:val="00FE361B"/>
    <w:rsid w:val="00FE3695"/>
    <w:rsid w:val="00FE3951"/>
    <w:rsid w:val="00FE3A2C"/>
    <w:rsid w:val="00FE3CC0"/>
    <w:rsid w:val="00FE3EFF"/>
    <w:rsid w:val="00FE5451"/>
    <w:rsid w:val="00FE6793"/>
    <w:rsid w:val="00FE6E0E"/>
    <w:rsid w:val="00FE7966"/>
    <w:rsid w:val="00FE79E6"/>
    <w:rsid w:val="00FF028C"/>
    <w:rsid w:val="00FF212B"/>
    <w:rsid w:val="00FF23C9"/>
    <w:rsid w:val="00FF384D"/>
    <w:rsid w:val="00FF55A5"/>
    <w:rsid w:val="00FF5D19"/>
    <w:rsid w:val="00FF602C"/>
    <w:rsid w:val="00FF743C"/>
    <w:rsid w:val="00FF76A0"/>
    <w:rsid w:val="00FF7D0C"/>
    <w:rsid w:val="01EC0191"/>
    <w:rsid w:val="03891691"/>
    <w:rsid w:val="048D0E2D"/>
    <w:rsid w:val="06311155"/>
    <w:rsid w:val="07C50D60"/>
    <w:rsid w:val="087B29AA"/>
    <w:rsid w:val="09101C07"/>
    <w:rsid w:val="09BA2701"/>
    <w:rsid w:val="09C75A8B"/>
    <w:rsid w:val="0C74214E"/>
    <w:rsid w:val="0CC72F3F"/>
    <w:rsid w:val="0D8A01F2"/>
    <w:rsid w:val="0DB317B6"/>
    <w:rsid w:val="0EC42733"/>
    <w:rsid w:val="0EE73D6D"/>
    <w:rsid w:val="0F5907C6"/>
    <w:rsid w:val="10F0656C"/>
    <w:rsid w:val="12414F26"/>
    <w:rsid w:val="12664571"/>
    <w:rsid w:val="12D35F9C"/>
    <w:rsid w:val="14237BE5"/>
    <w:rsid w:val="15F12DDD"/>
    <w:rsid w:val="166415B8"/>
    <w:rsid w:val="167F2107"/>
    <w:rsid w:val="16D06A17"/>
    <w:rsid w:val="170156DC"/>
    <w:rsid w:val="178A7F7B"/>
    <w:rsid w:val="18E611E1"/>
    <w:rsid w:val="190A1374"/>
    <w:rsid w:val="198A4263"/>
    <w:rsid w:val="1A2C144A"/>
    <w:rsid w:val="1A5F6A15"/>
    <w:rsid w:val="1B453DD4"/>
    <w:rsid w:val="1BEA548C"/>
    <w:rsid w:val="1C116575"/>
    <w:rsid w:val="1CE928A9"/>
    <w:rsid w:val="1CE93CFC"/>
    <w:rsid w:val="1D9806A7"/>
    <w:rsid w:val="1DAB202D"/>
    <w:rsid w:val="207E071B"/>
    <w:rsid w:val="21017335"/>
    <w:rsid w:val="21863561"/>
    <w:rsid w:val="22456F79"/>
    <w:rsid w:val="2329172A"/>
    <w:rsid w:val="23D912DF"/>
    <w:rsid w:val="24353405"/>
    <w:rsid w:val="251A00F5"/>
    <w:rsid w:val="25880594"/>
    <w:rsid w:val="25E66CC5"/>
    <w:rsid w:val="27906876"/>
    <w:rsid w:val="27F10F49"/>
    <w:rsid w:val="28972098"/>
    <w:rsid w:val="2A7C19A5"/>
    <w:rsid w:val="2AE5579D"/>
    <w:rsid w:val="2B65243A"/>
    <w:rsid w:val="2BFB3CA8"/>
    <w:rsid w:val="2D4D08A9"/>
    <w:rsid w:val="2DC526CA"/>
    <w:rsid w:val="2DD16060"/>
    <w:rsid w:val="2E2825E2"/>
    <w:rsid w:val="2F1B5F08"/>
    <w:rsid w:val="2F5C169F"/>
    <w:rsid w:val="2F8D6403"/>
    <w:rsid w:val="3179263A"/>
    <w:rsid w:val="325F3BB1"/>
    <w:rsid w:val="33B33B5C"/>
    <w:rsid w:val="33DC5CD3"/>
    <w:rsid w:val="34713BFD"/>
    <w:rsid w:val="374452AD"/>
    <w:rsid w:val="3A4F648E"/>
    <w:rsid w:val="3A5B6783"/>
    <w:rsid w:val="3AE95C3B"/>
    <w:rsid w:val="3B1A3241"/>
    <w:rsid w:val="3B3948C9"/>
    <w:rsid w:val="3CF67395"/>
    <w:rsid w:val="3D666AC7"/>
    <w:rsid w:val="3DB639EC"/>
    <w:rsid w:val="3DF84A44"/>
    <w:rsid w:val="3EBC6CF0"/>
    <w:rsid w:val="41010C1D"/>
    <w:rsid w:val="41CC6917"/>
    <w:rsid w:val="42DC702D"/>
    <w:rsid w:val="4391606A"/>
    <w:rsid w:val="44224F14"/>
    <w:rsid w:val="451C5E07"/>
    <w:rsid w:val="452A1653"/>
    <w:rsid w:val="4537221B"/>
    <w:rsid w:val="46AE6AE3"/>
    <w:rsid w:val="49886893"/>
    <w:rsid w:val="4A264ABA"/>
    <w:rsid w:val="4A573465"/>
    <w:rsid w:val="4AF540C9"/>
    <w:rsid w:val="4C2757BD"/>
    <w:rsid w:val="4D150064"/>
    <w:rsid w:val="4D6552A8"/>
    <w:rsid w:val="4D940B27"/>
    <w:rsid w:val="4DBE0454"/>
    <w:rsid w:val="4E1965E7"/>
    <w:rsid w:val="4FB855E9"/>
    <w:rsid w:val="4FFB035D"/>
    <w:rsid w:val="505D7677"/>
    <w:rsid w:val="532D7511"/>
    <w:rsid w:val="54596730"/>
    <w:rsid w:val="546832F7"/>
    <w:rsid w:val="55491271"/>
    <w:rsid w:val="567A0BDF"/>
    <w:rsid w:val="576C224B"/>
    <w:rsid w:val="59011C17"/>
    <w:rsid w:val="5A676681"/>
    <w:rsid w:val="5B7C71A8"/>
    <w:rsid w:val="5BB871F6"/>
    <w:rsid w:val="5C7E485A"/>
    <w:rsid w:val="5C8B719A"/>
    <w:rsid w:val="5D084C32"/>
    <w:rsid w:val="5D331AE8"/>
    <w:rsid w:val="60995EA1"/>
    <w:rsid w:val="628E066E"/>
    <w:rsid w:val="65694E80"/>
    <w:rsid w:val="65E47E23"/>
    <w:rsid w:val="672E5483"/>
    <w:rsid w:val="68B166E3"/>
    <w:rsid w:val="6999660E"/>
    <w:rsid w:val="6B7D3DF4"/>
    <w:rsid w:val="6BD3071E"/>
    <w:rsid w:val="6C9472C6"/>
    <w:rsid w:val="6ECF651E"/>
    <w:rsid w:val="719E357C"/>
    <w:rsid w:val="71CB732D"/>
    <w:rsid w:val="72035AD5"/>
    <w:rsid w:val="72824C4C"/>
    <w:rsid w:val="72937837"/>
    <w:rsid w:val="75271ADB"/>
    <w:rsid w:val="75E033DC"/>
    <w:rsid w:val="78CD7367"/>
    <w:rsid w:val="79782905"/>
    <w:rsid w:val="79E64234"/>
    <w:rsid w:val="7A585CBB"/>
    <w:rsid w:val="7A9E45ED"/>
    <w:rsid w:val="7AA8546C"/>
    <w:rsid w:val="7C5C02BC"/>
    <w:rsid w:val="7CBC4933"/>
    <w:rsid w:val="7E751B09"/>
    <w:rsid w:val="7ED93E46"/>
    <w:rsid w:val="7F5E259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eastAsia="宋体" w:cs="Times New Roman"/>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Balloon Text"/>
    <w:basedOn w:val="1"/>
    <w:link w:val="16"/>
    <w:semiHidden/>
    <w:unhideWhenUsed/>
    <w:qFormat/>
    <w:uiPriority w:val="99"/>
    <w:rPr>
      <w:rFonts w:ascii="Calibri" w:hAnsi="Calibri" w:cs="Times New Roman"/>
      <w:sz w:val="18"/>
      <w:szCs w:val="18"/>
    </w:rPr>
  </w:style>
  <w:style w:type="paragraph" w:styleId="5">
    <w:name w:val="footer"/>
    <w:basedOn w:val="1"/>
    <w:link w:val="15"/>
    <w:unhideWhenUsed/>
    <w:qFormat/>
    <w:uiPriority w:val="99"/>
    <w:pPr>
      <w:tabs>
        <w:tab w:val="center" w:pos="4153"/>
        <w:tab w:val="right" w:pos="8306"/>
      </w:tabs>
      <w:snapToGrid w:val="0"/>
      <w:jc w:val="left"/>
    </w:pPr>
    <w:rPr>
      <w:rFonts w:ascii="Calibri" w:hAnsi="Calibri"/>
      <w:kern w:val="0"/>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7">
    <w:name w:val="toc 1"/>
    <w:basedOn w:val="1"/>
    <w:next w:val="1"/>
    <w:semiHidden/>
    <w:unhideWhenUsed/>
    <w:qFormat/>
    <w:uiPriority w:val="39"/>
  </w:style>
  <w:style w:type="paragraph" w:styleId="8">
    <w:name w:val="toc 2"/>
    <w:basedOn w:val="1"/>
    <w:next w:val="1"/>
    <w:semiHidden/>
    <w:unhideWhenUsed/>
    <w:qFormat/>
    <w:uiPriority w:val="39"/>
    <w:pPr>
      <w:ind w:left="420" w:leftChars="200"/>
    </w:pPr>
  </w:style>
  <w:style w:type="paragraph" w:styleId="9">
    <w:name w:val="Body Text 2"/>
    <w:basedOn w:val="1"/>
    <w:qFormat/>
    <w:uiPriority w:val="0"/>
    <w:pPr>
      <w:jc w:val="left"/>
    </w:pPr>
    <w:rPr>
      <w:kern w:val="0"/>
      <w:sz w:val="20"/>
    </w:rPr>
  </w:style>
  <w:style w:type="table" w:styleId="11">
    <w:name w:val="Table Grid"/>
    <w:basedOn w:val="10"/>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页眉 Char"/>
    <w:link w:val="6"/>
    <w:qFormat/>
    <w:uiPriority w:val="99"/>
    <w:rPr>
      <w:sz w:val="18"/>
      <w:szCs w:val="18"/>
    </w:rPr>
  </w:style>
  <w:style w:type="character" w:customStyle="1" w:styleId="15">
    <w:name w:val="页脚 Char"/>
    <w:link w:val="5"/>
    <w:qFormat/>
    <w:uiPriority w:val="99"/>
    <w:rPr>
      <w:sz w:val="18"/>
      <w:szCs w:val="18"/>
    </w:rPr>
  </w:style>
  <w:style w:type="character" w:customStyle="1" w:styleId="16">
    <w:name w:val="批注框文本 Char"/>
    <w:link w:val="4"/>
    <w:semiHidden/>
    <w:qFormat/>
    <w:uiPriority w:val="99"/>
    <w:rPr>
      <w:rFonts w:ascii="Calibri" w:hAnsi="Calibri" w:eastAsia="宋体" w:cs="Times New Roman"/>
      <w:sz w:val="18"/>
      <w:szCs w:val="18"/>
    </w:rPr>
  </w:style>
  <w:style w:type="paragraph" w:customStyle="1" w:styleId="17">
    <w:name w:val="Table Text"/>
    <w:basedOn w:val="1"/>
    <w:semiHidden/>
    <w:qFormat/>
    <w:uiPriority w:val="0"/>
    <w:rPr>
      <w:rFonts w:ascii="Times New Roman" w:hAnsi="Times New Roman" w:eastAsia="Times New Roman" w:cs="Times New Roman"/>
      <w:sz w:val="23"/>
      <w:szCs w:val="23"/>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5151</Words>
  <Characters>6393</Characters>
  <Lines>2</Lines>
  <Paragraphs>1</Paragraphs>
  <TotalTime>295</TotalTime>
  <ScaleCrop>false</ScaleCrop>
  <LinksUpToDate>false</LinksUpToDate>
  <CharactersWithSpaces>6503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2017-01-04T11:54:00Z</dcterms:created>
  <dc:creator>Admin</dc:creator>
  <cp:lastModifiedBy>渠嘉伟</cp:lastModifiedBy>
  <cp:lastPrinted>2026-04-04T13:11:00Z</cp:lastPrinted>
  <dcterms:modified xsi:type="dcterms:W3CDTF">2026-04-12T00:53:25Z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标题">
    <vt:lpwstr>葫芦素煤矿2022年度矿山地质环境治理计划书</vt:lpwstr>
  </property>
  <property fmtid="{D5CDD505-2E9C-101B-9397-08002B2CF9AE}" pid="3" name="正文部分">
    <vt:lpwstr>正文部分</vt:lpwstr>
  </property>
  <property fmtid="{D5CDD505-2E9C-101B-9397-08002B2CF9AE}" pid="4" name="发文编号">
    <vt:lpwstr>葫芦素矿字〔2022〕3号</vt:lpwstr>
  </property>
  <property fmtid="{D5CDD505-2E9C-101B-9397-08002B2CF9AE}" pid="5" name="主题词">
    <vt:lpwstr>主题词</vt:lpwstr>
  </property>
  <property fmtid="{D5CDD505-2E9C-101B-9397-08002B2CF9AE}" pid="6" name="份数">
    <vt:lpwstr>份数</vt:lpwstr>
  </property>
  <property fmtid="{D5CDD505-2E9C-101B-9397-08002B2CF9AE}" pid="7" name="签发人">
    <vt:lpwstr>苏兰平</vt:lpwstr>
  </property>
  <property fmtid="{D5CDD505-2E9C-101B-9397-08002B2CF9AE}" pid="8" name="印章">
    <vt:lpwstr>印章</vt:lpwstr>
  </property>
  <property fmtid="{D5CDD505-2E9C-101B-9397-08002B2CF9AE}" pid="9" name="抄送单位">
    <vt:lpwstr>抄送单位</vt:lpwstr>
  </property>
  <property fmtid="{D5CDD505-2E9C-101B-9397-08002B2CF9AE}" pid="10" name="主送单位">
    <vt:lpwstr>葫芦素煤矿</vt:lpwstr>
  </property>
  <property fmtid="{D5CDD505-2E9C-101B-9397-08002B2CF9AE}" pid="11" name="印发日期">
    <vt:lpwstr>2022年1月18日</vt:lpwstr>
  </property>
  <property fmtid="{D5CDD505-2E9C-101B-9397-08002B2CF9AE}" pid="12" name="KSOProductBuildVer">
    <vt:lpwstr>2052-12.1.0.25225</vt:lpwstr>
  </property>
  <property fmtid="{D5CDD505-2E9C-101B-9397-08002B2CF9AE}" pid="13" name="ICV">
    <vt:lpwstr>3DDD7E33882F4182A58A3C70C27024AC</vt:lpwstr>
  </property>
  <property fmtid="{D5CDD505-2E9C-101B-9397-08002B2CF9AE}" pid="14" name="KSOTemplateDocerSaveRecord">
    <vt:lpwstr>eyJoZGlkIjoiMWZkODkxNWMwN2E3NmM1MDMxNDViNzEzNjEyZTAxYmEiLCJ1c2VySWQiOiI2MDg0NDc1NDQifQ==</vt:lpwstr>
  </property>
</Properties>
</file>