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D1254">
      <w:pPr>
        <w:spacing w:line="267" w:lineRule="auto"/>
        <w:rPr>
          <w:rFonts w:ascii="Arial"/>
          <w:sz w:val="21"/>
        </w:rPr>
      </w:pPr>
    </w:p>
    <w:p w14:paraId="190D0370">
      <w:pPr>
        <w:spacing w:line="267" w:lineRule="auto"/>
        <w:rPr>
          <w:rFonts w:ascii="Arial"/>
          <w:sz w:val="21"/>
        </w:rPr>
      </w:pPr>
    </w:p>
    <w:p w14:paraId="59C61CE3">
      <w:pPr>
        <w:spacing w:before="146" w:line="212" w:lineRule="auto"/>
        <w:ind w:left="4817"/>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color w:val="333333"/>
          <w:spacing w:val="10"/>
          <w:sz w:val="31"/>
          <w:szCs w:val="31"/>
          <w:lang w:val="en-US" w:eastAsia="zh-CN"/>
        </w:rPr>
        <w:t>市场监督管理局</w:t>
      </w:r>
      <w:r>
        <w:rPr>
          <w:rFonts w:ascii="方正小标宋简体" w:hAnsi="方正小标宋简体" w:eastAsia="方正小标宋简体" w:cs="方正小标宋简体"/>
          <w:color w:val="333333"/>
          <w:spacing w:val="10"/>
          <w:sz w:val="31"/>
          <w:szCs w:val="31"/>
        </w:rPr>
        <w:t>主动公开事项目录</w:t>
      </w:r>
    </w:p>
    <w:p w14:paraId="4FF80543">
      <w:pPr>
        <w:spacing w:line="69" w:lineRule="exact"/>
      </w:pPr>
    </w:p>
    <w:tbl>
      <w:tblPr>
        <w:tblStyle w:val="7"/>
        <w:tblW w:w="14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666"/>
        <w:gridCol w:w="672"/>
        <w:gridCol w:w="1472"/>
        <w:gridCol w:w="1125"/>
        <w:gridCol w:w="1424"/>
        <w:gridCol w:w="826"/>
        <w:gridCol w:w="960"/>
        <w:gridCol w:w="696"/>
        <w:gridCol w:w="1120"/>
        <w:gridCol w:w="1247"/>
        <w:gridCol w:w="544"/>
        <w:gridCol w:w="620"/>
        <w:gridCol w:w="564"/>
        <w:gridCol w:w="2100"/>
      </w:tblGrid>
      <w:tr w14:paraId="73BC7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108" w:type="dxa"/>
            <w:gridSpan w:val="3"/>
            <w:vAlign w:val="top"/>
          </w:tcPr>
          <w:p w14:paraId="4A2D6E41">
            <w:pPr>
              <w:spacing w:before="51" w:line="218" w:lineRule="auto"/>
              <w:ind w:left="626"/>
              <w:rPr>
                <w:rFonts w:ascii="宋体" w:hAnsi="宋体" w:eastAsia="宋体" w:cs="宋体"/>
                <w:sz w:val="22"/>
                <w:szCs w:val="22"/>
              </w:rPr>
            </w:pPr>
            <w:r>
              <w:rPr>
                <w:rFonts w:ascii="宋体" w:hAnsi="宋体" w:eastAsia="宋体" w:cs="宋体"/>
                <w:spacing w:val="-4"/>
                <w:sz w:val="22"/>
                <w:szCs w:val="22"/>
              </w:rPr>
              <w:t>公开事项</w:t>
            </w:r>
          </w:p>
        </w:tc>
        <w:tc>
          <w:tcPr>
            <w:tcW w:w="1472" w:type="dxa"/>
            <w:vMerge w:val="restart"/>
            <w:tcBorders>
              <w:bottom w:val="nil"/>
            </w:tcBorders>
            <w:vAlign w:val="top"/>
          </w:tcPr>
          <w:p w14:paraId="00ACBB45">
            <w:pPr>
              <w:pStyle w:val="8"/>
              <w:spacing w:line="450" w:lineRule="auto"/>
            </w:pPr>
          </w:p>
          <w:p w14:paraId="60C8A23D">
            <w:pPr>
              <w:spacing w:before="72" w:line="248" w:lineRule="auto"/>
              <w:ind w:left="356" w:right="343"/>
              <w:rPr>
                <w:rFonts w:ascii="宋体" w:hAnsi="宋体" w:eastAsia="宋体" w:cs="宋体"/>
                <w:sz w:val="22"/>
                <w:szCs w:val="22"/>
              </w:rPr>
            </w:pPr>
            <w:r>
              <w:rPr>
                <w:rFonts w:ascii="宋体" w:hAnsi="宋体" w:eastAsia="宋体" w:cs="宋体"/>
                <w:spacing w:val="-4"/>
                <w:sz w:val="22"/>
                <w:szCs w:val="22"/>
              </w:rPr>
              <w:t>公开内容</w:t>
            </w:r>
            <w:r>
              <w:rPr>
                <w:rFonts w:ascii="宋体" w:hAnsi="宋体" w:eastAsia="宋体" w:cs="宋体"/>
                <w:spacing w:val="1"/>
                <w:sz w:val="22"/>
                <w:szCs w:val="22"/>
              </w:rPr>
              <w:t xml:space="preserve"> </w:t>
            </w:r>
            <w:r>
              <w:rPr>
                <w:rFonts w:ascii="宋体" w:hAnsi="宋体" w:eastAsia="宋体" w:cs="宋体"/>
                <w:spacing w:val="-7"/>
                <w:sz w:val="22"/>
                <w:szCs w:val="22"/>
              </w:rPr>
              <w:t>（要素）</w:t>
            </w:r>
          </w:p>
        </w:tc>
        <w:tc>
          <w:tcPr>
            <w:tcW w:w="1125" w:type="dxa"/>
            <w:vMerge w:val="restart"/>
            <w:tcBorders>
              <w:bottom w:val="nil"/>
            </w:tcBorders>
            <w:vAlign w:val="center"/>
          </w:tcPr>
          <w:p w14:paraId="5C5DCED5">
            <w:pPr>
              <w:spacing w:before="72" w:line="248" w:lineRule="auto"/>
              <w:ind w:right="135"/>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pacing w:val="-5"/>
                <w:sz w:val="22"/>
                <w:szCs w:val="22"/>
              </w:rPr>
              <w:t>依据</w:t>
            </w:r>
          </w:p>
        </w:tc>
        <w:tc>
          <w:tcPr>
            <w:tcW w:w="1424" w:type="dxa"/>
            <w:vMerge w:val="restart"/>
            <w:tcBorders>
              <w:bottom w:val="nil"/>
            </w:tcBorders>
            <w:vAlign w:val="center"/>
          </w:tcPr>
          <w:p w14:paraId="1120F596">
            <w:pPr>
              <w:spacing w:before="72" w:line="220" w:lineRule="auto"/>
              <w:jc w:val="center"/>
              <w:rPr>
                <w:rFonts w:ascii="宋体" w:hAnsi="宋体" w:eastAsia="宋体" w:cs="宋体"/>
                <w:sz w:val="22"/>
                <w:szCs w:val="22"/>
              </w:rPr>
            </w:pPr>
            <w:r>
              <w:rPr>
                <w:rFonts w:ascii="宋体" w:hAnsi="宋体" w:eastAsia="宋体" w:cs="宋体"/>
                <w:spacing w:val="-3"/>
                <w:sz w:val="22"/>
                <w:szCs w:val="22"/>
              </w:rPr>
              <w:t>条款内容</w:t>
            </w:r>
          </w:p>
        </w:tc>
        <w:tc>
          <w:tcPr>
            <w:tcW w:w="826" w:type="dxa"/>
            <w:vMerge w:val="restart"/>
            <w:tcBorders>
              <w:bottom w:val="nil"/>
            </w:tcBorders>
            <w:vAlign w:val="top"/>
          </w:tcPr>
          <w:p w14:paraId="71F71785">
            <w:pPr>
              <w:pStyle w:val="8"/>
              <w:spacing w:line="450" w:lineRule="auto"/>
            </w:pPr>
          </w:p>
          <w:p w14:paraId="64E0D30C">
            <w:pPr>
              <w:spacing w:before="72" w:line="248" w:lineRule="auto"/>
              <w:ind w:left="183" w:right="170" w:hanging="1"/>
              <w:rPr>
                <w:rFonts w:ascii="宋体" w:hAnsi="宋体" w:eastAsia="宋体" w:cs="宋体"/>
                <w:sz w:val="22"/>
                <w:szCs w:val="22"/>
              </w:rPr>
            </w:pPr>
            <w:r>
              <w:rPr>
                <w:rFonts w:ascii="宋体" w:hAnsi="宋体" w:eastAsia="宋体" w:cs="宋体"/>
                <w:spacing w:val="-4"/>
                <w:sz w:val="22"/>
                <w:szCs w:val="22"/>
              </w:rPr>
              <w:t>依据效</w:t>
            </w:r>
            <w:r>
              <w:rPr>
                <w:rFonts w:ascii="宋体" w:hAnsi="宋体" w:eastAsia="宋体" w:cs="宋体"/>
                <w:spacing w:val="1"/>
                <w:sz w:val="22"/>
                <w:szCs w:val="22"/>
              </w:rPr>
              <w:t xml:space="preserve"> </w:t>
            </w:r>
            <w:r>
              <w:rPr>
                <w:rFonts w:ascii="宋体" w:hAnsi="宋体" w:eastAsia="宋体" w:cs="宋体"/>
                <w:spacing w:val="-4"/>
                <w:sz w:val="22"/>
                <w:szCs w:val="22"/>
              </w:rPr>
              <w:t>力位阶</w:t>
            </w:r>
          </w:p>
        </w:tc>
        <w:tc>
          <w:tcPr>
            <w:tcW w:w="960" w:type="dxa"/>
            <w:vMerge w:val="restart"/>
            <w:tcBorders>
              <w:bottom w:val="nil"/>
            </w:tcBorders>
            <w:vAlign w:val="top"/>
          </w:tcPr>
          <w:p w14:paraId="79A2A21B">
            <w:pPr>
              <w:pStyle w:val="8"/>
              <w:spacing w:line="449" w:lineRule="auto"/>
            </w:pPr>
          </w:p>
          <w:p w14:paraId="27233A25">
            <w:pPr>
              <w:spacing w:before="71" w:line="249" w:lineRule="auto"/>
              <w:ind w:left="156" w:right="135" w:hanging="3"/>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z w:val="22"/>
                <w:szCs w:val="22"/>
              </w:rPr>
              <w:t xml:space="preserve"> </w:t>
            </w:r>
            <w:r>
              <w:rPr>
                <w:rFonts w:ascii="宋体" w:hAnsi="宋体" w:eastAsia="宋体" w:cs="宋体"/>
                <w:spacing w:val="-9"/>
                <w:sz w:val="22"/>
                <w:szCs w:val="22"/>
              </w:rPr>
              <w:t>时限</w:t>
            </w:r>
          </w:p>
        </w:tc>
        <w:tc>
          <w:tcPr>
            <w:tcW w:w="696" w:type="dxa"/>
            <w:vMerge w:val="restart"/>
            <w:tcBorders>
              <w:bottom w:val="nil"/>
            </w:tcBorders>
            <w:vAlign w:val="top"/>
          </w:tcPr>
          <w:p w14:paraId="0856638F">
            <w:pPr>
              <w:pStyle w:val="8"/>
              <w:spacing w:line="449" w:lineRule="auto"/>
            </w:pPr>
          </w:p>
          <w:p w14:paraId="1CDD95E9">
            <w:pPr>
              <w:spacing w:before="72" w:line="249" w:lineRule="auto"/>
              <w:ind w:left="164" w:right="151" w:firstLine="5"/>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z w:val="22"/>
                <w:szCs w:val="22"/>
              </w:rPr>
              <w:t xml:space="preserve"> </w:t>
            </w:r>
            <w:r>
              <w:rPr>
                <w:rFonts w:ascii="宋体" w:hAnsi="宋体" w:eastAsia="宋体" w:cs="宋体"/>
                <w:spacing w:val="-5"/>
                <w:sz w:val="22"/>
                <w:szCs w:val="22"/>
              </w:rPr>
              <w:t>主体</w:t>
            </w:r>
          </w:p>
        </w:tc>
        <w:tc>
          <w:tcPr>
            <w:tcW w:w="1120" w:type="dxa"/>
            <w:vMerge w:val="restart"/>
            <w:tcBorders>
              <w:bottom w:val="nil"/>
            </w:tcBorders>
            <w:vAlign w:val="top"/>
          </w:tcPr>
          <w:p w14:paraId="6BE7FF45">
            <w:pPr>
              <w:pStyle w:val="8"/>
              <w:spacing w:line="294" w:lineRule="auto"/>
            </w:pPr>
          </w:p>
          <w:p w14:paraId="74A2083C">
            <w:pPr>
              <w:spacing w:before="72" w:line="253" w:lineRule="auto"/>
              <w:ind w:left="116" w:right="7" w:firstLine="11"/>
              <w:jc w:val="both"/>
              <w:rPr>
                <w:rFonts w:ascii="宋体" w:hAnsi="宋体" w:eastAsia="宋体" w:cs="宋体"/>
                <w:sz w:val="22"/>
                <w:szCs w:val="22"/>
              </w:rPr>
            </w:pPr>
            <w:r>
              <w:rPr>
                <w:rFonts w:ascii="宋体" w:hAnsi="宋体" w:eastAsia="宋体" w:cs="宋体"/>
                <w:spacing w:val="-2"/>
                <w:sz w:val="22"/>
                <w:szCs w:val="22"/>
              </w:rPr>
              <w:t>事项类别</w:t>
            </w:r>
            <w:r>
              <w:rPr>
                <w:rFonts w:ascii="宋体" w:hAnsi="宋体" w:eastAsia="宋体" w:cs="宋体"/>
                <w:sz w:val="22"/>
                <w:szCs w:val="22"/>
              </w:rPr>
              <w:t xml:space="preserve">  </w:t>
            </w:r>
            <w:r>
              <w:rPr>
                <w:rFonts w:ascii="宋体" w:hAnsi="宋体" w:eastAsia="宋体" w:cs="宋体"/>
                <w:spacing w:val="1"/>
                <w:sz w:val="22"/>
                <w:szCs w:val="22"/>
              </w:rPr>
              <w:t>（法定公</w:t>
            </w:r>
            <w:r>
              <w:rPr>
                <w:rFonts w:ascii="宋体" w:hAnsi="宋体" w:eastAsia="宋体" w:cs="宋体"/>
                <w:sz w:val="22"/>
                <w:szCs w:val="22"/>
              </w:rPr>
              <w:t xml:space="preserve">  </w:t>
            </w:r>
            <w:r>
              <w:rPr>
                <w:rFonts w:ascii="宋体" w:hAnsi="宋体" w:eastAsia="宋体" w:cs="宋体"/>
                <w:spacing w:val="-22"/>
                <w:sz w:val="22"/>
                <w:szCs w:val="22"/>
              </w:rPr>
              <w:t>开、其他）</w:t>
            </w:r>
          </w:p>
        </w:tc>
        <w:tc>
          <w:tcPr>
            <w:tcW w:w="1247" w:type="dxa"/>
            <w:vMerge w:val="restart"/>
            <w:tcBorders>
              <w:bottom w:val="nil"/>
            </w:tcBorders>
            <w:vAlign w:val="top"/>
          </w:tcPr>
          <w:p w14:paraId="0E89F3A3">
            <w:pPr>
              <w:pStyle w:val="8"/>
              <w:spacing w:line="449" w:lineRule="auto"/>
            </w:pPr>
          </w:p>
          <w:p w14:paraId="3F1D5405">
            <w:pPr>
              <w:spacing w:before="71" w:line="249" w:lineRule="auto"/>
              <w:ind w:left="301" w:right="177" w:hanging="104"/>
              <w:rPr>
                <w:rFonts w:ascii="宋体" w:hAnsi="宋体" w:eastAsia="宋体" w:cs="宋体"/>
                <w:sz w:val="22"/>
                <w:szCs w:val="22"/>
              </w:rPr>
            </w:pPr>
            <w:r>
              <w:rPr>
                <w:rFonts w:ascii="宋体" w:hAnsi="宋体" w:eastAsia="宋体" w:cs="宋体"/>
                <w:spacing w:val="-4"/>
                <w:sz w:val="22"/>
                <w:szCs w:val="22"/>
              </w:rPr>
              <w:t>公开渠道</w:t>
            </w:r>
            <w:r>
              <w:rPr>
                <w:rFonts w:ascii="宋体" w:hAnsi="宋体" w:eastAsia="宋体" w:cs="宋体"/>
                <w:spacing w:val="1"/>
                <w:sz w:val="22"/>
                <w:szCs w:val="22"/>
              </w:rPr>
              <w:t xml:space="preserve"> </w:t>
            </w:r>
            <w:r>
              <w:rPr>
                <w:rFonts w:ascii="宋体" w:hAnsi="宋体" w:eastAsia="宋体" w:cs="宋体"/>
                <w:spacing w:val="-3"/>
                <w:sz w:val="22"/>
                <w:szCs w:val="22"/>
              </w:rPr>
              <w:t>和载体</w:t>
            </w:r>
          </w:p>
        </w:tc>
        <w:tc>
          <w:tcPr>
            <w:tcW w:w="1164" w:type="dxa"/>
            <w:gridSpan w:val="2"/>
            <w:vAlign w:val="top"/>
          </w:tcPr>
          <w:p w14:paraId="209184AA">
            <w:pPr>
              <w:spacing w:before="51" w:line="218" w:lineRule="auto"/>
              <w:ind w:left="157"/>
              <w:rPr>
                <w:rFonts w:ascii="宋体" w:hAnsi="宋体" w:eastAsia="宋体" w:cs="宋体"/>
                <w:sz w:val="22"/>
                <w:szCs w:val="22"/>
              </w:rPr>
            </w:pPr>
            <w:r>
              <w:rPr>
                <w:rFonts w:ascii="宋体" w:hAnsi="宋体" w:eastAsia="宋体" w:cs="宋体"/>
                <w:spacing w:val="-4"/>
                <w:sz w:val="22"/>
                <w:szCs w:val="22"/>
              </w:rPr>
              <w:t>公开对象</w:t>
            </w:r>
          </w:p>
        </w:tc>
        <w:tc>
          <w:tcPr>
            <w:tcW w:w="564" w:type="dxa"/>
            <w:vMerge w:val="restart"/>
            <w:tcBorders>
              <w:bottom w:val="nil"/>
            </w:tcBorders>
            <w:textDirection w:val="tbRlV"/>
            <w:vAlign w:val="top"/>
          </w:tcPr>
          <w:p w14:paraId="46981C98">
            <w:pPr>
              <w:spacing w:before="209" w:line="209" w:lineRule="auto"/>
              <w:ind w:left="211"/>
              <w:rPr>
                <w:rFonts w:ascii="宋体" w:hAnsi="宋体" w:eastAsia="宋体" w:cs="宋体"/>
                <w:sz w:val="22"/>
                <w:szCs w:val="22"/>
              </w:rPr>
            </w:pPr>
            <w:r>
              <w:rPr>
                <w:rFonts w:ascii="宋体" w:hAnsi="宋体" w:eastAsia="宋体" w:cs="宋体"/>
                <w:sz w:val="22"/>
                <w:szCs w:val="22"/>
              </w:rPr>
              <w:t>责</w:t>
            </w:r>
            <w:r>
              <w:rPr>
                <w:rFonts w:ascii="宋体" w:hAnsi="宋体" w:eastAsia="宋体" w:cs="宋体"/>
                <w:spacing w:val="-17"/>
                <w:sz w:val="22"/>
                <w:szCs w:val="22"/>
              </w:rPr>
              <w:t xml:space="preserve"> </w:t>
            </w:r>
            <w:r>
              <w:rPr>
                <w:rFonts w:ascii="宋体" w:hAnsi="宋体" w:eastAsia="宋体" w:cs="宋体"/>
                <w:sz w:val="22"/>
                <w:szCs w:val="22"/>
              </w:rPr>
              <w:t>任</w:t>
            </w:r>
            <w:r>
              <w:rPr>
                <w:rFonts w:ascii="宋体" w:hAnsi="宋体" w:eastAsia="宋体" w:cs="宋体"/>
                <w:spacing w:val="-19"/>
                <w:sz w:val="22"/>
                <w:szCs w:val="22"/>
              </w:rPr>
              <w:t xml:space="preserve"> </w:t>
            </w:r>
            <w:r>
              <w:rPr>
                <w:rFonts w:ascii="宋体" w:hAnsi="宋体" w:eastAsia="宋体" w:cs="宋体"/>
                <w:sz w:val="22"/>
                <w:szCs w:val="22"/>
              </w:rPr>
              <w:t>科</w:t>
            </w:r>
            <w:r>
              <w:rPr>
                <w:rFonts w:ascii="宋体" w:hAnsi="宋体" w:eastAsia="宋体" w:cs="宋体"/>
                <w:spacing w:val="-19"/>
                <w:sz w:val="22"/>
                <w:szCs w:val="22"/>
              </w:rPr>
              <w:t xml:space="preserve"> </w:t>
            </w:r>
            <w:r>
              <w:rPr>
                <w:rFonts w:ascii="宋体" w:hAnsi="宋体" w:eastAsia="宋体" w:cs="宋体"/>
                <w:sz w:val="22"/>
                <w:szCs w:val="22"/>
              </w:rPr>
              <w:t>室</w:t>
            </w:r>
          </w:p>
        </w:tc>
        <w:tc>
          <w:tcPr>
            <w:tcW w:w="2100" w:type="dxa"/>
            <w:vMerge w:val="restart"/>
            <w:tcBorders>
              <w:bottom w:val="nil"/>
            </w:tcBorders>
            <w:vAlign w:val="top"/>
          </w:tcPr>
          <w:p w14:paraId="6B7AF754">
            <w:pPr>
              <w:pStyle w:val="8"/>
              <w:spacing w:line="449" w:lineRule="auto"/>
            </w:pPr>
          </w:p>
          <w:p w14:paraId="56C77744">
            <w:pPr>
              <w:spacing w:before="72" w:line="249" w:lineRule="auto"/>
              <w:ind w:left="270" w:right="260" w:hanging="1"/>
              <w:rPr>
                <w:rFonts w:ascii="宋体" w:hAnsi="宋体" w:eastAsia="宋体" w:cs="宋体"/>
                <w:sz w:val="22"/>
                <w:szCs w:val="22"/>
              </w:rPr>
            </w:pPr>
            <w:r>
              <w:rPr>
                <w:rFonts w:ascii="宋体" w:hAnsi="宋体" w:eastAsia="宋体" w:cs="宋体"/>
                <w:spacing w:val="-3"/>
                <w:sz w:val="22"/>
                <w:szCs w:val="22"/>
              </w:rPr>
              <w:t>对应</w:t>
            </w:r>
            <w:r>
              <w:rPr>
                <w:rFonts w:ascii="宋体" w:hAnsi="宋体" w:eastAsia="宋体" w:cs="宋体"/>
                <w:sz w:val="22"/>
                <w:szCs w:val="22"/>
              </w:rPr>
              <w:t xml:space="preserve"> </w:t>
            </w:r>
            <w:r>
              <w:rPr>
                <w:rFonts w:ascii="宋体" w:hAnsi="宋体" w:eastAsia="宋体" w:cs="宋体"/>
                <w:spacing w:val="-4"/>
                <w:sz w:val="22"/>
                <w:szCs w:val="22"/>
              </w:rPr>
              <w:t>职责</w:t>
            </w:r>
          </w:p>
        </w:tc>
      </w:tr>
      <w:tr w14:paraId="4576F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770" w:type="dxa"/>
            <w:vAlign w:val="top"/>
          </w:tcPr>
          <w:p w14:paraId="1F1B6F9C">
            <w:pPr>
              <w:pStyle w:val="8"/>
              <w:spacing w:line="284" w:lineRule="auto"/>
            </w:pPr>
          </w:p>
          <w:p w14:paraId="1E8CFCD3">
            <w:pPr>
              <w:spacing w:before="72" w:line="249" w:lineRule="auto"/>
              <w:ind w:left="171" w:right="160" w:firstLine="3"/>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z w:val="22"/>
                <w:szCs w:val="22"/>
              </w:rPr>
              <w:t xml:space="preserve"> </w:t>
            </w:r>
            <w:r>
              <w:rPr>
                <w:rFonts w:ascii="宋体" w:hAnsi="宋体" w:eastAsia="宋体" w:cs="宋体"/>
                <w:spacing w:val="-4"/>
                <w:sz w:val="22"/>
                <w:szCs w:val="22"/>
              </w:rPr>
              <w:t>事项</w:t>
            </w:r>
          </w:p>
        </w:tc>
        <w:tc>
          <w:tcPr>
            <w:tcW w:w="666" w:type="dxa"/>
            <w:vAlign w:val="top"/>
          </w:tcPr>
          <w:p w14:paraId="13FC310C">
            <w:pPr>
              <w:pStyle w:val="8"/>
              <w:spacing w:line="284" w:lineRule="auto"/>
            </w:pPr>
          </w:p>
          <w:p w14:paraId="424B7CBE">
            <w:pPr>
              <w:spacing w:before="72" w:line="249" w:lineRule="auto"/>
              <w:ind w:left="116" w:right="111" w:firstLine="3"/>
              <w:rPr>
                <w:rFonts w:ascii="宋体" w:hAnsi="宋体" w:eastAsia="宋体" w:cs="宋体"/>
                <w:sz w:val="22"/>
                <w:szCs w:val="22"/>
              </w:rPr>
            </w:pPr>
            <w:r>
              <w:rPr>
                <w:rFonts w:ascii="宋体" w:hAnsi="宋体" w:eastAsia="宋体" w:cs="宋体"/>
                <w:spacing w:val="-6"/>
                <w:sz w:val="22"/>
                <w:szCs w:val="22"/>
              </w:rPr>
              <w:t>二级</w:t>
            </w:r>
            <w:r>
              <w:rPr>
                <w:rFonts w:ascii="宋体" w:hAnsi="宋体" w:eastAsia="宋体" w:cs="宋体"/>
                <w:sz w:val="22"/>
                <w:szCs w:val="22"/>
              </w:rPr>
              <w:t xml:space="preserve"> </w:t>
            </w:r>
            <w:r>
              <w:rPr>
                <w:rFonts w:ascii="宋体" w:hAnsi="宋体" w:eastAsia="宋体" w:cs="宋体"/>
                <w:spacing w:val="-4"/>
                <w:sz w:val="22"/>
                <w:szCs w:val="22"/>
              </w:rPr>
              <w:t>事项</w:t>
            </w:r>
          </w:p>
        </w:tc>
        <w:tc>
          <w:tcPr>
            <w:tcW w:w="672" w:type="dxa"/>
            <w:vAlign w:val="top"/>
          </w:tcPr>
          <w:p w14:paraId="371FD634">
            <w:pPr>
              <w:pStyle w:val="8"/>
              <w:spacing w:line="284" w:lineRule="auto"/>
            </w:pPr>
          </w:p>
          <w:p w14:paraId="4A5AA8F6">
            <w:pPr>
              <w:spacing w:before="72" w:line="249" w:lineRule="auto"/>
              <w:ind w:left="119" w:right="113"/>
              <w:rPr>
                <w:rFonts w:ascii="宋体" w:hAnsi="宋体" w:eastAsia="宋体" w:cs="宋体"/>
                <w:sz w:val="22"/>
                <w:szCs w:val="22"/>
              </w:rPr>
            </w:pPr>
            <w:r>
              <w:rPr>
                <w:rFonts w:ascii="宋体" w:hAnsi="宋体" w:eastAsia="宋体" w:cs="宋体"/>
                <w:spacing w:val="-4"/>
                <w:sz w:val="22"/>
                <w:szCs w:val="22"/>
              </w:rPr>
              <w:t>三级</w:t>
            </w:r>
            <w:r>
              <w:rPr>
                <w:rFonts w:ascii="宋体" w:hAnsi="宋体" w:eastAsia="宋体" w:cs="宋体"/>
                <w:sz w:val="22"/>
                <w:szCs w:val="22"/>
              </w:rPr>
              <w:t xml:space="preserve"> </w:t>
            </w:r>
            <w:r>
              <w:rPr>
                <w:rFonts w:ascii="宋体" w:hAnsi="宋体" w:eastAsia="宋体" w:cs="宋体"/>
                <w:spacing w:val="-4"/>
                <w:sz w:val="22"/>
                <w:szCs w:val="22"/>
              </w:rPr>
              <w:t>事项</w:t>
            </w:r>
          </w:p>
        </w:tc>
        <w:tc>
          <w:tcPr>
            <w:tcW w:w="1472" w:type="dxa"/>
            <w:vMerge w:val="continue"/>
            <w:tcBorders>
              <w:top w:val="nil"/>
            </w:tcBorders>
            <w:vAlign w:val="top"/>
          </w:tcPr>
          <w:p w14:paraId="72C39A96">
            <w:pPr>
              <w:pStyle w:val="8"/>
            </w:pPr>
          </w:p>
        </w:tc>
        <w:tc>
          <w:tcPr>
            <w:tcW w:w="1125" w:type="dxa"/>
            <w:vMerge w:val="continue"/>
            <w:tcBorders>
              <w:top w:val="nil"/>
            </w:tcBorders>
            <w:vAlign w:val="top"/>
          </w:tcPr>
          <w:p w14:paraId="7B65C9CA">
            <w:pPr>
              <w:pStyle w:val="8"/>
            </w:pPr>
          </w:p>
        </w:tc>
        <w:tc>
          <w:tcPr>
            <w:tcW w:w="1424" w:type="dxa"/>
            <w:vMerge w:val="continue"/>
            <w:tcBorders>
              <w:top w:val="nil"/>
            </w:tcBorders>
            <w:vAlign w:val="top"/>
          </w:tcPr>
          <w:p w14:paraId="165E8F3B">
            <w:pPr>
              <w:pStyle w:val="8"/>
            </w:pPr>
          </w:p>
        </w:tc>
        <w:tc>
          <w:tcPr>
            <w:tcW w:w="826" w:type="dxa"/>
            <w:vMerge w:val="continue"/>
            <w:tcBorders>
              <w:top w:val="nil"/>
            </w:tcBorders>
            <w:vAlign w:val="top"/>
          </w:tcPr>
          <w:p w14:paraId="1E845521">
            <w:pPr>
              <w:pStyle w:val="8"/>
            </w:pPr>
          </w:p>
        </w:tc>
        <w:tc>
          <w:tcPr>
            <w:tcW w:w="960" w:type="dxa"/>
            <w:vMerge w:val="continue"/>
            <w:tcBorders>
              <w:top w:val="nil"/>
            </w:tcBorders>
            <w:vAlign w:val="top"/>
          </w:tcPr>
          <w:p w14:paraId="11EEAECA">
            <w:pPr>
              <w:pStyle w:val="8"/>
            </w:pPr>
          </w:p>
        </w:tc>
        <w:tc>
          <w:tcPr>
            <w:tcW w:w="696" w:type="dxa"/>
            <w:vMerge w:val="continue"/>
            <w:tcBorders>
              <w:top w:val="nil"/>
            </w:tcBorders>
            <w:vAlign w:val="top"/>
          </w:tcPr>
          <w:p w14:paraId="592DD713">
            <w:pPr>
              <w:pStyle w:val="8"/>
            </w:pPr>
          </w:p>
        </w:tc>
        <w:tc>
          <w:tcPr>
            <w:tcW w:w="1120" w:type="dxa"/>
            <w:vMerge w:val="continue"/>
            <w:tcBorders>
              <w:top w:val="nil"/>
            </w:tcBorders>
            <w:vAlign w:val="top"/>
          </w:tcPr>
          <w:p w14:paraId="7D1A4EAE">
            <w:pPr>
              <w:pStyle w:val="8"/>
            </w:pPr>
          </w:p>
        </w:tc>
        <w:tc>
          <w:tcPr>
            <w:tcW w:w="1247" w:type="dxa"/>
            <w:vMerge w:val="continue"/>
            <w:tcBorders>
              <w:top w:val="nil"/>
            </w:tcBorders>
            <w:vAlign w:val="top"/>
          </w:tcPr>
          <w:p w14:paraId="38C7B151">
            <w:pPr>
              <w:pStyle w:val="8"/>
            </w:pPr>
          </w:p>
        </w:tc>
        <w:tc>
          <w:tcPr>
            <w:tcW w:w="544" w:type="dxa"/>
            <w:textDirection w:val="tbRlV"/>
            <w:vAlign w:val="top"/>
          </w:tcPr>
          <w:p w14:paraId="47EFD3A1">
            <w:pPr>
              <w:spacing w:before="155" w:line="209" w:lineRule="auto"/>
              <w:ind w:left="202"/>
              <w:rPr>
                <w:rFonts w:ascii="宋体" w:hAnsi="宋体" w:eastAsia="宋体" w:cs="宋体"/>
                <w:sz w:val="22"/>
                <w:szCs w:val="22"/>
              </w:rPr>
            </w:pPr>
            <w:r>
              <w:rPr>
                <w:rFonts w:ascii="宋体" w:hAnsi="宋体" w:eastAsia="宋体" w:cs="宋体"/>
                <w:sz w:val="22"/>
                <w:szCs w:val="22"/>
              </w:rPr>
              <w:t>全</w:t>
            </w:r>
            <w:r>
              <w:rPr>
                <w:rFonts w:ascii="宋体" w:hAnsi="宋体" w:eastAsia="宋体" w:cs="宋体"/>
                <w:spacing w:val="-18"/>
                <w:sz w:val="22"/>
                <w:szCs w:val="22"/>
              </w:rPr>
              <w:t xml:space="preserve"> </w:t>
            </w:r>
            <w:r>
              <w:rPr>
                <w:rFonts w:ascii="宋体" w:hAnsi="宋体" w:eastAsia="宋体" w:cs="宋体"/>
                <w:sz w:val="22"/>
                <w:szCs w:val="22"/>
              </w:rPr>
              <w:t>社</w:t>
            </w:r>
            <w:r>
              <w:rPr>
                <w:rFonts w:ascii="宋体" w:hAnsi="宋体" w:eastAsia="宋体" w:cs="宋体"/>
                <w:spacing w:val="-19"/>
                <w:sz w:val="22"/>
                <w:szCs w:val="22"/>
              </w:rPr>
              <w:t xml:space="preserve"> </w:t>
            </w:r>
            <w:r>
              <w:rPr>
                <w:rFonts w:ascii="宋体" w:hAnsi="宋体" w:eastAsia="宋体" w:cs="宋体"/>
                <w:sz w:val="22"/>
                <w:szCs w:val="22"/>
              </w:rPr>
              <w:t>会</w:t>
            </w:r>
          </w:p>
        </w:tc>
        <w:tc>
          <w:tcPr>
            <w:tcW w:w="620" w:type="dxa"/>
            <w:textDirection w:val="tbRlV"/>
            <w:vAlign w:val="top"/>
          </w:tcPr>
          <w:p w14:paraId="0397F17C">
            <w:pPr>
              <w:spacing w:before="192" w:line="209" w:lineRule="auto"/>
              <w:ind w:left="46"/>
              <w:rPr>
                <w:rFonts w:ascii="宋体" w:hAnsi="宋体" w:eastAsia="宋体" w:cs="宋体"/>
                <w:sz w:val="22"/>
                <w:szCs w:val="22"/>
              </w:rPr>
            </w:pPr>
            <w:r>
              <w:rPr>
                <w:rFonts w:ascii="宋体" w:hAnsi="宋体" w:eastAsia="宋体" w:cs="宋体"/>
                <w:sz w:val="22"/>
                <w:szCs w:val="22"/>
              </w:rPr>
              <w:t>特</w:t>
            </w:r>
            <w:r>
              <w:rPr>
                <w:rFonts w:ascii="宋体" w:hAnsi="宋体" w:eastAsia="宋体" w:cs="宋体"/>
                <w:spacing w:val="-17"/>
                <w:sz w:val="22"/>
                <w:szCs w:val="22"/>
              </w:rPr>
              <w:t xml:space="preserve"> </w:t>
            </w:r>
            <w:r>
              <w:rPr>
                <w:rFonts w:ascii="宋体" w:hAnsi="宋体" w:eastAsia="宋体" w:cs="宋体"/>
                <w:sz w:val="22"/>
                <w:szCs w:val="22"/>
              </w:rPr>
              <w:t>定</w:t>
            </w:r>
            <w:r>
              <w:rPr>
                <w:rFonts w:ascii="宋体" w:hAnsi="宋体" w:eastAsia="宋体" w:cs="宋体"/>
                <w:spacing w:val="-19"/>
                <w:sz w:val="22"/>
                <w:szCs w:val="22"/>
              </w:rPr>
              <w:t xml:space="preserve"> </w:t>
            </w:r>
            <w:r>
              <w:rPr>
                <w:rFonts w:ascii="宋体" w:hAnsi="宋体" w:eastAsia="宋体" w:cs="宋体"/>
                <w:sz w:val="22"/>
                <w:szCs w:val="22"/>
              </w:rPr>
              <w:t>群</w:t>
            </w:r>
            <w:r>
              <w:rPr>
                <w:rFonts w:ascii="宋体" w:hAnsi="宋体" w:eastAsia="宋体" w:cs="宋体"/>
                <w:spacing w:val="-19"/>
                <w:sz w:val="22"/>
                <w:szCs w:val="22"/>
              </w:rPr>
              <w:t xml:space="preserve"> </w:t>
            </w:r>
            <w:r>
              <w:rPr>
                <w:rFonts w:ascii="宋体" w:hAnsi="宋体" w:eastAsia="宋体" w:cs="宋体"/>
                <w:sz w:val="22"/>
                <w:szCs w:val="22"/>
              </w:rPr>
              <w:t>体</w:t>
            </w:r>
          </w:p>
        </w:tc>
        <w:tc>
          <w:tcPr>
            <w:tcW w:w="564" w:type="dxa"/>
            <w:vMerge w:val="continue"/>
            <w:tcBorders>
              <w:top w:val="nil"/>
            </w:tcBorders>
            <w:textDirection w:val="tbRlV"/>
            <w:vAlign w:val="top"/>
          </w:tcPr>
          <w:p w14:paraId="6F60EC9D">
            <w:pPr>
              <w:pStyle w:val="8"/>
            </w:pPr>
          </w:p>
        </w:tc>
        <w:tc>
          <w:tcPr>
            <w:tcW w:w="2100" w:type="dxa"/>
            <w:vMerge w:val="continue"/>
            <w:tcBorders>
              <w:top w:val="nil"/>
            </w:tcBorders>
            <w:vAlign w:val="top"/>
          </w:tcPr>
          <w:p w14:paraId="02DE5FAF">
            <w:pPr>
              <w:pStyle w:val="8"/>
            </w:pPr>
          </w:p>
        </w:tc>
      </w:tr>
      <w:tr w14:paraId="7937B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770" w:type="dxa"/>
            <w:vMerge w:val="restart"/>
            <w:tcBorders>
              <w:bottom w:val="nil"/>
            </w:tcBorders>
            <w:vAlign w:val="center"/>
          </w:tcPr>
          <w:p w14:paraId="65235CD9">
            <w:pPr>
              <w:pStyle w:val="8"/>
              <w:jc w:val="center"/>
              <w:rPr>
                <w:rFonts w:hint="default" w:eastAsia="宋体"/>
                <w:lang w:val="en-US" w:eastAsia="zh-CN"/>
              </w:rPr>
            </w:pPr>
            <w:r>
              <w:rPr>
                <w:rFonts w:hint="eastAsia" w:eastAsia="宋体"/>
                <w:lang w:val="en-US" w:eastAsia="zh-CN"/>
              </w:rPr>
              <w:t>监督检查</w:t>
            </w:r>
          </w:p>
        </w:tc>
        <w:tc>
          <w:tcPr>
            <w:tcW w:w="666" w:type="dxa"/>
            <w:tcBorders>
              <w:bottom w:val="nil"/>
            </w:tcBorders>
            <w:vAlign w:val="center"/>
          </w:tcPr>
          <w:p w14:paraId="4D8DECA1">
            <w:pPr>
              <w:pStyle w:val="8"/>
              <w:jc w:val="center"/>
            </w:pPr>
            <w:r>
              <w:rPr>
                <w:rFonts w:hint="eastAsia" w:ascii="楷体_GB2312" w:hAnsi="宋体" w:eastAsia="楷体_GB2312" w:cs="楷体_GB2312"/>
                <w:i w:val="0"/>
                <w:iCs w:val="0"/>
                <w:caps w:val="0"/>
                <w:color w:val="333333"/>
                <w:spacing w:val="0"/>
                <w:sz w:val="22"/>
                <w:szCs w:val="22"/>
                <w:shd w:val="clear" w:fill="FFFFFF"/>
              </w:rPr>
              <w:t>食品安全监督抽检</w:t>
            </w:r>
          </w:p>
        </w:tc>
        <w:tc>
          <w:tcPr>
            <w:tcW w:w="672" w:type="dxa"/>
            <w:vAlign w:val="top"/>
          </w:tcPr>
          <w:p w14:paraId="1DCEFC1A">
            <w:pPr>
              <w:pStyle w:val="8"/>
            </w:pPr>
          </w:p>
        </w:tc>
        <w:tc>
          <w:tcPr>
            <w:tcW w:w="1472" w:type="dxa"/>
            <w:vAlign w:val="center"/>
          </w:tcPr>
          <w:p w14:paraId="28DBB3B6">
            <w:pPr>
              <w:pStyle w:val="8"/>
              <w:jc w:val="center"/>
            </w:pPr>
            <w:r>
              <w:rPr>
                <w:rFonts w:ascii="楷体_GB2312" w:hAnsi="宋体" w:eastAsia="楷体_GB2312" w:cs="楷体_GB2312"/>
                <w:i w:val="0"/>
                <w:iCs w:val="0"/>
                <w:caps w:val="0"/>
                <w:color w:val="333333"/>
                <w:spacing w:val="0"/>
                <w:sz w:val="22"/>
                <w:szCs w:val="22"/>
                <w:shd w:val="clear" w:fill="FFFFFF"/>
              </w:rPr>
              <w:t>食品监督抽检结果</w:t>
            </w:r>
          </w:p>
        </w:tc>
        <w:tc>
          <w:tcPr>
            <w:tcW w:w="1125" w:type="dxa"/>
            <w:vAlign w:val="center"/>
          </w:tcPr>
          <w:p w14:paraId="1E5152DD">
            <w:pPr>
              <w:pStyle w:val="8"/>
              <w:jc w:val="center"/>
            </w:pPr>
            <w:r>
              <w:rPr>
                <w:rFonts w:hint="eastAsia" w:asciiTheme="minorEastAsia" w:hAnsiTheme="minorEastAsia" w:eastAsiaTheme="minorEastAsia" w:cstheme="minorEastAsia"/>
                <w:b w:val="0"/>
                <w:bCs w:val="0"/>
                <w:i w:val="0"/>
                <w:iCs w:val="0"/>
                <w:caps w:val="0"/>
                <w:color w:val="333333"/>
                <w:spacing w:val="0"/>
                <w:sz w:val="18"/>
                <w:szCs w:val="18"/>
                <w:shd w:val="clear" w:fill="FFFFFF"/>
              </w:rPr>
              <w:t>《食品安全抽样检验管理办法》</w:t>
            </w:r>
          </w:p>
        </w:tc>
        <w:tc>
          <w:tcPr>
            <w:tcW w:w="1424" w:type="dxa"/>
            <w:vAlign w:val="top"/>
          </w:tcPr>
          <w:p w14:paraId="555A6E78">
            <w:pPr>
              <w:pStyle w:val="8"/>
            </w:pPr>
            <w:r>
              <w:rPr>
                <w:rFonts w:hint="eastAsia" w:asciiTheme="minorEastAsia" w:hAnsiTheme="minorEastAsia" w:eastAsiaTheme="minorEastAsia" w:cstheme="minorEastAsia"/>
                <w:i w:val="0"/>
                <w:iCs w:val="0"/>
                <w:caps w:val="0"/>
                <w:color w:val="333333"/>
                <w:spacing w:val="0"/>
                <w:sz w:val="18"/>
                <w:szCs w:val="18"/>
                <w:shd w:val="clear" w:fill="FFFFFF"/>
              </w:rPr>
              <w:t>第四条 市场监督管理部门应当按照科学、公开、公平、公正的原则，以发现和查处食品安全问题为导向，依法对食品生产经营活动全过程组织开展食品安全抽样检验工作。</w:t>
            </w:r>
          </w:p>
        </w:tc>
        <w:tc>
          <w:tcPr>
            <w:tcW w:w="826" w:type="dxa"/>
            <w:vAlign w:val="center"/>
          </w:tcPr>
          <w:p w14:paraId="4EE25E3B">
            <w:pPr>
              <w:pStyle w:val="8"/>
              <w:numPr>
                <w:ilvl w:val="0"/>
                <w:numId w:val="0"/>
              </w:numPr>
              <w:jc w:val="center"/>
              <w:rPr>
                <w:rFonts w:hint="eastAsia" w:eastAsia="宋体"/>
                <w:lang w:val="en-US" w:eastAsia="zh-CN"/>
              </w:rPr>
            </w:pPr>
            <w:r>
              <w:rPr>
                <w:rFonts w:hint="eastAsia" w:ascii="Arial" w:hAnsi="Arial" w:eastAsia="宋体" w:cs="Arial"/>
                <w:snapToGrid w:val="0"/>
                <w:color w:val="000000"/>
                <w:kern w:val="0"/>
                <w:sz w:val="21"/>
                <w:szCs w:val="21"/>
                <w:lang w:val="en-US" w:eastAsia="zh-CN" w:bidi="ar-SA"/>
              </w:rPr>
              <w:t>1.</w:t>
            </w:r>
            <w:r>
              <w:rPr>
                <w:rFonts w:hint="eastAsia" w:eastAsia="宋体"/>
                <w:lang w:val="en-US" w:eastAsia="zh-CN"/>
              </w:rPr>
              <w:t>法律</w:t>
            </w:r>
          </w:p>
          <w:p w14:paraId="08EFE3BE">
            <w:pPr>
              <w:pStyle w:val="8"/>
              <w:numPr>
                <w:ilvl w:val="0"/>
                <w:numId w:val="0"/>
              </w:numPr>
              <w:jc w:val="center"/>
              <w:rPr>
                <w:rFonts w:hint="eastAsia" w:eastAsia="宋体"/>
                <w:lang w:val="en-US" w:eastAsia="zh-CN"/>
              </w:rPr>
            </w:pPr>
            <w:r>
              <w:rPr>
                <w:rFonts w:hint="eastAsia" w:eastAsia="宋体"/>
                <w:lang w:val="en-US" w:eastAsia="zh-CN"/>
              </w:rPr>
              <w:t>2.行政法律</w:t>
            </w:r>
          </w:p>
        </w:tc>
        <w:tc>
          <w:tcPr>
            <w:tcW w:w="960" w:type="dxa"/>
            <w:vAlign w:val="center"/>
          </w:tcPr>
          <w:p w14:paraId="1C987060">
            <w:pPr>
              <w:pStyle w:val="8"/>
              <w:jc w:val="center"/>
            </w:pPr>
            <w:r>
              <w:rPr>
                <w:rFonts w:ascii="楷体_GB2312" w:hAnsi="宋体" w:eastAsia="楷体_GB2312" w:cs="楷体_GB2312"/>
                <w:i w:val="0"/>
                <w:iCs w:val="0"/>
                <w:caps w:val="0"/>
                <w:color w:val="000000"/>
                <w:spacing w:val="0"/>
                <w:sz w:val="22"/>
                <w:szCs w:val="22"/>
                <w:shd w:val="clear" w:fill="FFFFFF"/>
              </w:rPr>
              <w:t>自该信息形成或者变更之日起20个工作日内及时公开</w:t>
            </w:r>
          </w:p>
        </w:tc>
        <w:tc>
          <w:tcPr>
            <w:tcW w:w="696" w:type="dxa"/>
            <w:vAlign w:val="center"/>
          </w:tcPr>
          <w:p w14:paraId="12124707">
            <w:pPr>
              <w:pStyle w:val="8"/>
              <w:jc w:val="center"/>
              <w:rPr>
                <w:rFonts w:hint="default" w:eastAsia="宋体"/>
                <w:lang w:val="en-US" w:eastAsia="zh-CN"/>
              </w:rPr>
            </w:pPr>
            <w:r>
              <w:rPr>
                <w:rFonts w:hint="eastAsia" w:eastAsia="宋体"/>
                <w:lang w:val="en-US" w:eastAsia="zh-CN"/>
              </w:rPr>
              <w:t>旗市场局</w:t>
            </w:r>
          </w:p>
        </w:tc>
        <w:tc>
          <w:tcPr>
            <w:tcW w:w="1120" w:type="dxa"/>
            <w:vAlign w:val="center"/>
          </w:tcPr>
          <w:p w14:paraId="6FC4ADB1">
            <w:pPr>
              <w:pStyle w:val="8"/>
              <w:jc w:val="center"/>
              <w:rPr>
                <w:rFonts w:hint="default" w:eastAsia="宋体"/>
                <w:lang w:val="en-US" w:eastAsia="zh-CN"/>
              </w:rPr>
            </w:pPr>
            <w:r>
              <w:rPr>
                <w:rFonts w:hint="eastAsia" w:eastAsia="宋体"/>
                <w:lang w:val="en-US" w:eastAsia="zh-CN"/>
              </w:rPr>
              <w:t>法定公开事项</w:t>
            </w:r>
          </w:p>
        </w:tc>
        <w:tc>
          <w:tcPr>
            <w:tcW w:w="1247" w:type="dxa"/>
            <w:vAlign w:val="center"/>
          </w:tcPr>
          <w:p w14:paraId="71A91A92">
            <w:pPr>
              <w:pStyle w:val="8"/>
              <w:jc w:val="center"/>
              <w:rPr>
                <w:rFonts w:hint="eastAsia" w:eastAsia="宋体"/>
                <w:lang w:val="en-US" w:eastAsia="zh-CN"/>
              </w:rPr>
            </w:pPr>
            <w:r>
              <w:rPr>
                <w:rFonts w:hint="eastAsia" w:eastAsia="宋体"/>
                <w:lang w:val="en-US" w:eastAsia="zh-CN"/>
              </w:rPr>
              <w:t>政府网站</w:t>
            </w:r>
          </w:p>
          <w:p w14:paraId="654D736B">
            <w:pPr>
              <w:pStyle w:val="8"/>
              <w:jc w:val="center"/>
              <w:rPr>
                <w:rFonts w:hint="default" w:eastAsia="宋体"/>
                <w:lang w:val="en-US" w:eastAsia="zh-CN"/>
              </w:rPr>
            </w:pPr>
            <w:r>
              <w:rPr>
                <w:rFonts w:hint="eastAsia" w:eastAsia="宋体"/>
                <w:lang w:val="en-US" w:eastAsia="zh-CN"/>
              </w:rPr>
              <w:t>政务新媒体</w:t>
            </w:r>
          </w:p>
        </w:tc>
        <w:tc>
          <w:tcPr>
            <w:tcW w:w="544" w:type="dxa"/>
            <w:vAlign w:val="center"/>
          </w:tcPr>
          <w:p w14:paraId="6527EAE5">
            <w:pPr>
              <w:pStyle w:val="8"/>
              <w:jc w:val="center"/>
            </w:pPr>
            <w:r>
              <w:rPr>
                <w:rFonts w:hint="default" w:ascii="Arial" w:hAnsi="Arial" w:cs="Arial"/>
              </w:rPr>
              <w:t>√</w:t>
            </w:r>
          </w:p>
        </w:tc>
        <w:tc>
          <w:tcPr>
            <w:tcW w:w="620" w:type="dxa"/>
            <w:vAlign w:val="top"/>
          </w:tcPr>
          <w:p w14:paraId="78D3516B">
            <w:pPr>
              <w:pStyle w:val="8"/>
            </w:pPr>
          </w:p>
        </w:tc>
        <w:tc>
          <w:tcPr>
            <w:tcW w:w="564" w:type="dxa"/>
            <w:vAlign w:val="center"/>
          </w:tcPr>
          <w:p w14:paraId="6A87768D">
            <w:pPr>
              <w:pStyle w:val="8"/>
              <w:jc w:val="center"/>
              <w:rPr>
                <w:rFonts w:hint="default" w:eastAsia="宋体"/>
                <w:sz w:val="18"/>
                <w:szCs w:val="18"/>
                <w:lang w:val="en-US" w:eastAsia="zh-CN"/>
              </w:rPr>
            </w:pPr>
            <w:r>
              <w:rPr>
                <w:rFonts w:hint="eastAsia" w:eastAsia="宋体"/>
                <w:sz w:val="18"/>
                <w:szCs w:val="18"/>
                <w:lang w:val="en-US" w:eastAsia="zh-CN"/>
              </w:rPr>
              <w:t>食品药品检验检测中心，综合行政执法大队</w:t>
            </w:r>
          </w:p>
        </w:tc>
        <w:tc>
          <w:tcPr>
            <w:tcW w:w="2100" w:type="dxa"/>
            <w:vAlign w:val="center"/>
          </w:tcPr>
          <w:p w14:paraId="7CC4CEC8">
            <w:pPr>
              <w:pStyle w:val="8"/>
              <w:jc w:val="center"/>
              <w:rPr>
                <w:rFonts w:hint="eastAsia" w:eastAsia="宋体"/>
                <w:lang w:val="en-US" w:eastAsia="zh-CN"/>
              </w:rPr>
            </w:pPr>
            <w:r>
              <w:rPr>
                <w:rFonts w:ascii="Arial" w:hAnsi="Arial" w:eastAsia="Arial" w:cs="Arial"/>
                <w:i w:val="0"/>
                <w:iCs w:val="0"/>
                <w:caps w:val="0"/>
                <w:color w:val="333333"/>
                <w:spacing w:val="0"/>
                <w:sz w:val="18"/>
                <w:szCs w:val="18"/>
                <w:shd w:val="clear" w:fill="FFFFFF"/>
              </w:rPr>
              <w:t>定期或不定期的抽样检验，评估食品的安全性和合规性，确保市场上的食品安全，保护消费者的健康权益‌</w:t>
            </w:r>
            <w:r>
              <w:rPr>
                <w:rFonts w:hint="eastAsia" w:ascii="Arial" w:hAnsi="Arial" w:eastAsia="宋体" w:cs="Arial"/>
                <w:i w:val="0"/>
                <w:iCs w:val="0"/>
                <w:caps w:val="0"/>
                <w:color w:val="333333"/>
                <w:spacing w:val="0"/>
                <w:sz w:val="18"/>
                <w:szCs w:val="18"/>
                <w:shd w:val="clear" w:fill="FFFFFF"/>
                <w:lang w:eastAsia="zh-CN"/>
              </w:rPr>
              <w:t>。</w:t>
            </w:r>
          </w:p>
        </w:tc>
      </w:tr>
      <w:tr w14:paraId="6E027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70" w:type="dxa"/>
            <w:vMerge w:val="continue"/>
            <w:tcBorders>
              <w:top w:val="nil"/>
              <w:bottom w:val="nil"/>
            </w:tcBorders>
            <w:vAlign w:val="top"/>
          </w:tcPr>
          <w:p w14:paraId="3963463A">
            <w:pPr>
              <w:pStyle w:val="8"/>
            </w:pPr>
          </w:p>
        </w:tc>
        <w:tc>
          <w:tcPr>
            <w:tcW w:w="666" w:type="dxa"/>
            <w:vAlign w:val="center"/>
          </w:tcPr>
          <w:p w14:paraId="4D355B9F">
            <w:pPr>
              <w:pStyle w:val="8"/>
              <w:jc w:val="center"/>
            </w:pPr>
            <w:r>
              <w:rPr>
                <w:rFonts w:hint="eastAsia" w:ascii="楷体_GB2312" w:hAnsi="宋体" w:eastAsia="楷体_GB2312" w:cs="楷体_GB2312"/>
                <w:i w:val="0"/>
                <w:iCs w:val="0"/>
                <w:caps w:val="0"/>
                <w:color w:val="333333"/>
                <w:spacing w:val="0"/>
                <w:sz w:val="22"/>
                <w:szCs w:val="22"/>
                <w:shd w:val="clear" w:fill="FFFFFF"/>
              </w:rPr>
              <w:t>药品、医疗器械、化妆品抽检</w:t>
            </w:r>
          </w:p>
        </w:tc>
        <w:tc>
          <w:tcPr>
            <w:tcW w:w="672" w:type="dxa"/>
            <w:vAlign w:val="top"/>
          </w:tcPr>
          <w:p w14:paraId="4B1B50EE">
            <w:pPr>
              <w:pStyle w:val="8"/>
            </w:pPr>
          </w:p>
        </w:tc>
        <w:tc>
          <w:tcPr>
            <w:tcW w:w="1472" w:type="dxa"/>
            <w:vAlign w:val="top"/>
          </w:tcPr>
          <w:p w14:paraId="28D7ECA5">
            <w:pPr>
              <w:pStyle w:val="8"/>
              <w:rPr>
                <w:sz w:val="20"/>
                <w:szCs w:val="20"/>
              </w:rPr>
            </w:pPr>
            <w:r>
              <w:rPr>
                <w:rFonts w:ascii="楷体_GB2312" w:hAnsi="宋体" w:eastAsia="楷体_GB2312" w:cs="楷体_GB2312"/>
                <w:i w:val="0"/>
                <w:iCs w:val="0"/>
                <w:caps w:val="0"/>
                <w:color w:val="333333"/>
                <w:spacing w:val="0"/>
                <w:sz w:val="20"/>
                <w:szCs w:val="20"/>
                <w:shd w:val="clear" w:fill="FFFFFF"/>
              </w:rPr>
              <w:t>被抽检单位名称、抽检产品名称、标示的生产单位、标示的产品生产日期/批号/规格、检验依据、检验结果、检验机构</w:t>
            </w:r>
            <w:r>
              <w:rPr>
                <w:rFonts w:hint="eastAsia" w:ascii="楷体_GB2312" w:hAnsi="宋体" w:eastAsia="楷体_GB2312" w:cs="楷体_GB2312"/>
                <w:i w:val="0"/>
                <w:iCs w:val="0"/>
                <w:caps w:val="0"/>
                <w:color w:val="333333"/>
                <w:spacing w:val="0"/>
                <w:sz w:val="20"/>
                <w:szCs w:val="20"/>
                <w:shd w:val="clear" w:fill="FFFFFF"/>
              </w:rPr>
              <w:t>、不符合规定项目等</w:t>
            </w:r>
          </w:p>
        </w:tc>
        <w:tc>
          <w:tcPr>
            <w:tcW w:w="1125" w:type="dxa"/>
            <w:vAlign w:val="center"/>
          </w:tcPr>
          <w:p w14:paraId="26DB15DC">
            <w:pPr>
              <w:pStyle w:val="8"/>
              <w:jc w:val="center"/>
            </w:pPr>
            <w:r>
              <w:rPr>
                <w:rFonts w:hint="eastAsia" w:ascii="楷体_GB2312" w:hAnsi="宋体" w:eastAsia="楷体_GB2312" w:cs="楷体_GB2312"/>
                <w:i w:val="0"/>
                <w:iCs w:val="0"/>
                <w:caps w:val="0"/>
                <w:color w:val="333333"/>
                <w:spacing w:val="0"/>
                <w:sz w:val="18"/>
                <w:szCs w:val="18"/>
                <w:shd w:val="clear" w:fill="FFFFFF"/>
              </w:rPr>
              <w:t>《食品药品安全监管信息公开管理办法》</w:t>
            </w:r>
          </w:p>
        </w:tc>
        <w:tc>
          <w:tcPr>
            <w:tcW w:w="1424" w:type="dxa"/>
            <w:vAlign w:val="top"/>
          </w:tcPr>
          <w:p w14:paraId="28E07DE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Theme="minorEastAsia" w:hAnsiTheme="minorEastAsia" w:eastAsiaTheme="minorEastAsia" w:cstheme="minorEastAsia"/>
                <w:i w:val="0"/>
                <w:iCs w:val="0"/>
                <w:caps w:val="0"/>
                <w:snapToGrid w:val="0"/>
                <w:color w:val="000000"/>
                <w:spacing w:val="0"/>
                <w:kern w:val="0"/>
                <w:sz w:val="18"/>
                <w:szCs w:val="18"/>
                <w:shd w:val="clear" w:fill="FFFFFF"/>
                <w:lang w:val="en-US" w:eastAsia="zh-CN" w:bidi="ar"/>
              </w:rPr>
            </w:pPr>
            <w:r>
              <w:rPr>
                <w:rFonts w:hint="eastAsia" w:asciiTheme="minorEastAsia" w:hAnsiTheme="minorEastAsia" w:eastAsiaTheme="minorEastAsia" w:cstheme="minorEastAsia"/>
                <w:i w:val="0"/>
                <w:iCs w:val="0"/>
                <w:caps w:val="0"/>
                <w:snapToGrid w:val="0"/>
                <w:color w:val="000000"/>
                <w:spacing w:val="0"/>
                <w:kern w:val="0"/>
                <w:sz w:val="18"/>
                <w:szCs w:val="18"/>
                <w:shd w:val="clear" w:fill="FFFFFF"/>
                <w:lang w:val="en-US" w:eastAsia="zh-CN" w:bidi="ar"/>
              </w:rPr>
              <w:t>食品药品安全监管信息公开应当遵循全面、及时、准确、客观、公正的原则。涉及国家秘密、商业秘密和个人隐私的，不得公开。但是，经权利人同意公开的或者食品药品监督管理部门认为不公开可能对公共利益造成重大影响的商业秘密、个人隐私，可以公开。</w:t>
            </w:r>
          </w:p>
          <w:p w14:paraId="0C441BA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Theme="minorEastAsia" w:hAnsiTheme="minorEastAsia" w:eastAsiaTheme="minorEastAsia" w:cstheme="minorEastAsia"/>
                <w:i w:val="0"/>
                <w:iCs w:val="0"/>
                <w:caps w:val="0"/>
                <w:color w:val="333333"/>
                <w:spacing w:val="0"/>
                <w:sz w:val="18"/>
                <w:szCs w:val="18"/>
              </w:rPr>
            </w:pPr>
            <w:r>
              <w:rPr>
                <w:rFonts w:hint="eastAsia" w:asciiTheme="minorEastAsia" w:hAnsiTheme="minorEastAsia" w:eastAsiaTheme="minorEastAsia" w:cstheme="minorEastAsia"/>
                <w:i w:val="0"/>
                <w:iCs w:val="0"/>
                <w:caps w:val="0"/>
                <w:snapToGrid w:val="0"/>
                <w:color w:val="000000"/>
                <w:spacing w:val="0"/>
                <w:kern w:val="0"/>
                <w:sz w:val="18"/>
                <w:szCs w:val="18"/>
                <w:shd w:val="clear" w:fill="FFFFFF"/>
                <w:lang w:val="en-US" w:eastAsia="zh-CN" w:bidi="ar"/>
              </w:rPr>
              <w:t>食品药品监督管理部门依职责建立食品药品安全监管信息公开清单，并及时公布、更新，接受社会监督。</w:t>
            </w:r>
          </w:p>
          <w:p w14:paraId="78D50AA4">
            <w:pPr>
              <w:pStyle w:val="8"/>
            </w:pPr>
          </w:p>
        </w:tc>
        <w:tc>
          <w:tcPr>
            <w:tcW w:w="826" w:type="dxa"/>
            <w:vAlign w:val="center"/>
          </w:tcPr>
          <w:p w14:paraId="04AD2916">
            <w:pPr>
              <w:pStyle w:val="8"/>
              <w:numPr>
                <w:ilvl w:val="0"/>
                <w:numId w:val="0"/>
              </w:numPr>
              <w:jc w:val="center"/>
              <w:rPr>
                <w:rFonts w:hint="eastAsia" w:eastAsia="宋体"/>
                <w:lang w:val="en-US" w:eastAsia="zh-CN"/>
              </w:rPr>
            </w:pPr>
            <w:r>
              <w:rPr>
                <w:rFonts w:hint="eastAsia" w:ascii="Arial" w:hAnsi="Arial" w:eastAsia="宋体" w:cs="Arial"/>
                <w:snapToGrid w:val="0"/>
                <w:color w:val="000000"/>
                <w:kern w:val="0"/>
                <w:sz w:val="21"/>
                <w:szCs w:val="21"/>
                <w:lang w:val="en-US" w:eastAsia="zh-CN" w:bidi="ar-SA"/>
              </w:rPr>
              <w:t>1.</w:t>
            </w:r>
            <w:r>
              <w:rPr>
                <w:rFonts w:hint="eastAsia" w:eastAsia="宋体"/>
                <w:lang w:val="en-US" w:eastAsia="zh-CN"/>
              </w:rPr>
              <w:t>法律</w:t>
            </w:r>
          </w:p>
          <w:p w14:paraId="0654E678">
            <w:pPr>
              <w:pStyle w:val="8"/>
              <w:jc w:val="center"/>
            </w:pPr>
            <w:r>
              <w:rPr>
                <w:rFonts w:hint="eastAsia" w:eastAsia="宋体"/>
                <w:lang w:val="en-US" w:eastAsia="zh-CN"/>
              </w:rPr>
              <w:t>2.行政法律</w:t>
            </w:r>
          </w:p>
        </w:tc>
        <w:tc>
          <w:tcPr>
            <w:tcW w:w="960" w:type="dxa"/>
            <w:vAlign w:val="center"/>
          </w:tcPr>
          <w:p w14:paraId="1C4CC291">
            <w:pPr>
              <w:pStyle w:val="8"/>
              <w:jc w:val="center"/>
            </w:pPr>
            <w:r>
              <w:rPr>
                <w:rFonts w:ascii="楷体_GB2312" w:hAnsi="宋体" w:eastAsia="楷体_GB2312" w:cs="楷体_GB2312"/>
                <w:i w:val="0"/>
                <w:iCs w:val="0"/>
                <w:caps w:val="0"/>
                <w:color w:val="000000"/>
                <w:spacing w:val="0"/>
                <w:sz w:val="22"/>
                <w:szCs w:val="22"/>
                <w:shd w:val="clear" w:fill="FFFFFF"/>
              </w:rPr>
              <w:t>自该信息形成或者变更之日起20个工作日内及时公开</w:t>
            </w:r>
          </w:p>
        </w:tc>
        <w:tc>
          <w:tcPr>
            <w:tcW w:w="696" w:type="dxa"/>
            <w:vAlign w:val="center"/>
          </w:tcPr>
          <w:p w14:paraId="387B6B72">
            <w:pPr>
              <w:pStyle w:val="8"/>
              <w:jc w:val="center"/>
            </w:pPr>
            <w:r>
              <w:rPr>
                <w:rFonts w:hint="eastAsia" w:eastAsia="宋体"/>
                <w:lang w:val="en-US" w:eastAsia="zh-CN"/>
              </w:rPr>
              <w:t>旗市场局</w:t>
            </w:r>
          </w:p>
        </w:tc>
        <w:tc>
          <w:tcPr>
            <w:tcW w:w="1120" w:type="dxa"/>
            <w:vAlign w:val="center"/>
          </w:tcPr>
          <w:p w14:paraId="63DC43C2">
            <w:pPr>
              <w:pStyle w:val="8"/>
              <w:jc w:val="center"/>
            </w:pPr>
            <w:r>
              <w:rPr>
                <w:rFonts w:hint="eastAsia" w:eastAsia="宋体"/>
                <w:lang w:val="en-US" w:eastAsia="zh-CN"/>
              </w:rPr>
              <w:t>法定公开事项</w:t>
            </w:r>
          </w:p>
        </w:tc>
        <w:tc>
          <w:tcPr>
            <w:tcW w:w="1247" w:type="dxa"/>
            <w:vAlign w:val="center"/>
          </w:tcPr>
          <w:p w14:paraId="0BF6FEE9">
            <w:pPr>
              <w:pStyle w:val="8"/>
              <w:jc w:val="center"/>
              <w:rPr>
                <w:rFonts w:hint="eastAsia" w:eastAsia="宋体"/>
                <w:lang w:val="en-US" w:eastAsia="zh-CN"/>
              </w:rPr>
            </w:pPr>
            <w:r>
              <w:rPr>
                <w:rFonts w:hint="eastAsia" w:eastAsia="宋体"/>
                <w:lang w:val="en-US" w:eastAsia="zh-CN"/>
              </w:rPr>
              <w:t>政府网站</w:t>
            </w:r>
          </w:p>
          <w:p w14:paraId="70B53328">
            <w:pPr>
              <w:pStyle w:val="8"/>
              <w:jc w:val="center"/>
            </w:pPr>
            <w:r>
              <w:rPr>
                <w:rFonts w:hint="eastAsia" w:eastAsia="宋体"/>
                <w:lang w:val="en-US" w:eastAsia="zh-CN"/>
              </w:rPr>
              <w:t>政务新媒体</w:t>
            </w:r>
          </w:p>
        </w:tc>
        <w:tc>
          <w:tcPr>
            <w:tcW w:w="544" w:type="dxa"/>
            <w:vAlign w:val="center"/>
          </w:tcPr>
          <w:p w14:paraId="51319F1B">
            <w:pPr>
              <w:pStyle w:val="8"/>
              <w:jc w:val="center"/>
            </w:pPr>
            <w:r>
              <w:rPr>
                <w:rFonts w:hint="default" w:ascii="Arial" w:hAnsi="Arial" w:cs="Arial"/>
              </w:rPr>
              <w:t>√</w:t>
            </w:r>
          </w:p>
        </w:tc>
        <w:tc>
          <w:tcPr>
            <w:tcW w:w="620" w:type="dxa"/>
            <w:vAlign w:val="top"/>
          </w:tcPr>
          <w:p w14:paraId="1146C43D">
            <w:pPr>
              <w:pStyle w:val="8"/>
            </w:pPr>
          </w:p>
        </w:tc>
        <w:tc>
          <w:tcPr>
            <w:tcW w:w="564" w:type="dxa"/>
            <w:vAlign w:val="center"/>
          </w:tcPr>
          <w:p w14:paraId="47E0B58C">
            <w:pPr>
              <w:pStyle w:val="8"/>
              <w:jc w:val="center"/>
              <w:rPr>
                <w:rFonts w:hint="default" w:eastAsia="宋体"/>
                <w:sz w:val="18"/>
                <w:szCs w:val="18"/>
                <w:lang w:val="en-US" w:eastAsia="zh-CN"/>
              </w:rPr>
            </w:pPr>
            <w:r>
              <w:rPr>
                <w:rFonts w:hint="eastAsia" w:eastAsia="宋体"/>
                <w:sz w:val="18"/>
                <w:szCs w:val="18"/>
                <w:lang w:val="en-US" w:eastAsia="zh-CN"/>
              </w:rPr>
              <w:t>食品药品检验检测中心，综合行政执法大队</w:t>
            </w:r>
          </w:p>
        </w:tc>
        <w:tc>
          <w:tcPr>
            <w:tcW w:w="2100" w:type="dxa"/>
            <w:vAlign w:val="center"/>
          </w:tcPr>
          <w:p w14:paraId="421CFD70">
            <w:pPr>
              <w:pStyle w:val="8"/>
              <w:jc w:val="center"/>
            </w:pPr>
            <w:r>
              <w:rPr>
                <w:rFonts w:hint="eastAsia" w:asciiTheme="minorEastAsia" w:hAnsiTheme="minorEastAsia" w:eastAsiaTheme="minorEastAsia" w:cstheme="minorEastAsia"/>
                <w:i w:val="0"/>
                <w:iCs w:val="0"/>
                <w:caps w:val="0"/>
                <w:color w:val="333333"/>
                <w:spacing w:val="0"/>
                <w:sz w:val="18"/>
                <w:szCs w:val="18"/>
                <w:shd w:val="clear" w:fill="FFFFFF"/>
              </w:rPr>
              <w:t>定期抽检，可以及时发现和查处不合格产品，防止不合格药品、医疗器械和化妆品流入市场，避免因使用这些产品而导致的健康问题</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ascii="Arial" w:hAnsi="Arial" w:eastAsia="Arial" w:cs="Arial"/>
                <w:i w:val="0"/>
                <w:iCs w:val="0"/>
                <w:caps w:val="0"/>
                <w:color w:val="333333"/>
                <w:spacing w:val="0"/>
                <w:sz w:val="21"/>
                <w:szCs w:val="21"/>
                <w:shd w:val="clear" w:fill="FFFFFF"/>
              </w:rPr>
              <w:t>‌</w:t>
            </w:r>
          </w:p>
        </w:tc>
      </w:tr>
      <w:tr w14:paraId="7C3A0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770" w:type="dxa"/>
            <w:vMerge w:val="continue"/>
            <w:tcBorders>
              <w:top w:val="nil"/>
            </w:tcBorders>
            <w:vAlign w:val="top"/>
          </w:tcPr>
          <w:p w14:paraId="6769C423">
            <w:pPr>
              <w:pStyle w:val="8"/>
            </w:pPr>
          </w:p>
        </w:tc>
        <w:tc>
          <w:tcPr>
            <w:tcW w:w="666" w:type="dxa"/>
            <w:vAlign w:val="center"/>
          </w:tcPr>
          <w:p w14:paraId="0117ACD1">
            <w:pPr>
              <w:pStyle w:val="8"/>
              <w:jc w:val="center"/>
            </w:pPr>
            <w:r>
              <w:rPr>
                <w:rFonts w:ascii="楷体_GB2312" w:hAnsi="宋体" w:eastAsia="楷体_GB2312" w:cs="楷体_GB2312"/>
                <w:i w:val="0"/>
                <w:iCs w:val="0"/>
                <w:caps w:val="0"/>
                <w:color w:val="333333"/>
                <w:spacing w:val="0"/>
                <w:sz w:val="22"/>
                <w:szCs w:val="22"/>
                <w:shd w:val="clear" w:fill="FFFFFF"/>
              </w:rPr>
              <w:t>产品质量监督抽查</w:t>
            </w:r>
          </w:p>
        </w:tc>
        <w:tc>
          <w:tcPr>
            <w:tcW w:w="672" w:type="dxa"/>
            <w:vAlign w:val="top"/>
          </w:tcPr>
          <w:p w14:paraId="54A78EC2">
            <w:pPr>
              <w:pStyle w:val="8"/>
            </w:pPr>
          </w:p>
        </w:tc>
        <w:tc>
          <w:tcPr>
            <w:tcW w:w="1472" w:type="dxa"/>
            <w:vAlign w:val="center"/>
          </w:tcPr>
          <w:p w14:paraId="2E3BAF70">
            <w:pPr>
              <w:pStyle w:val="8"/>
              <w:jc w:val="center"/>
            </w:pPr>
            <w:r>
              <w:rPr>
                <w:rFonts w:ascii="楷体_GB2312" w:hAnsi="宋体" w:eastAsia="楷体_GB2312" w:cs="楷体_GB2312"/>
                <w:i w:val="0"/>
                <w:iCs w:val="0"/>
                <w:caps w:val="0"/>
                <w:color w:val="333333"/>
                <w:spacing w:val="0"/>
                <w:sz w:val="22"/>
                <w:szCs w:val="22"/>
                <w:shd w:val="clear" w:fill="FFFFFF"/>
              </w:rPr>
              <w:t>产品质量监督抽查实施细则</w:t>
            </w:r>
          </w:p>
        </w:tc>
        <w:tc>
          <w:tcPr>
            <w:tcW w:w="1125" w:type="dxa"/>
            <w:vAlign w:val="center"/>
          </w:tcPr>
          <w:p w14:paraId="4D3BCF06">
            <w:pPr>
              <w:pStyle w:val="8"/>
              <w:jc w:val="center"/>
              <w:rPr>
                <w:rFonts w:hint="eastAsia" w:ascii="楷体_GB2312" w:hAnsi="宋体" w:eastAsia="楷体_GB2312" w:cs="楷体_GB2312"/>
                <w:i w:val="0"/>
                <w:iCs w:val="0"/>
                <w:caps w:val="0"/>
                <w:color w:val="333333"/>
                <w:spacing w:val="0"/>
                <w:sz w:val="18"/>
                <w:szCs w:val="18"/>
                <w:shd w:val="clear" w:fill="FFFFFF"/>
              </w:rPr>
            </w:pPr>
            <w:r>
              <w:rPr>
                <w:rFonts w:ascii="楷体_GB2312" w:hAnsi="宋体" w:eastAsia="楷体_GB2312" w:cs="楷体_GB2312"/>
                <w:i w:val="0"/>
                <w:iCs w:val="0"/>
                <w:caps w:val="0"/>
                <w:color w:val="333333"/>
                <w:spacing w:val="0"/>
                <w:sz w:val="18"/>
                <w:szCs w:val="18"/>
                <w:shd w:val="clear" w:fill="FFFFFF"/>
              </w:rPr>
              <w:t>《产品质量监督抽查管理暂行办法》（国家市场监督管理总局第</w:t>
            </w:r>
            <w:r>
              <w:rPr>
                <w:rFonts w:hint="eastAsia" w:ascii="楷体_GB2312" w:hAnsi="宋体" w:eastAsia="楷体_GB2312" w:cs="楷体_GB2312"/>
                <w:i w:val="0"/>
                <w:iCs w:val="0"/>
                <w:caps w:val="0"/>
                <w:color w:val="333333"/>
                <w:spacing w:val="0"/>
                <w:sz w:val="18"/>
                <w:szCs w:val="18"/>
                <w:shd w:val="clear" w:fill="FFFFFF"/>
              </w:rPr>
              <w:t>18号令）第十二条</w:t>
            </w:r>
          </w:p>
          <w:p w14:paraId="59938AB9">
            <w:pPr>
              <w:pStyle w:val="8"/>
              <w:jc w:val="center"/>
              <w:rPr>
                <w:rFonts w:hint="eastAsia" w:ascii="楷体_GB2312" w:hAnsi="宋体" w:eastAsia="楷体_GB2312" w:cs="楷体_GB2312"/>
                <w:i w:val="0"/>
                <w:iCs w:val="0"/>
                <w:caps w:val="0"/>
                <w:color w:val="333333"/>
                <w:spacing w:val="0"/>
                <w:sz w:val="18"/>
                <w:szCs w:val="18"/>
                <w:shd w:val="clear" w:fill="FFFFFF"/>
              </w:rPr>
            </w:pPr>
          </w:p>
        </w:tc>
        <w:tc>
          <w:tcPr>
            <w:tcW w:w="1424" w:type="dxa"/>
            <w:vAlign w:val="top"/>
          </w:tcPr>
          <w:p w14:paraId="2AB8C64F">
            <w:pPr>
              <w:pStyle w:val="8"/>
            </w:pPr>
            <w:r>
              <w:rPr>
                <w:rFonts w:hint="eastAsia" w:asciiTheme="minorEastAsia" w:hAnsiTheme="minorEastAsia" w:eastAsiaTheme="minorEastAsia" w:cstheme="minorEastAsia"/>
                <w:i w:val="0"/>
                <w:iCs w:val="0"/>
                <w:caps w:val="0"/>
                <w:color w:val="333333"/>
                <w:spacing w:val="0"/>
                <w:sz w:val="18"/>
                <w:szCs w:val="18"/>
                <w:shd w:val="clear" w:fill="F5F5F5"/>
              </w:rPr>
              <w:t>第十二条 组织监督抽查的市场监督管理部门应当根据本级监督抽查年度计划，制定监督抽查方案和监督抽查实施细则。监督抽查方案应当包括抽查产品范围、工作分工、进度要求等内容。监督抽查实施细则应当包括抽样方法、检验项目、检验方法、判定规则等内容。</w:t>
            </w:r>
          </w:p>
        </w:tc>
        <w:tc>
          <w:tcPr>
            <w:tcW w:w="826" w:type="dxa"/>
            <w:vAlign w:val="center"/>
          </w:tcPr>
          <w:p w14:paraId="0D5B89AF">
            <w:pPr>
              <w:pStyle w:val="8"/>
              <w:numPr>
                <w:ilvl w:val="0"/>
                <w:numId w:val="0"/>
              </w:numPr>
              <w:jc w:val="center"/>
              <w:rPr>
                <w:rFonts w:hint="eastAsia" w:eastAsia="宋体"/>
                <w:lang w:val="en-US" w:eastAsia="zh-CN"/>
              </w:rPr>
            </w:pPr>
            <w:r>
              <w:rPr>
                <w:rFonts w:hint="eastAsia" w:ascii="Arial" w:hAnsi="Arial" w:eastAsia="宋体" w:cs="Arial"/>
                <w:snapToGrid w:val="0"/>
                <w:color w:val="000000"/>
                <w:kern w:val="0"/>
                <w:sz w:val="21"/>
                <w:szCs w:val="21"/>
                <w:lang w:val="en-US" w:eastAsia="zh-CN" w:bidi="ar-SA"/>
              </w:rPr>
              <w:t>1.</w:t>
            </w:r>
            <w:r>
              <w:rPr>
                <w:rFonts w:hint="eastAsia" w:eastAsia="宋体"/>
                <w:lang w:val="en-US" w:eastAsia="zh-CN"/>
              </w:rPr>
              <w:t>法律</w:t>
            </w:r>
          </w:p>
          <w:p w14:paraId="53581B1C">
            <w:pPr>
              <w:pStyle w:val="8"/>
              <w:jc w:val="center"/>
            </w:pPr>
            <w:r>
              <w:rPr>
                <w:rFonts w:hint="eastAsia" w:eastAsia="宋体"/>
                <w:lang w:val="en-US" w:eastAsia="zh-CN"/>
              </w:rPr>
              <w:t>2.行政法律</w:t>
            </w:r>
          </w:p>
        </w:tc>
        <w:tc>
          <w:tcPr>
            <w:tcW w:w="960" w:type="dxa"/>
            <w:vAlign w:val="center"/>
          </w:tcPr>
          <w:p w14:paraId="68CDADCC">
            <w:pPr>
              <w:pStyle w:val="8"/>
              <w:jc w:val="center"/>
            </w:pPr>
            <w:r>
              <w:rPr>
                <w:rFonts w:ascii="楷体_GB2312" w:hAnsi="宋体" w:eastAsia="楷体_GB2312" w:cs="楷体_GB2312"/>
                <w:i w:val="0"/>
                <w:iCs w:val="0"/>
                <w:caps w:val="0"/>
                <w:color w:val="000000"/>
                <w:spacing w:val="0"/>
                <w:sz w:val="22"/>
                <w:szCs w:val="22"/>
                <w:shd w:val="clear" w:fill="FFFFFF"/>
              </w:rPr>
              <w:t>自该信息形成或者变更之日起20个工作日内及时公开</w:t>
            </w:r>
          </w:p>
        </w:tc>
        <w:tc>
          <w:tcPr>
            <w:tcW w:w="696" w:type="dxa"/>
            <w:vAlign w:val="center"/>
          </w:tcPr>
          <w:p w14:paraId="032E7E24">
            <w:pPr>
              <w:pStyle w:val="8"/>
              <w:jc w:val="center"/>
            </w:pPr>
            <w:r>
              <w:rPr>
                <w:rFonts w:hint="eastAsia" w:eastAsia="宋体"/>
                <w:lang w:val="en-US" w:eastAsia="zh-CN"/>
              </w:rPr>
              <w:t>旗市场局</w:t>
            </w:r>
          </w:p>
        </w:tc>
        <w:tc>
          <w:tcPr>
            <w:tcW w:w="1120" w:type="dxa"/>
            <w:vAlign w:val="center"/>
          </w:tcPr>
          <w:p w14:paraId="4389A73F">
            <w:pPr>
              <w:pStyle w:val="8"/>
              <w:jc w:val="center"/>
            </w:pPr>
            <w:r>
              <w:rPr>
                <w:rFonts w:hint="eastAsia" w:eastAsia="宋体"/>
                <w:lang w:val="en-US" w:eastAsia="zh-CN"/>
              </w:rPr>
              <w:t>法定公开事项</w:t>
            </w:r>
          </w:p>
        </w:tc>
        <w:tc>
          <w:tcPr>
            <w:tcW w:w="1247" w:type="dxa"/>
            <w:vAlign w:val="center"/>
          </w:tcPr>
          <w:p w14:paraId="4F798976">
            <w:pPr>
              <w:pStyle w:val="8"/>
              <w:jc w:val="center"/>
              <w:rPr>
                <w:rFonts w:hint="eastAsia" w:eastAsia="宋体"/>
                <w:lang w:val="en-US" w:eastAsia="zh-CN"/>
              </w:rPr>
            </w:pPr>
            <w:r>
              <w:rPr>
                <w:rFonts w:hint="eastAsia" w:eastAsia="宋体"/>
                <w:lang w:val="en-US" w:eastAsia="zh-CN"/>
              </w:rPr>
              <w:t>政府网站</w:t>
            </w:r>
          </w:p>
          <w:p w14:paraId="2564ACEE">
            <w:pPr>
              <w:pStyle w:val="8"/>
              <w:jc w:val="center"/>
            </w:pPr>
            <w:r>
              <w:rPr>
                <w:rFonts w:hint="eastAsia" w:eastAsia="宋体"/>
                <w:lang w:val="en-US" w:eastAsia="zh-CN"/>
              </w:rPr>
              <w:t>政务新媒体</w:t>
            </w:r>
          </w:p>
        </w:tc>
        <w:tc>
          <w:tcPr>
            <w:tcW w:w="544" w:type="dxa"/>
            <w:vAlign w:val="center"/>
          </w:tcPr>
          <w:p w14:paraId="0433970F">
            <w:pPr>
              <w:pStyle w:val="8"/>
              <w:jc w:val="center"/>
            </w:pPr>
            <w:r>
              <w:rPr>
                <w:rFonts w:hint="default" w:ascii="Arial" w:hAnsi="Arial" w:cs="Arial"/>
              </w:rPr>
              <w:t>√</w:t>
            </w:r>
          </w:p>
        </w:tc>
        <w:tc>
          <w:tcPr>
            <w:tcW w:w="620" w:type="dxa"/>
            <w:vAlign w:val="top"/>
          </w:tcPr>
          <w:p w14:paraId="4449A495">
            <w:pPr>
              <w:pStyle w:val="8"/>
            </w:pPr>
          </w:p>
        </w:tc>
        <w:tc>
          <w:tcPr>
            <w:tcW w:w="564" w:type="dxa"/>
            <w:vAlign w:val="center"/>
          </w:tcPr>
          <w:p w14:paraId="13DFC6CD">
            <w:pPr>
              <w:pStyle w:val="8"/>
              <w:jc w:val="center"/>
            </w:pPr>
            <w:r>
              <w:rPr>
                <w:rFonts w:hint="eastAsia" w:eastAsia="宋体"/>
                <w:sz w:val="18"/>
                <w:szCs w:val="18"/>
                <w:lang w:val="en-US" w:eastAsia="zh-CN"/>
              </w:rPr>
              <w:t>产品质量计量与特种设备检验检测所</w:t>
            </w:r>
          </w:p>
        </w:tc>
        <w:tc>
          <w:tcPr>
            <w:tcW w:w="2100" w:type="dxa"/>
            <w:vAlign w:val="center"/>
          </w:tcPr>
          <w:p w14:paraId="402CCF16">
            <w:pPr>
              <w:keepNext w:val="0"/>
              <w:keepLines w:val="0"/>
              <w:widowControl/>
              <w:numPr>
                <w:ilvl w:val="0"/>
                <w:numId w:val="0"/>
              </w:numPr>
              <w:suppressLineNumbers w:val="0"/>
              <w:pBdr>
                <w:top w:val="none" w:color="auto" w:sz="0" w:space="0"/>
                <w:bottom w:val="none" w:color="auto" w:sz="0" w:space="0"/>
                <w:right w:val="none" w:color="auto" w:sz="0" w:space="0"/>
              </w:pBdr>
              <w:spacing w:before="0" w:beforeAutospacing="1" w:after="0" w:afterAutospacing="1" w:line="390" w:lineRule="atLeast"/>
              <w:ind w:right="0" w:rightChars="0"/>
              <w:jc w:val="center"/>
            </w:pP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监督部门</w:t>
            </w:r>
            <w:r>
              <w:rPr>
                <w:rFonts w:hint="eastAsia" w:asciiTheme="minorEastAsia" w:hAnsiTheme="minorEastAsia" w:eastAsiaTheme="minorEastAsia" w:cstheme="minorEastAsia"/>
                <w:i w:val="0"/>
                <w:iCs w:val="0"/>
                <w:caps w:val="0"/>
                <w:color w:val="333333"/>
                <w:spacing w:val="0"/>
                <w:sz w:val="18"/>
                <w:szCs w:val="18"/>
                <w:shd w:val="clear" w:fill="FFFFFF"/>
              </w:rPr>
              <w:t>按照计划在市场上随机抽取样品</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hint="eastAsia" w:asciiTheme="minorEastAsia" w:hAnsiTheme="minorEastAsia" w:eastAsiaTheme="minorEastAsia" w:cstheme="minorEastAsia"/>
                <w:i w:val="0"/>
                <w:iCs w:val="0"/>
                <w:caps w:val="0"/>
                <w:color w:val="333333"/>
                <w:spacing w:val="0"/>
                <w:sz w:val="18"/>
                <w:szCs w:val="18"/>
                <w:shd w:val="clear" w:fill="FFFFFF"/>
              </w:rPr>
              <w:t>对抽取的样品进行严格的质量检测。定期发布产品质量监督抽查公报，公开抽查结果和处理措施</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hint="eastAsia" w:asciiTheme="minorEastAsia" w:hAnsiTheme="minorEastAsia" w:eastAsiaTheme="minorEastAsia" w:cstheme="minorEastAsia"/>
                <w:i w:val="0"/>
                <w:iCs w:val="0"/>
                <w:caps w:val="0"/>
                <w:color w:val="333333"/>
                <w:spacing w:val="0"/>
                <w:sz w:val="18"/>
                <w:szCs w:val="18"/>
                <w:shd w:val="clear" w:fill="FFFFFF"/>
              </w:rPr>
              <w:t>对不合格产品采取相应的处理措施，如责令整改、召回等。</w:t>
            </w:r>
          </w:p>
          <w:p w14:paraId="3920573A">
            <w:pPr>
              <w:pStyle w:val="8"/>
              <w:jc w:val="center"/>
            </w:pPr>
          </w:p>
        </w:tc>
      </w:tr>
      <w:tr w14:paraId="52111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vAlign w:val="center"/>
          </w:tcPr>
          <w:p w14:paraId="3E10EA07">
            <w:pPr>
              <w:pStyle w:val="8"/>
              <w:jc w:val="center"/>
            </w:pPr>
            <w:r>
              <w:rPr>
                <w:rFonts w:ascii="楷体_GB2312" w:hAnsi="宋体" w:eastAsia="楷体_GB2312" w:cs="楷体_GB2312"/>
                <w:i w:val="0"/>
                <w:iCs w:val="0"/>
                <w:caps w:val="0"/>
                <w:color w:val="000000"/>
                <w:spacing w:val="0"/>
                <w:sz w:val="22"/>
                <w:szCs w:val="22"/>
                <w:shd w:val="clear" w:fill="FFFFFF"/>
              </w:rPr>
              <w:t>“双随机”监督检查</w:t>
            </w:r>
          </w:p>
        </w:tc>
        <w:tc>
          <w:tcPr>
            <w:tcW w:w="666" w:type="dxa"/>
            <w:vAlign w:val="center"/>
          </w:tcPr>
          <w:p w14:paraId="712CFDB5">
            <w:pPr>
              <w:pStyle w:val="8"/>
              <w:jc w:val="center"/>
              <w:rPr>
                <w:rFonts w:hint="default" w:eastAsia="宋体"/>
                <w:lang w:val="en-US" w:eastAsia="zh-CN"/>
              </w:rPr>
            </w:pPr>
            <w:r>
              <w:rPr>
                <w:rFonts w:hint="eastAsia" w:eastAsia="宋体"/>
                <w:sz w:val="18"/>
                <w:szCs w:val="18"/>
                <w:lang w:eastAsia="zh-CN"/>
              </w:rPr>
              <w:t>“</w:t>
            </w:r>
            <w:r>
              <w:rPr>
                <w:rFonts w:hint="eastAsia" w:eastAsia="宋体"/>
                <w:sz w:val="18"/>
                <w:szCs w:val="18"/>
                <w:lang w:val="en-US" w:eastAsia="zh-CN"/>
              </w:rPr>
              <w:t>双随机、一公开</w:t>
            </w:r>
            <w:r>
              <w:rPr>
                <w:rFonts w:hint="eastAsia" w:eastAsia="宋体"/>
                <w:sz w:val="18"/>
                <w:szCs w:val="18"/>
                <w:lang w:eastAsia="zh-CN"/>
              </w:rPr>
              <w:t>”</w:t>
            </w:r>
            <w:r>
              <w:rPr>
                <w:rFonts w:hint="eastAsia" w:eastAsia="宋体"/>
                <w:sz w:val="18"/>
                <w:szCs w:val="18"/>
                <w:lang w:val="en-US" w:eastAsia="zh-CN"/>
              </w:rPr>
              <w:t>抽查计划</w:t>
            </w:r>
          </w:p>
        </w:tc>
        <w:tc>
          <w:tcPr>
            <w:tcW w:w="672" w:type="dxa"/>
            <w:vAlign w:val="top"/>
          </w:tcPr>
          <w:p w14:paraId="542A76A0">
            <w:pPr>
              <w:pStyle w:val="8"/>
            </w:pPr>
          </w:p>
        </w:tc>
        <w:tc>
          <w:tcPr>
            <w:tcW w:w="1472" w:type="dxa"/>
            <w:vAlign w:val="center"/>
          </w:tcPr>
          <w:p w14:paraId="52579987">
            <w:pPr>
              <w:pStyle w:val="8"/>
              <w:jc w:val="center"/>
              <w:rPr>
                <w:rFonts w:hint="eastAsia" w:eastAsia="楷体_GB2312"/>
                <w:lang w:eastAsia="zh-CN"/>
              </w:rPr>
            </w:pPr>
            <w:r>
              <w:rPr>
                <w:rFonts w:ascii="楷体_GB2312" w:hAnsi="宋体" w:eastAsia="楷体_GB2312" w:cs="楷体_GB2312"/>
                <w:i w:val="0"/>
                <w:iCs w:val="0"/>
                <w:caps w:val="0"/>
                <w:color w:val="000000"/>
                <w:spacing w:val="0"/>
                <w:sz w:val="22"/>
                <w:szCs w:val="22"/>
                <w:shd w:val="clear" w:fill="FFFFFF"/>
              </w:rPr>
              <w:t>检查</w:t>
            </w:r>
            <w:r>
              <w:rPr>
                <w:rFonts w:hint="eastAsia" w:ascii="楷体_GB2312" w:hAnsi="宋体" w:eastAsia="楷体_GB2312" w:cs="楷体_GB2312"/>
                <w:i w:val="0"/>
                <w:iCs w:val="0"/>
                <w:caps w:val="0"/>
                <w:color w:val="000000"/>
                <w:spacing w:val="0"/>
                <w:sz w:val="22"/>
                <w:szCs w:val="22"/>
                <w:shd w:val="clear" w:fill="FFFFFF"/>
                <w:lang w:val="en-US" w:eastAsia="zh-CN"/>
              </w:rPr>
              <w:t>计划</w:t>
            </w:r>
          </w:p>
        </w:tc>
        <w:tc>
          <w:tcPr>
            <w:tcW w:w="1125" w:type="dxa"/>
            <w:vAlign w:val="center"/>
          </w:tcPr>
          <w:p w14:paraId="191BC886">
            <w:pPr>
              <w:pStyle w:val="8"/>
              <w:jc w:val="center"/>
              <w:rPr>
                <w:rFonts w:hint="eastAsia" w:eastAsia="楷体_GB2312"/>
                <w:lang w:eastAsia="zh-CN"/>
              </w:rPr>
            </w:pPr>
            <w:r>
              <w:rPr>
                <w:rFonts w:ascii="楷体_GB2312" w:hAnsi="宋体" w:eastAsia="楷体_GB2312" w:cs="楷体_GB2312"/>
                <w:i w:val="0"/>
                <w:iCs w:val="0"/>
                <w:caps w:val="0"/>
                <w:color w:val="000000"/>
                <w:spacing w:val="0"/>
                <w:sz w:val="18"/>
                <w:szCs w:val="18"/>
                <w:shd w:val="clear" w:fill="FFFFFF"/>
              </w:rPr>
              <w:t>《</w:t>
            </w:r>
            <w:r>
              <w:rPr>
                <w:rFonts w:hint="eastAsia" w:ascii="楷体_GB2312" w:hAnsi="宋体" w:eastAsia="楷体_GB2312" w:cs="楷体_GB2312"/>
                <w:i w:val="0"/>
                <w:iCs w:val="0"/>
                <w:caps w:val="0"/>
                <w:color w:val="000000"/>
                <w:spacing w:val="0"/>
                <w:sz w:val="18"/>
                <w:szCs w:val="18"/>
                <w:shd w:val="clear" w:fill="FFFFFF"/>
                <w:lang w:val="en-US" w:eastAsia="zh-CN"/>
              </w:rPr>
              <w:t>国务院关于在市场监管领域全面推行部门联合“双随机、一公开”监管意见</w:t>
            </w:r>
            <w:r>
              <w:rPr>
                <w:rFonts w:ascii="楷体_GB2312" w:hAnsi="宋体" w:eastAsia="楷体_GB2312" w:cs="楷体_GB2312"/>
                <w:i w:val="0"/>
                <w:iCs w:val="0"/>
                <w:caps w:val="0"/>
                <w:color w:val="000000"/>
                <w:spacing w:val="0"/>
                <w:sz w:val="18"/>
                <w:szCs w:val="18"/>
                <w:shd w:val="clear" w:fill="FFFFFF"/>
              </w:rPr>
              <w:t>》</w:t>
            </w:r>
            <w:r>
              <w:rPr>
                <w:rFonts w:hint="eastAsia" w:ascii="楷体_GB2312" w:hAnsi="宋体" w:eastAsia="楷体_GB2312" w:cs="楷体_GB2312"/>
                <w:i w:val="0"/>
                <w:iCs w:val="0"/>
                <w:caps w:val="0"/>
                <w:color w:val="000000"/>
                <w:spacing w:val="0"/>
                <w:sz w:val="18"/>
                <w:szCs w:val="18"/>
                <w:shd w:val="clear" w:fill="FFFFFF"/>
                <w:lang w:eastAsia="zh-CN"/>
              </w:rPr>
              <w:t>（</w:t>
            </w:r>
            <w:r>
              <w:rPr>
                <w:rFonts w:hint="eastAsia" w:ascii="楷体_GB2312" w:hAnsi="宋体" w:eastAsia="楷体_GB2312" w:cs="楷体_GB2312"/>
                <w:i w:val="0"/>
                <w:iCs w:val="0"/>
                <w:caps w:val="0"/>
                <w:color w:val="000000"/>
                <w:spacing w:val="0"/>
                <w:sz w:val="18"/>
                <w:szCs w:val="18"/>
                <w:shd w:val="clear" w:fill="FFFFFF"/>
                <w:lang w:val="en-US" w:eastAsia="zh-CN"/>
              </w:rPr>
              <w:t>国发[2019]5号}</w:t>
            </w:r>
            <w:r>
              <w:rPr>
                <w:rFonts w:hint="eastAsia" w:ascii="楷体_GB2312" w:hAnsi="宋体" w:eastAsia="楷体_GB2312" w:cs="楷体_GB2312"/>
                <w:i w:val="0"/>
                <w:iCs w:val="0"/>
                <w:caps w:val="0"/>
                <w:color w:val="000000"/>
                <w:spacing w:val="0"/>
                <w:sz w:val="18"/>
                <w:szCs w:val="18"/>
                <w:shd w:val="clear" w:fill="FFFFFF"/>
                <w:lang w:eastAsia="zh-CN"/>
              </w:rPr>
              <w:t>）</w:t>
            </w:r>
          </w:p>
        </w:tc>
        <w:tc>
          <w:tcPr>
            <w:tcW w:w="1424" w:type="dxa"/>
            <w:vAlign w:val="top"/>
          </w:tcPr>
          <w:p w14:paraId="200DE318">
            <w:pPr>
              <w:pStyle w:val="8"/>
            </w:pPr>
            <w:r>
              <w:rPr>
                <w:rFonts w:hint="eastAsia" w:ascii="宋体" w:hAnsi="宋体" w:eastAsia="宋体" w:cs="宋体"/>
                <w:i w:val="0"/>
                <w:iCs w:val="0"/>
                <w:caps w:val="0"/>
                <w:color w:val="333333"/>
                <w:spacing w:val="0"/>
                <w:sz w:val="18"/>
                <w:szCs w:val="18"/>
                <w:shd w:val="clear" w:fill="FFFFFF"/>
              </w:rPr>
              <w:t>严格依法依规落实市场监管责任，形成科学规范、公平公正、公开透明的“双随机、一公开”监管工作机制。除法律法规明确规定外，抽查事项、抽查计划、抽查结果都要及时、准确、规范向社会公开，实现阳光监管，杜绝任性执法。</w:t>
            </w:r>
          </w:p>
        </w:tc>
        <w:tc>
          <w:tcPr>
            <w:tcW w:w="826" w:type="dxa"/>
            <w:vAlign w:val="center"/>
          </w:tcPr>
          <w:p w14:paraId="502122DB">
            <w:pPr>
              <w:pStyle w:val="8"/>
              <w:numPr>
                <w:ilvl w:val="0"/>
                <w:numId w:val="0"/>
              </w:numPr>
              <w:jc w:val="center"/>
              <w:rPr>
                <w:rFonts w:hint="eastAsia" w:eastAsia="宋体"/>
                <w:lang w:val="en-US" w:eastAsia="zh-CN"/>
              </w:rPr>
            </w:pPr>
            <w:r>
              <w:rPr>
                <w:rFonts w:hint="eastAsia" w:ascii="Arial" w:hAnsi="Arial" w:eastAsia="宋体" w:cs="Arial"/>
                <w:snapToGrid w:val="0"/>
                <w:color w:val="000000"/>
                <w:kern w:val="0"/>
                <w:sz w:val="21"/>
                <w:szCs w:val="21"/>
                <w:lang w:val="en-US" w:eastAsia="zh-CN" w:bidi="ar-SA"/>
              </w:rPr>
              <w:t>1.</w:t>
            </w:r>
            <w:r>
              <w:rPr>
                <w:rFonts w:hint="eastAsia" w:eastAsia="宋体"/>
                <w:lang w:val="en-US" w:eastAsia="zh-CN"/>
              </w:rPr>
              <w:t>法律</w:t>
            </w:r>
          </w:p>
          <w:p w14:paraId="3F587329">
            <w:pPr>
              <w:pStyle w:val="8"/>
              <w:jc w:val="center"/>
            </w:pPr>
            <w:r>
              <w:rPr>
                <w:rFonts w:hint="eastAsia" w:eastAsia="宋体"/>
                <w:lang w:val="en-US" w:eastAsia="zh-CN"/>
              </w:rPr>
              <w:t>2.行政法律</w:t>
            </w:r>
          </w:p>
        </w:tc>
        <w:tc>
          <w:tcPr>
            <w:tcW w:w="960" w:type="dxa"/>
            <w:vAlign w:val="center"/>
          </w:tcPr>
          <w:p w14:paraId="3AF9F42D">
            <w:pPr>
              <w:pStyle w:val="8"/>
              <w:jc w:val="center"/>
            </w:pPr>
            <w:r>
              <w:rPr>
                <w:rFonts w:ascii="楷体_GB2312" w:hAnsi="宋体" w:eastAsia="楷体_GB2312" w:cs="楷体_GB2312"/>
                <w:i w:val="0"/>
                <w:iCs w:val="0"/>
                <w:caps w:val="0"/>
                <w:color w:val="000000"/>
                <w:spacing w:val="0"/>
                <w:sz w:val="22"/>
                <w:szCs w:val="22"/>
                <w:shd w:val="clear" w:fill="FFFFFF"/>
              </w:rPr>
              <w:t>自该信息形成或者变更之日起20个工作日内及时公开</w:t>
            </w:r>
          </w:p>
        </w:tc>
        <w:tc>
          <w:tcPr>
            <w:tcW w:w="696" w:type="dxa"/>
            <w:vAlign w:val="center"/>
          </w:tcPr>
          <w:p w14:paraId="7F154EB6">
            <w:pPr>
              <w:pStyle w:val="8"/>
              <w:jc w:val="center"/>
            </w:pPr>
            <w:r>
              <w:rPr>
                <w:rFonts w:hint="eastAsia" w:eastAsia="宋体"/>
                <w:lang w:val="en-US" w:eastAsia="zh-CN"/>
              </w:rPr>
              <w:t>旗市场局</w:t>
            </w:r>
          </w:p>
        </w:tc>
        <w:tc>
          <w:tcPr>
            <w:tcW w:w="1120" w:type="dxa"/>
            <w:vAlign w:val="center"/>
          </w:tcPr>
          <w:p w14:paraId="486A9382">
            <w:pPr>
              <w:pStyle w:val="8"/>
              <w:jc w:val="center"/>
            </w:pPr>
            <w:r>
              <w:rPr>
                <w:rFonts w:hint="eastAsia" w:eastAsia="宋体"/>
                <w:lang w:val="en-US" w:eastAsia="zh-CN"/>
              </w:rPr>
              <w:t>法定公开事项</w:t>
            </w:r>
          </w:p>
        </w:tc>
        <w:tc>
          <w:tcPr>
            <w:tcW w:w="1247" w:type="dxa"/>
            <w:vAlign w:val="center"/>
          </w:tcPr>
          <w:p w14:paraId="73B05815">
            <w:pPr>
              <w:pStyle w:val="8"/>
              <w:jc w:val="center"/>
              <w:rPr>
                <w:rFonts w:hint="eastAsia" w:eastAsia="宋体"/>
                <w:lang w:val="en-US" w:eastAsia="zh-CN"/>
              </w:rPr>
            </w:pPr>
            <w:r>
              <w:rPr>
                <w:rFonts w:hint="eastAsia" w:eastAsia="宋体"/>
                <w:lang w:val="en-US" w:eastAsia="zh-CN"/>
              </w:rPr>
              <w:t>政府网站</w:t>
            </w:r>
          </w:p>
          <w:p w14:paraId="061D4FB7">
            <w:pPr>
              <w:pStyle w:val="8"/>
              <w:jc w:val="center"/>
            </w:pPr>
            <w:r>
              <w:rPr>
                <w:rFonts w:hint="eastAsia" w:eastAsia="宋体"/>
                <w:lang w:val="en-US" w:eastAsia="zh-CN"/>
              </w:rPr>
              <w:t>政务新媒体</w:t>
            </w:r>
          </w:p>
        </w:tc>
        <w:tc>
          <w:tcPr>
            <w:tcW w:w="544" w:type="dxa"/>
            <w:vAlign w:val="center"/>
          </w:tcPr>
          <w:p w14:paraId="7A97D897">
            <w:pPr>
              <w:pStyle w:val="8"/>
              <w:jc w:val="center"/>
            </w:pPr>
            <w:r>
              <w:rPr>
                <w:rFonts w:hint="default" w:ascii="Arial" w:hAnsi="Arial" w:cs="Arial"/>
              </w:rPr>
              <w:t>√</w:t>
            </w:r>
          </w:p>
        </w:tc>
        <w:tc>
          <w:tcPr>
            <w:tcW w:w="620" w:type="dxa"/>
            <w:vAlign w:val="top"/>
          </w:tcPr>
          <w:p w14:paraId="29C303C2">
            <w:pPr>
              <w:pStyle w:val="8"/>
            </w:pPr>
          </w:p>
        </w:tc>
        <w:tc>
          <w:tcPr>
            <w:tcW w:w="564" w:type="dxa"/>
            <w:vAlign w:val="center"/>
          </w:tcPr>
          <w:p w14:paraId="67C520EC">
            <w:pPr>
              <w:pStyle w:val="8"/>
              <w:jc w:val="center"/>
              <w:rPr>
                <w:rFonts w:hint="default" w:eastAsia="宋体"/>
                <w:lang w:val="en-US" w:eastAsia="zh-CN"/>
              </w:rPr>
            </w:pPr>
            <w:r>
              <w:rPr>
                <w:rFonts w:hint="eastAsia" w:eastAsia="宋体"/>
                <w:lang w:val="en-US" w:eastAsia="zh-CN"/>
              </w:rPr>
              <w:t>信用监管股</w:t>
            </w:r>
          </w:p>
        </w:tc>
        <w:tc>
          <w:tcPr>
            <w:tcW w:w="2100" w:type="dxa"/>
            <w:vAlign w:val="center"/>
          </w:tcPr>
          <w:p w14:paraId="6BD2BF05">
            <w:pPr>
              <w:pStyle w:val="8"/>
              <w:jc w:val="center"/>
              <w:rPr>
                <w:rFonts w:hint="eastAsia" w:eastAsia="宋体"/>
                <w:lang w:eastAsia="zh-CN"/>
              </w:rPr>
            </w:pPr>
            <w:r>
              <w:rPr>
                <w:rFonts w:hint="eastAsia" w:asciiTheme="minorEastAsia" w:hAnsiTheme="minorEastAsia" w:eastAsiaTheme="minorEastAsia" w:cstheme="minorEastAsia"/>
                <w:i w:val="0"/>
                <w:iCs w:val="0"/>
                <w:caps w:val="0"/>
                <w:color w:val="333333"/>
                <w:spacing w:val="0"/>
                <w:sz w:val="18"/>
                <w:szCs w:val="18"/>
                <w:shd w:val="clear" w:fill="FFFFFF"/>
              </w:rPr>
              <w:t>随机抽取检查对象和执法检查人员</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hint="eastAsia" w:asciiTheme="minorEastAsia" w:hAnsiTheme="minorEastAsia" w:eastAsiaTheme="minorEastAsia" w:cstheme="minorEastAsia"/>
                <w:i w:val="0"/>
                <w:iCs w:val="0"/>
                <w:caps w:val="0"/>
                <w:color w:val="333333"/>
                <w:spacing w:val="0"/>
                <w:sz w:val="18"/>
                <w:szCs w:val="18"/>
                <w:shd w:val="clear" w:fill="FFFFFF"/>
              </w:rPr>
              <w:t>依法制定随机抽查事项清单</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hint="eastAsia" w:asciiTheme="minorEastAsia" w:hAnsiTheme="minorEastAsia" w:eastAsiaTheme="minorEastAsia" w:cstheme="minorEastAsia"/>
                <w:i w:val="0"/>
                <w:iCs w:val="0"/>
                <w:caps w:val="0"/>
                <w:color w:val="333333"/>
                <w:spacing w:val="0"/>
                <w:sz w:val="18"/>
                <w:szCs w:val="18"/>
                <w:shd w:val="clear" w:fill="FFFFFF"/>
              </w:rPr>
              <w:t>联合抽查和一次性检查多个事项</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hint="eastAsia" w:asciiTheme="minorEastAsia" w:hAnsiTheme="minorEastAsia" w:eastAsiaTheme="minorEastAsia" w:cstheme="minorEastAsia"/>
                <w:i w:val="0"/>
                <w:iCs w:val="0"/>
                <w:caps w:val="0"/>
                <w:color w:val="333333"/>
                <w:spacing w:val="0"/>
                <w:sz w:val="18"/>
                <w:szCs w:val="18"/>
                <w:shd w:val="clear" w:fill="FFFFFF"/>
              </w:rPr>
              <w:t>将抽查结果纳入市场主体的社会信用记录</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p>
        </w:tc>
      </w:tr>
      <w:tr w14:paraId="1AB11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vAlign w:val="center"/>
          </w:tcPr>
          <w:p w14:paraId="7DC3B601">
            <w:pPr>
              <w:pStyle w:val="8"/>
              <w:jc w:val="center"/>
              <w:rPr>
                <w:rFonts w:ascii="楷体_GB2312" w:hAnsi="宋体" w:eastAsia="楷体_GB2312" w:cs="楷体_GB2312"/>
                <w:i w:val="0"/>
                <w:iCs w:val="0"/>
                <w:caps w:val="0"/>
                <w:color w:val="000000"/>
                <w:spacing w:val="0"/>
                <w:sz w:val="22"/>
                <w:szCs w:val="22"/>
                <w:shd w:val="clear" w:fill="FFFFFF"/>
              </w:rPr>
            </w:pPr>
            <w:r>
              <w:rPr>
                <w:rFonts w:ascii="楷体_GB2312" w:hAnsi="宋体" w:eastAsia="楷体_GB2312" w:cs="楷体_GB2312"/>
                <w:i w:val="0"/>
                <w:iCs w:val="0"/>
                <w:caps w:val="0"/>
                <w:color w:val="000000"/>
                <w:spacing w:val="0"/>
                <w:sz w:val="22"/>
                <w:szCs w:val="22"/>
                <w:shd w:val="clear" w:fill="FFFFFF"/>
              </w:rPr>
              <w:t>综合政务</w:t>
            </w:r>
          </w:p>
        </w:tc>
        <w:tc>
          <w:tcPr>
            <w:tcW w:w="666" w:type="dxa"/>
            <w:vAlign w:val="center"/>
          </w:tcPr>
          <w:p w14:paraId="7AE12E2E">
            <w:pPr>
              <w:pStyle w:val="8"/>
              <w:jc w:val="center"/>
              <w:rPr>
                <w:rFonts w:hint="eastAsia" w:eastAsia="宋体"/>
                <w:sz w:val="18"/>
                <w:szCs w:val="18"/>
                <w:lang w:eastAsia="zh-CN"/>
              </w:rPr>
            </w:pPr>
            <w:r>
              <w:rPr>
                <w:rFonts w:ascii="楷体_GB2312" w:hAnsi="宋体" w:eastAsia="楷体_GB2312" w:cs="楷体_GB2312"/>
                <w:i w:val="0"/>
                <w:iCs w:val="0"/>
                <w:caps w:val="0"/>
                <w:color w:val="000000"/>
                <w:spacing w:val="0"/>
                <w:sz w:val="22"/>
                <w:szCs w:val="22"/>
                <w:shd w:val="clear" w:fill="FFFFFF"/>
              </w:rPr>
              <w:t>机构信息</w:t>
            </w:r>
          </w:p>
        </w:tc>
        <w:tc>
          <w:tcPr>
            <w:tcW w:w="672" w:type="dxa"/>
            <w:vAlign w:val="top"/>
          </w:tcPr>
          <w:p w14:paraId="43AF33E2">
            <w:pPr>
              <w:pStyle w:val="8"/>
            </w:pPr>
          </w:p>
        </w:tc>
        <w:tc>
          <w:tcPr>
            <w:tcW w:w="1472" w:type="dxa"/>
            <w:vAlign w:val="center"/>
          </w:tcPr>
          <w:p w14:paraId="7907C949">
            <w:pPr>
              <w:pStyle w:val="8"/>
              <w:jc w:val="center"/>
              <w:rPr>
                <w:rFonts w:ascii="楷体_GB2312" w:hAnsi="宋体" w:eastAsia="楷体_GB2312" w:cs="楷体_GB2312"/>
                <w:i w:val="0"/>
                <w:iCs w:val="0"/>
                <w:caps w:val="0"/>
                <w:color w:val="000000"/>
                <w:spacing w:val="0"/>
                <w:sz w:val="22"/>
                <w:szCs w:val="22"/>
                <w:shd w:val="clear" w:fill="FFFFFF"/>
              </w:rPr>
            </w:pPr>
            <w:r>
              <w:rPr>
                <w:rFonts w:ascii="楷体_GB2312" w:hAnsi="宋体" w:eastAsia="楷体_GB2312" w:cs="楷体_GB2312"/>
                <w:i w:val="0"/>
                <w:iCs w:val="0"/>
                <w:caps w:val="0"/>
                <w:color w:val="000000"/>
                <w:spacing w:val="0"/>
                <w:sz w:val="22"/>
                <w:szCs w:val="22"/>
                <w:shd w:val="clear" w:fill="FFFFFF"/>
              </w:rPr>
              <w:t>机关名称、办公地址、办公时间、联系方式、邮政编码</w:t>
            </w:r>
          </w:p>
        </w:tc>
        <w:tc>
          <w:tcPr>
            <w:tcW w:w="1125" w:type="dxa"/>
            <w:vAlign w:val="center"/>
          </w:tcPr>
          <w:p w14:paraId="04B09E32">
            <w:pPr>
              <w:pStyle w:val="8"/>
              <w:jc w:val="center"/>
              <w:rPr>
                <w:rFonts w:ascii="楷体_GB2312" w:hAnsi="宋体" w:eastAsia="楷体_GB2312" w:cs="楷体_GB2312"/>
                <w:i w:val="0"/>
                <w:iCs w:val="0"/>
                <w:caps w:val="0"/>
                <w:color w:val="000000"/>
                <w:spacing w:val="0"/>
                <w:sz w:val="18"/>
                <w:szCs w:val="18"/>
                <w:shd w:val="clear" w:fill="FFFFFF"/>
              </w:rPr>
            </w:pPr>
            <w:r>
              <w:rPr>
                <w:rFonts w:ascii="楷体_GB2312" w:hAnsi="宋体" w:eastAsia="楷体_GB2312" w:cs="楷体_GB2312"/>
                <w:i w:val="0"/>
                <w:iCs w:val="0"/>
                <w:caps w:val="0"/>
                <w:color w:val="000000"/>
                <w:spacing w:val="0"/>
                <w:sz w:val="22"/>
                <w:szCs w:val="22"/>
                <w:shd w:val="clear" w:fill="FFFFFF"/>
              </w:rPr>
              <w:t>《中华人民共和国政府信息公开条例》</w:t>
            </w:r>
          </w:p>
        </w:tc>
        <w:tc>
          <w:tcPr>
            <w:tcW w:w="1424" w:type="dxa"/>
            <w:vAlign w:val="center"/>
          </w:tcPr>
          <w:p w14:paraId="17EE2F0C">
            <w:pPr>
              <w:pStyle w:val="8"/>
              <w:jc w:val="center"/>
            </w:pPr>
            <w:r>
              <w:rPr>
                <w:rFonts w:hint="eastAsia" w:ascii="宋体" w:hAnsi="宋体" w:eastAsia="宋体" w:cs="宋体"/>
                <w:i w:val="0"/>
                <w:iCs w:val="0"/>
                <w:caps w:val="0"/>
                <w:color w:val="333333"/>
                <w:spacing w:val="0"/>
                <w:sz w:val="18"/>
                <w:szCs w:val="18"/>
                <w:shd w:val="clear" w:fill="FFFFFF"/>
              </w:rPr>
              <w:t>行政机关应当及时、准确地公开政府信息。</w:t>
            </w:r>
          </w:p>
        </w:tc>
        <w:tc>
          <w:tcPr>
            <w:tcW w:w="826" w:type="dxa"/>
            <w:vAlign w:val="center"/>
          </w:tcPr>
          <w:p w14:paraId="457A9E92">
            <w:pPr>
              <w:pStyle w:val="8"/>
              <w:numPr>
                <w:ilvl w:val="0"/>
                <w:numId w:val="0"/>
              </w:numPr>
              <w:jc w:val="center"/>
              <w:rPr>
                <w:rFonts w:hint="eastAsia" w:eastAsia="宋体"/>
                <w:lang w:val="en-US" w:eastAsia="zh-CN"/>
              </w:rPr>
            </w:pPr>
            <w:r>
              <w:rPr>
                <w:rFonts w:hint="eastAsia" w:ascii="Arial" w:hAnsi="Arial" w:eastAsia="宋体" w:cs="Arial"/>
                <w:snapToGrid w:val="0"/>
                <w:color w:val="000000"/>
                <w:kern w:val="0"/>
                <w:sz w:val="21"/>
                <w:szCs w:val="21"/>
                <w:lang w:val="en-US" w:eastAsia="zh-CN" w:bidi="ar-SA"/>
              </w:rPr>
              <w:t>1.</w:t>
            </w:r>
            <w:r>
              <w:rPr>
                <w:rFonts w:hint="eastAsia" w:eastAsia="宋体"/>
                <w:lang w:val="en-US" w:eastAsia="zh-CN"/>
              </w:rPr>
              <w:t>法律</w:t>
            </w:r>
          </w:p>
          <w:p w14:paraId="55D6EC15">
            <w:pPr>
              <w:pStyle w:val="8"/>
              <w:jc w:val="center"/>
            </w:pPr>
            <w:r>
              <w:rPr>
                <w:rFonts w:hint="eastAsia" w:eastAsia="宋体"/>
                <w:lang w:val="en-US" w:eastAsia="zh-CN"/>
              </w:rPr>
              <w:t>2.行政法律</w:t>
            </w:r>
          </w:p>
        </w:tc>
        <w:tc>
          <w:tcPr>
            <w:tcW w:w="960" w:type="dxa"/>
            <w:vAlign w:val="center"/>
          </w:tcPr>
          <w:p w14:paraId="79D670F4">
            <w:pPr>
              <w:pStyle w:val="8"/>
              <w:jc w:val="center"/>
              <w:rPr>
                <w:rFonts w:ascii="楷体_GB2312" w:hAnsi="宋体" w:eastAsia="楷体_GB2312" w:cs="楷体_GB2312"/>
                <w:i w:val="0"/>
                <w:iCs w:val="0"/>
                <w:caps w:val="0"/>
                <w:color w:val="000000"/>
                <w:spacing w:val="0"/>
                <w:sz w:val="22"/>
                <w:szCs w:val="22"/>
                <w:shd w:val="clear" w:fill="FFFFFF"/>
              </w:rPr>
            </w:pPr>
            <w:r>
              <w:rPr>
                <w:rFonts w:ascii="楷体_GB2312" w:hAnsi="宋体" w:eastAsia="楷体_GB2312" w:cs="楷体_GB2312"/>
                <w:i w:val="0"/>
                <w:iCs w:val="0"/>
                <w:caps w:val="0"/>
                <w:color w:val="000000"/>
                <w:spacing w:val="0"/>
                <w:sz w:val="22"/>
                <w:szCs w:val="22"/>
                <w:shd w:val="clear" w:fill="FFFFFF"/>
              </w:rPr>
              <w:t>自该信息形成或者变更之日起</w:t>
            </w:r>
            <w:r>
              <w:rPr>
                <w:rFonts w:hint="eastAsia" w:ascii="楷体_GB2312" w:hAnsi="宋体" w:eastAsia="楷体_GB2312" w:cs="楷体_GB2312"/>
                <w:i w:val="0"/>
                <w:iCs w:val="0"/>
                <w:caps w:val="0"/>
                <w:color w:val="000000"/>
                <w:spacing w:val="0"/>
                <w:sz w:val="22"/>
                <w:szCs w:val="22"/>
                <w:shd w:val="clear" w:fill="FFFFFF"/>
              </w:rPr>
              <w:t>20个工作日内公开</w:t>
            </w:r>
          </w:p>
        </w:tc>
        <w:tc>
          <w:tcPr>
            <w:tcW w:w="696" w:type="dxa"/>
            <w:vAlign w:val="center"/>
          </w:tcPr>
          <w:p w14:paraId="5F63A0AE">
            <w:pPr>
              <w:pStyle w:val="8"/>
              <w:jc w:val="center"/>
            </w:pPr>
            <w:r>
              <w:rPr>
                <w:rFonts w:hint="eastAsia" w:eastAsia="宋体"/>
                <w:lang w:val="en-US" w:eastAsia="zh-CN"/>
              </w:rPr>
              <w:t>旗市场局</w:t>
            </w:r>
          </w:p>
        </w:tc>
        <w:tc>
          <w:tcPr>
            <w:tcW w:w="1120" w:type="dxa"/>
            <w:vAlign w:val="center"/>
          </w:tcPr>
          <w:p w14:paraId="39D6459F">
            <w:pPr>
              <w:pStyle w:val="8"/>
              <w:jc w:val="center"/>
              <w:rPr>
                <w:rFonts w:hint="eastAsia" w:eastAsia="宋体"/>
                <w:lang w:val="en-US" w:eastAsia="zh-CN"/>
              </w:rPr>
            </w:pPr>
            <w:r>
              <w:rPr>
                <w:rFonts w:hint="eastAsia" w:eastAsia="宋体"/>
                <w:lang w:val="en-US" w:eastAsia="zh-CN"/>
              </w:rPr>
              <w:t>法定公开事项</w:t>
            </w:r>
          </w:p>
        </w:tc>
        <w:tc>
          <w:tcPr>
            <w:tcW w:w="1247" w:type="dxa"/>
            <w:vAlign w:val="center"/>
          </w:tcPr>
          <w:p w14:paraId="56429D7D">
            <w:pPr>
              <w:pStyle w:val="8"/>
              <w:jc w:val="center"/>
              <w:rPr>
                <w:rFonts w:hint="eastAsia" w:eastAsia="宋体"/>
                <w:lang w:val="en-US" w:eastAsia="zh-CN"/>
              </w:rPr>
            </w:pPr>
            <w:r>
              <w:rPr>
                <w:rFonts w:hint="eastAsia" w:eastAsia="宋体"/>
                <w:lang w:val="en-US" w:eastAsia="zh-CN"/>
              </w:rPr>
              <w:t>政府网站</w:t>
            </w:r>
          </w:p>
          <w:p w14:paraId="776BCF70">
            <w:pPr>
              <w:pStyle w:val="8"/>
              <w:jc w:val="center"/>
            </w:pPr>
            <w:r>
              <w:rPr>
                <w:rFonts w:hint="eastAsia" w:eastAsia="宋体"/>
                <w:lang w:val="en-US" w:eastAsia="zh-CN"/>
              </w:rPr>
              <w:t>政务新媒体</w:t>
            </w:r>
          </w:p>
        </w:tc>
        <w:tc>
          <w:tcPr>
            <w:tcW w:w="544" w:type="dxa"/>
            <w:vAlign w:val="center"/>
          </w:tcPr>
          <w:p w14:paraId="1C923BC8">
            <w:pPr>
              <w:pStyle w:val="8"/>
              <w:jc w:val="center"/>
              <w:rPr>
                <w:rFonts w:hint="default" w:ascii="Arial" w:hAnsi="Arial" w:cs="Arial"/>
              </w:rPr>
            </w:pPr>
            <w:r>
              <w:rPr>
                <w:rFonts w:hint="default" w:ascii="Arial" w:hAnsi="Arial" w:cs="Arial"/>
              </w:rPr>
              <w:t>√</w:t>
            </w:r>
          </w:p>
        </w:tc>
        <w:tc>
          <w:tcPr>
            <w:tcW w:w="620" w:type="dxa"/>
            <w:vAlign w:val="top"/>
          </w:tcPr>
          <w:p w14:paraId="76977883">
            <w:pPr>
              <w:pStyle w:val="8"/>
            </w:pPr>
          </w:p>
        </w:tc>
        <w:tc>
          <w:tcPr>
            <w:tcW w:w="564" w:type="dxa"/>
            <w:vAlign w:val="center"/>
          </w:tcPr>
          <w:p w14:paraId="71F746FD">
            <w:pPr>
              <w:pStyle w:val="8"/>
              <w:jc w:val="center"/>
              <w:rPr>
                <w:rFonts w:hint="eastAsia" w:eastAsia="宋体"/>
                <w:lang w:val="en-US" w:eastAsia="zh-CN"/>
              </w:rPr>
            </w:pPr>
            <w:r>
              <w:rPr>
                <w:rFonts w:hint="eastAsia" w:eastAsia="宋体"/>
                <w:lang w:val="en-US" w:eastAsia="zh-CN"/>
              </w:rPr>
              <w:t>办公室</w:t>
            </w:r>
          </w:p>
        </w:tc>
        <w:tc>
          <w:tcPr>
            <w:tcW w:w="2100" w:type="dxa"/>
            <w:vAlign w:val="center"/>
          </w:tcPr>
          <w:p w14:paraId="2C23FAEC">
            <w:pPr>
              <w:pStyle w:val="8"/>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介绍单位信息</w:t>
            </w:r>
          </w:p>
        </w:tc>
      </w:tr>
      <w:tr w14:paraId="610B9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vAlign w:val="center"/>
          </w:tcPr>
          <w:p w14:paraId="415ED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ascii="微软雅黑" w:hAnsi="微软雅黑" w:eastAsia="微软雅黑" w:cs="微软雅黑"/>
                <w:i w:val="0"/>
                <w:iCs w:val="0"/>
                <w:caps w:val="0"/>
                <w:color w:val="333333"/>
                <w:spacing w:val="0"/>
                <w:sz w:val="24"/>
                <w:szCs w:val="24"/>
              </w:rPr>
            </w:pPr>
            <w:r>
              <w:rPr>
                <w:rFonts w:ascii="楷体_GB2312" w:hAnsi="微软雅黑" w:eastAsia="楷体_GB2312" w:cs="楷体_GB2312"/>
                <w:i w:val="0"/>
                <w:iCs w:val="0"/>
                <w:caps w:val="0"/>
                <w:color w:val="000000"/>
                <w:spacing w:val="0"/>
                <w:sz w:val="22"/>
                <w:szCs w:val="22"/>
                <w:shd w:val="clear" w:fill="FFFFFF"/>
              </w:rPr>
              <w:t>财政预</w:t>
            </w:r>
          </w:p>
          <w:p w14:paraId="73952F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楷体_GB2312" w:hAnsi="微软雅黑" w:eastAsia="楷体_GB2312" w:cs="楷体_GB2312"/>
                <w:i w:val="0"/>
                <w:iCs w:val="0"/>
                <w:caps w:val="0"/>
                <w:color w:val="000000"/>
                <w:spacing w:val="0"/>
                <w:sz w:val="22"/>
                <w:szCs w:val="22"/>
                <w:shd w:val="clear" w:fill="FFFFFF"/>
              </w:rPr>
              <w:t>决算</w:t>
            </w:r>
          </w:p>
          <w:p w14:paraId="20A9E076">
            <w:pPr>
              <w:pStyle w:val="8"/>
              <w:jc w:val="center"/>
              <w:rPr>
                <w:rFonts w:ascii="楷体_GB2312" w:hAnsi="宋体" w:eastAsia="楷体_GB2312" w:cs="楷体_GB2312"/>
                <w:i w:val="0"/>
                <w:iCs w:val="0"/>
                <w:caps w:val="0"/>
                <w:color w:val="000000"/>
                <w:spacing w:val="0"/>
                <w:sz w:val="22"/>
                <w:szCs w:val="22"/>
                <w:shd w:val="clear" w:fill="FFFFFF"/>
              </w:rPr>
            </w:pPr>
          </w:p>
        </w:tc>
        <w:tc>
          <w:tcPr>
            <w:tcW w:w="666" w:type="dxa"/>
            <w:vAlign w:val="center"/>
          </w:tcPr>
          <w:p w14:paraId="5FEB4D75">
            <w:pPr>
              <w:pStyle w:val="8"/>
              <w:jc w:val="center"/>
              <w:rPr>
                <w:rFonts w:ascii="楷体_GB2312" w:hAnsi="宋体" w:eastAsia="楷体_GB2312" w:cs="楷体_GB2312"/>
                <w:i w:val="0"/>
                <w:iCs w:val="0"/>
                <w:caps w:val="0"/>
                <w:color w:val="000000"/>
                <w:spacing w:val="0"/>
                <w:sz w:val="22"/>
                <w:szCs w:val="22"/>
                <w:shd w:val="clear" w:fill="FFFFFF"/>
              </w:rPr>
            </w:pPr>
            <w:r>
              <w:rPr>
                <w:rFonts w:hint="eastAsia" w:ascii="楷体_GB2312" w:hAnsi="宋体" w:eastAsia="楷体_GB2312" w:cs="楷体_GB2312"/>
                <w:i w:val="0"/>
                <w:iCs w:val="0"/>
                <w:caps w:val="0"/>
                <w:color w:val="000000"/>
                <w:spacing w:val="0"/>
                <w:sz w:val="22"/>
                <w:szCs w:val="22"/>
                <w:shd w:val="clear" w:fill="FFFFFF"/>
                <w:lang w:val="en-US" w:eastAsia="zh-CN"/>
              </w:rPr>
              <w:t>部门预算</w:t>
            </w:r>
          </w:p>
        </w:tc>
        <w:tc>
          <w:tcPr>
            <w:tcW w:w="672" w:type="dxa"/>
            <w:vAlign w:val="top"/>
          </w:tcPr>
          <w:p w14:paraId="5B0DF7B7">
            <w:pPr>
              <w:pStyle w:val="8"/>
            </w:pPr>
          </w:p>
        </w:tc>
        <w:tc>
          <w:tcPr>
            <w:tcW w:w="1472" w:type="dxa"/>
            <w:vAlign w:val="center"/>
          </w:tcPr>
          <w:p w14:paraId="7C11CF34">
            <w:pPr>
              <w:pStyle w:val="8"/>
              <w:jc w:val="center"/>
              <w:rPr>
                <w:rFonts w:ascii="楷体_GB2312" w:hAnsi="宋体" w:eastAsia="楷体_GB2312" w:cs="楷体_GB2312"/>
                <w:i w:val="0"/>
                <w:iCs w:val="0"/>
                <w:caps w:val="0"/>
                <w:color w:val="000000"/>
                <w:spacing w:val="0"/>
                <w:sz w:val="22"/>
                <w:szCs w:val="22"/>
                <w:shd w:val="clear" w:fill="FFFFFF"/>
              </w:rPr>
            </w:pPr>
            <w:r>
              <w:rPr>
                <w:rFonts w:hint="eastAsia" w:ascii="楷体_GB2312" w:hAnsi="宋体" w:eastAsia="楷体_GB2312" w:cs="楷体_GB2312"/>
                <w:i w:val="0"/>
                <w:iCs w:val="0"/>
                <w:caps w:val="0"/>
                <w:color w:val="000000"/>
                <w:spacing w:val="0"/>
                <w:sz w:val="22"/>
                <w:szCs w:val="22"/>
                <w:shd w:val="clear" w:fill="FFFFFF"/>
                <w:lang w:val="en-US" w:eastAsia="zh-CN"/>
              </w:rPr>
              <w:t>编制机关及所属单位预算</w:t>
            </w:r>
          </w:p>
        </w:tc>
        <w:tc>
          <w:tcPr>
            <w:tcW w:w="1125" w:type="dxa"/>
            <w:vAlign w:val="center"/>
          </w:tcPr>
          <w:p w14:paraId="4344DCE6">
            <w:pPr>
              <w:pStyle w:val="8"/>
              <w:jc w:val="center"/>
              <w:rPr>
                <w:rFonts w:ascii="楷体_GB2312" w:hAnsi="宋体" w:eastAsia="楷体_GB2312" w:cs="楷体_GB2312"/>
                <w:i w:val="0"/>
                <w:iCs w:val="0"/>
                <w:caps w:val="0"/>
                <w:color w:val="000000"/>
                <w:spacing w:val="0"/>
                <w:sz w:val="22"/>
                <w:szCs w:val="22"/>
                <w:shd w:val="clear" w:fill="FFFFFF"/>
              </w:rPr>
            </w:pPr>
            <w:r>
              <w:rPr>
                <w:rFonts w:hint="eastAsia" w:ascii="宋体" w:hAnsi="宋体" w:eastAsia="宋体" w:cs="宋体"/>
                <w:i w:val="0"/>
                <w:iCs w:val="0"/>
                <w:caps w:val="0"/>
                <w:color w:val="333333"/>
                <w:spacing w:val="0"/>
                <w:sz w:val="18"/>
                <w:szCs w:val="18"/>
                <w:shd w:val="clear" w:fill="FFFFFF"/>
              </w:rPr>
              <w:t>《中华人民共和国预算法实施条例》第六条</w:t>
            </w:r>
          </w:p>
        </w:tc>
        <w:tc>
          <w:tcPr>
            <w:tcW w:w="1424" w:type="dxa"/>
            <w:vAlign w:val="center"/>
          </w:tcPr>
          <w:p w14:paraId="53DB800B">
            <w:pPr>
              <w:pStyle w:val="8"/>
              <w:jc w:val="center"/>
            </w:pPr>
            <w:r>
              <w:rPr>
                <w:rFonts w:hint="eastAsia" w:asciiTheme="minorEastAsia" w:hAnsiTheme="minorEastAsia" w:eastAsiaTheme="minorEastAsia" w:cstheme="minorEastAsia"/>
                <w:i w:val="0"/>
                <w:iCs w:val="0"/>
                <w:caps w:val="0"/>
                <w:color w:val="333333"/>
                <w:spacing w:val="0"/>
                <w:sz w:val="18"/>
                <w:szCs w:val="18"/>
                <w:shd w:val="clear" w:fill="FFFFFF"/>
              </w:rPr>
              <w:t>各部门所属单位的预算、决算及报表，应当在部门批复后20日内由单位向社会公开</w:t>
            </w:r>
          </w:p>
        </w:tc>
        <w:tc>
          <w:tcPr>
            <w:tcW w:w="826" w:type="dxa"/>
            <w:vAlign w:val="center"/>
          </w:tcPr>
          <w:p w14:paraId="1EC581EE">
            <w:pPr>
              <w:pStyle w:val="8"/>
              <w:jc w:val="center"/>
            </w:pPr>
            <w:r>
              <w:rPr>
                <w:rFonts w:hint="eastAsia" w:eastAsia="宋体"/>
                <w:sz w:val="18"/>
                <w:szCs w:val="18"/>
                <w:lang w:val="en-US" w:eastAsia="zh-CN"/>
              </w:rPr>
              <w:t>机关及所属单位预决算和经费管理工作</w:t>
            </w:r>
          </w:p>
        </w:tc>
        <w:tc>
          <w:tcPr>
            <w:tcW w:w="960" w:type="dxa"/>
            <w:vAlign w:val="top"/>
          </w:tcPr>
          <w:p w14:paraId="22C362AF">
            <w:pPr>
              <w:pStyle w:val="8"/>
              <w:rPr>
                <w:rFonts w:ascii="楷体_GB2312" w:hAnsi="宋体" w:eastAsia="楷体_GB2312" w:cs="楷体_GB2312"/>
                <w:i w:val="0"/>
                <w:iCs w:val="0"/>
                <w:caps w:val="0"/>
                <w:color w:val="000000"/>
                <w:spacing w:val="0"/>
                <w:sz w:val="22"/>
                <w:szCs w:val="22"/>
                <w:shd w:val="clear" w:fill="FFFFFF"/>
              </w:rPr>
            </w:pPr>
            <w:r>
              <w:rPr>
                <w:rFonts w:hint="eastAsia" w:ascii="楷体_GB2312" w:hAnsi="宋体" w:eastAsia="楷体_GB2312" w:cs="楷体_GB2312"/>
                <w:i w:val="0"/>
                <w:iCs w:val="0"/>
                <w:caps w:val="0"/>
                <w:color w:val="000000"/>
                <w:spacing w:val="0"/>
                <w:sz w:val="22"/>
                <w:szCs w:val="22"/>
                <w:shd w:val="clear" w:fill="FFFFFF"/>
                <w:lang w:val="en-US" w:eastAsia="zh-CN"/>
              </w:rPr>
              <w:t>按年度公开、按党组会议批准后、按照旗财政局要求按时报送</w:t>
            </w:r>
          </w:p>
        </w:tc>
        <w:tc>
          <w:tcPr>
            <w:tcW w:w="696" w:type="dxa"/>
            <w:vAlign w:val="center"/>
          </w:tcPr>
          <w:p w14:paraId="7C5F07D3">
            <w:pPr>
              <w:pStyle w:val="8"/>
              <w:jc w:val="center"/>
            </w:pPr>
            <w:r>
              <w:rPr>
                <w:rFonts w:hint="eastAsia" w:eastAsia="宋体"/>
                <w:lang w:val="en-US" w:eastAsia="zh-CN"/>
              </w:rPr>
              <w:t>旗市场局</w:t>
            </w:r>
          </w:p>
        </w:tc>
        <w:tc>
          <w:tcPr>
            <w:tcW w:w="1120" w:type="dxa"/>
            <w:vAlign w:val="center"/>
          </w:tcPr>
          <w:p w14:paraId="72147631">
            <w:pPr>
              <w:pStyle w:val="8"/>
              <w:jc w:val="center"/>
              <w:rPr>
                <w:rFonts w:hint="eastAsia" w:eastAsia="宋体"/>
                <w:lang w:val="en-US" w:eastAsia="zh-CN"/>
              </w:rPr>
            </w:pPr>
            <w:r>
              <w:rPr>
                <w:rFonts w:hint="eastAsia" w:eastAsia="宋体"/>
                <w:lang w:val="en-US" w:eastAsia="zh-CN"/>
              </w:rPr>
              <w:t>法定公开事项</w:t>
            </w:r>
          </w:p>
        </w:tc>
        <w:tc>
          <w:tcPr>
            <w:tcW w:w="1247" w:type="dxa"/>
            <w:vAlign w:val="center"/>
          </w:tcPr>
          <w:p w14:paraId="56B641A3">
            <w:pPr>
              <w:pStyle w:val="8"/>
              <w:jc w:val="center"/>
            </w:pPr>
            <w:r>
              <w:rPr>
                <w:rFonts w:hint="eastAsia" w:eastAsia="宋体"/>
                <w:lang w:val="en-US" w:eastAsia="zh-CN"/>
              </w:rPr>
              <w:t>政府网站专题集中公开</w:t>
            </w:r>
          </w:p>
        </w:tc>
        <w:tc>
          <w:tcPr>
            <w:tcW w:w="544" w:type="dxa"/>
            <w:vAlign w:val="center"/>
          </w:tcPr>
          <w:p w14:paraId="50FC1AA3">
            <w:pPr>
              <w:pStyle w:val="8"/>
              <w:jc w:val="center"/>
              <w:rPr>
                <w:rFonts w:hint="default" w:ascii="Arial" w:hAnsi="Arial" w:cs="Arial"/>
              </w:rPr>
            </w:pPr>
            <w:r>
              <w:rPr>
                <w:rFonts w:hint="default" w:ascii="Arial" w:hAnsi="Arial" w:cs="Arial"/>
              </w:rPr>
              <w:t>√</w:t>
            </w:r>
          </w:p>
        </w:tc>
        <w:tc>
          <w:tcPr>
            <w:tcW w:w="620" w:type="dxa"/>
            <w:vAlign w:val="top"/>
          </w:tcPr>
          <w:p w14:paraId="4EF4A3C3">
            <w:pPr>
              <w:pStyle w:val="8"/>
            </w:pPr>
          </w:p>
        </w:tc>
        <w:tc>
          <w:tcPr>
            <w:tcW w:w="564" w:type="dxa"/>
            <w:vAlign w:val="center"/>
          </w:tcPr>
          <w:p w14:paraId="090B6627">
            <w:pPr>
              <w:pStyle w:val="8"/>
              <w:jc w:val="center"/>
              <w:rPr>
                <w:rFonts w:hint="eastAsia" w:eastAsia="宋体"/>
                <w:lang w:val="en-US" w:eastAsia="zh-CN"/>
              </w:rPr>
            </w:pPr>
            <w:r>
              <w:rPr>
                <w:rFonts w:hint="eastAsia" w:eastAsia="宋体"/>
                <w:lang w:val="en-US" w:eastAsia="zh-CN"/>
              </w:rPr>
              <w:t>办公室（财务处）</w:t>
            </w:r>
          </w:p>
        </w:tc>
        <w:tc>
          <w:tcPr>
            <w:tcW w:w="2100" w:type="dxa"/>
            <w:vAlign w:val="center"/>
          </w:tcPr>
          <w:p w14:paraId="30D3A7A2">
            <w:pPr>
              <w:pStyle w:val="8"/>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aps w:val="0"/>
                <w:color w:val="333333"/>
                <w:spacing w:val="0"/>
                <w:sz w:val="18"/>
                <w:szCs w:val="18"/>
                <w:shd w:val="clear" w:fill="FFFFFF"/>
              </w:rPr>
              <w:t>对财政决算资料全面、系统地分析</w:t>
            </w:r>
            <w:r>
              <w:rPr>
                <w:rFonts w:hint="eastAsia" w:asciiTheme="minorEastAsia" w:hAnsiTheme="minorEastAsia" w:eastAsiaTheme="minorEastAsia" w:cstheme="minorEastAsia"/>
                <w:i w:val="0"/>
                <w:iCs w:val="0"/>
                <w:caps w:val="0"/>
                <w:color w:val="333333"/>
                <w:spacing w:val="0"/>
                <w:sz w:val="18"/>
                <w:szCs w:val="18"/>
                <w:shd w:val="clear" w:fill="FFFFFF"/>
                <w:lang w:eastAsia="zh-CN"/>
              </w:rPr>
              <w:t>，</w:t>
            </w:r>
            <w:r>
              <w:rPr>
                <w:rFonts w:hint="eastAsia" w:asciiTheme="minorEastAsia" w:hAnsiTheme="minorEastAsia" w:eastAsiaTheme="minorEastAsia" w:cstheme="minorEastAsia"/>
                <w:i w:val="0"/>
                <w:iCs w:val="0"/>
                <w:caps w:val="0"/>
                <w:color w:val="333333"/>
                <w:spacing w:val="0"/>
                <w:sz w:val="18"/>
                <w:szCs w:val="18"/>
                <w:shd w:val="clear" w:fill="FFFFFF"/>
              </w:rPr>
              <w:t>公开信息的格式</w:t>
            </w: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保持</w:t>
            </w:r>
            <w:r>
              <w:rPr>
                <w:rFonts w:hint="eastAsia" w:asciiTheme="minorEastAsia" w:hAnsiTheme="minorEastAsia" w:eastAsiaTheme="minorEastAsia" w:cstheme="minorEastAsia"/>
                <w:i w:val="0"/>
                <w:iCs w:val="0"/>
                <w:caps w:val="0"/>
                <w:color w:val="333333"/>
                <w:spacing w:val="0"/>
                <w:sz w:val="18"/>
                <w:szCs w:val="18"/>
                <w:shd w:val="clear" w:fill="FFFFFF"/>
              </w:rPr>
              <w:t>规范、统一，便于线上填报和审核。</w:t>
            </w:r>
          </w:p>
        </w:tc>
      </w:tr>
    </w:tbl>
    <w:p w14:paraId="1B914E75">
      <w:pPr>
        <w:spacing w:before="180" w:line="196" w:lineRule="auto"/>
        <w:ind w:left="833"/>
        <w:rPr>
          <w:rFonts w:hint="eastAsia" w:ascii="Arial" w:eastAsia="微软雅黑"/>
          <w:sz w:val="21"/>
          <w:lang w:eastAsia="zh-CN"/>
        </w:rPr>
      </w:pPr>
      <w:r>
        <w:rPr>
          <w:rFonts w:ascii="微软雅黑" w:hAnsi="微软雅黑" w:eastAsia="微软雅黑" w:cs="微软雅黑"/>
          <w:color w:val="333333"/>
          <w:spacing w:val="-1"/>
          <w:sz w:val="24"/>
          <w:szCs w:val="24"/>
        </w:rPr>
        <w:t>注：公开依据、条款内容、依据效力位阶、事项</w:t>
      </w:r>
      <w:r>
        <w:rPr>
          <w:rFonts w:ascii="微软雅黑" w:hAnsi="微软雅黑" w:eastAsia="微软雅黑" w:cs="微软雅黑"/>
          <w:color w:val="333333"/>
          <w:spacing w:val="-2"/>
          <w:sz w:val="24"/>
          <w:szCs w:val="24"/>
        </w:rPr>
        <w:t>类别、对应职责内部掌握</w:t>
      </w:r>
      <w:r>
        <w:rPr>
          <w:rFonts w:hint="eastAsia" w:ascii="微软雅黑" w:hAnsi="微软雅黑" w:eastAsia="微软雅黑" w:cs="微软雅黑"/>
          <w:color w:val="333333"/>
          <w:spacing w:val="-2"/>
          <w:sz w:val="24"/>
          <w:szCs w:val="24"/>
          <w:lang w:eastAsia="zh-CN"/>
        </w:rPr>
        <w:t>。</w:t>
      </w:r>
      <w:bookmarkStart w:id="0" w:name="_GoBack"/>
      <w:bookmarkEnd w:id="0"/>
    </w:p>
    <w:sectPr>
      <w:footerReference r:id="rId5" w:type="default"/>
      <w:pgSz w:w="16838" w:h="11906"/>
      <w:pgMar w:top="1011" w:right="1282" w:bottom="1271" w:left="1281"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FF58F9-C292-44A3-9670-1143D78CD22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D27492ED-8140-45A0-BBBB-1DEAF1DFE931}"/>
  </w:font>
  <w:font w:name="楷体_GB2312">
    <w:panose1 w:val="02010609030101010101"/>
    <w:charset w:val="86"/>
    <w:family w:val="auto"/>
    <w:pitch w:val="default"/>
    <w:sig w:usb0="00000001" w:usb1="080E0000" w:usb2="00000000" w:usb3="00000000" w:csb0="00040000" w:csb1="00000000"/>
    <w:embedRegular r:id="rId3" w:fontKey="{8193BD68-E6A1-4ACC-9D8D-FB6FFB1E28F8}"/>
  </w:font>
  <w:font w:name="微软雅黑">
    <w:panose1 w:val="020B0503020204020204"/>
    <w:charset w:val="86"/>
    <w:family w:val="auto"/>
    <w:pitch w:val="default"/>
    <w:sig w:usb0="80000287" w:usb1="2ACF3C50" w:usb2="00000016" w:usb3="00000000" w:csb0="0004001F" w:csb1="00000000"/>
    <w:embedRegular r:id="rId4" w:fontKey="{01D02DFB-4177-4937-A4DE-C7BDF21311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7250">
    <w:pPr>
      <w:pStyle w:val="2"/>
      <w:spacing w:before="1" w:line="176" w:lineRule="auto"/>
      <w:ind w:left="429"/>
    </w:pPr>
    <w:r>
      <w:rPr>
        <w:spacing w:val="-7"/>
      </w:rPr>
      <w:t>-</w:t>
    </w:r>
    <w:r>
      <w:rPr>
        <w:spacing w:val="11"/>
      </w:rPr>
      <w:t xml:space="preserve"> </w:t>
    </w:r>
    <w:r>
      <w:rPr>
        <w:spacing w:val="-7"/>
      </w:rPr>
      <w:t>6</w:t>
    </w:r>
    <w:r>
      <w:rPr>
        <w:spacing w:val="9"/>
      </w:rPr>
      <w:t xml:space="preserve"> </w:t>
    </w:r>
    <w:r>
      <w:rPr>
        <w:spacing w:val="-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EA1DC"/>
    <w:multiLevelType w:val="singleLevel"/>
    <w:tmpl w:val="23CEA1DC"/>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5611E0"/>
    <w:rsid w:val="09256D78"/>
    <w:rsid w:val="094F5D0C"/>
    <w:rsid w:val="0A735B07"/>
    <w:rsid w:val="11AE5258"/>
    <w:rsid w:val="1C504BAA"/>
    <w:rsid w:val="249027B3"/>
    <w:rsid w:val="2CA51BBF"/>
    <w:rsid w:val="2EBC5288"/>
    <w:rsid w:val="2F336255"/>
    <w:rsid w:val="3C631823"/>
    <w:rsid w:val="410317A7"/>
    <w:rsid w:val="46505262"/>
    <w:rsid w:val="478B4B7E"/>
    <w:rsid w:val="619A0388"/>
    <w:rsid w:val="63AA1C46"/>
    <w:rsid w:val="63B0400B"/>
    <w:rsid w:val="7EE00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Normal (Web)"/>
    <w:basedOn w:val="1"/>
    <w:qFormat/>
    <w:uiPriority w:val="0"/>
    <w:rPr>
      <w:sz w:val="24"/>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1677</Words>
  <Characters>1700</Characters>
  <TotalTime>5</TotalTime>
  <ScaleCrop>false</ScaleCrop>
  <LinksUpToDate>false</LinksUpToDate>
  <CharactersWithSpaces>1724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2025-02-21T16:43:00Z</dcterms:created>
  <dc:creator>乌海市人民政府:</dc:creator>
  <cp:lastModifiedBy>绿茶咖啡</cp:lastModifiedBy>
  <cp:lastPrinted>2025-03-04T02:04:00Z</cp:lastPrinted>
  <dcterms:modified xsi:type="dcterms:W3CDTF">2025-03-21T09:36:04Z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2025-02-21T16:43:58Z</vt:filetime>
  </property>
  <property fmtid="{D5CDD505-2E9C-101B-9397-08002B2CF9AE}" pid="4" name="KSOProductBuildVer">
    <vt:lpwstr>2052-12.1.0.20305</vt:lpwstr>
  </property>
  <property fmtid="{D5CDD505-2E9C-101B-9397-08002B2CF9AE}" pid="5" name="ICV">
    <vt:lpwstr>B8DD964F5DC24FF2A64C705FA5BB9342_13</vt:lpwstr>
  </property>
  <property fmtid="{D5CDD505-2E9C-101B-9397-08002B2CF9AE}" pid="6" name="KSOTemplateDocerSaveRecord">
    <vt:lpwstr>eyJoZGlkIjoiOWU0ZjUyMzQ1ZDEwN2FiYzE2OTQzYzcwODIxYzMwY2IiLCJ1c2VySWQiOiIzMDQ2NjczODEifQ==</vt:lpwstr>
  </property>
</Properties>
</file>