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5"/>
      <w:r>
        <w:rPr>
          <w:rFonts w:hint="eastAsia" w:ascii="方正小标宋_GBK" w:hAnsi="方正小标宋_GBK" w:eastAsia="方正小标宋_GBK"/>
          <w:b w:val="0"/>
          <w:bCs w:val="0"/>
          <w:sz w:val="30"/>
        </w:rPr>
        <w:t>公共资源交易领域基层政务公开标准目录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vAlign w:val="center"/>
          </w:tcPr>
          <w:p>
            <w:pPr>
              <w:widowControl/>
              <w:jc w:val="left"/>
              <w:rPr>
                <w:rFonts w:hint="eastAsia" w:ascii="黑体" w:hAnsi="宋体" w:eastAsia="黑体" w:cs="宋体"/>
                <w:kern w:val="0"/>
                <w:sz w:val="22"/>
              </w:rPr>
            </w:pPr>
          </w:p>
        </w:tc>
        <w:tc>
          <w:tcPr>
            <w:tcW w:w="2340" w:type="dxa"/>
            <w:vMerge w:val="continue"/>
            <w:vAlign w:val="center"/>
          </w:tcPr>
          <w:p>
            <w:pPr>
              <w:widowControl/>
              <w:jc w:val="left"/>
              <w:rPr>
                <w:rFonts w:hint="eastAsia" w:ascii="黑体" w:hAnsi="宋体" w:eastAsia="黑体" w:cs="宋体"/>
                <w:kern w:val="0"/>
                <w:sz w:val="22"/>
              </w:rPr>
            </w:pPr>
          </w:p>
        </w:tc>
        <w:tc>
          <w:tcPr>
            <w:tcW w:w="1620" w:type="dxa"/>
            <w:vMerge w:val="continue"/>
            <w:vAlign w:val="center"/>
          </w:tcPr>
          <w:p>
            <w:pPr>
              <w:widowControl/>
              <w:jc w:val="left"/>
              <w:rPr>
                <w:rFonts w:hint="eastAsia" w:ascii="黑体" w:hAnsi="宋体" w:eastAsia="黑体" w:cs="宋体"/>
                <w:kern w:val="0"/>
                <w:sz w:val="22"/>
              </w:rPr>
            </w:pPr>
          </w:p>
        </w:tc>
        <w:tc>
          <w:tcPr>
            <w:tcW w:w="956" w:type="dxa"/>
            <w:vMerge w:val="continue"/>
            <w:vAlign w:val="center"/>
          </w:tcPr>
          <w:p>
            <w:pPr>
              <w:widowControl/>
              <w:jc w:val="left"/>
              <w:rPr>
                <w:rFonts w:ascii="黑体" w:hAnsi="宋体" w:eastAsia="黑体" w:cs="宋体"/>
                <w:kern w:val="0"/>
                <w:sz w:val="22"/>
              </w:rPr>
            </w:pPr>
          </w:p>
        </w:tc>
        <w:tc>
          <w:tcPr>
            <w:tcW w:w="18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》、《国务院办公厅关于推进公共资源配置领域政府信息公开的意见》</w:t>
            </w:r>
          </w:p>
        </w:tc>
        <w:tc>
          <w:tcPr>
            <w:tcW w:w="1620" w:type="dxa"/>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负责管理的部门分别公开</w:t>
            </w:r>
          </w:p>
        </w:tc>
        <w:tc>
          <w:tcPr>
            <w:tcW w:w="1856" w:type="dxa"/>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w:t>
            </w:r>
            <w:bookmarkStart w:id="1" w:name="_GoBack"/>
            <w:bookmarkEnd w:id="1"/>
            <w:r>
              <w:rPr>
                <w:rFonts w:hint="eastAsia" w:ascii="仿宋_GB2312" w:hAnsi="宋体" w:eastAsia="仿宋_GB2312"/>
                <w:sz w:val="18"/>
                <w:szCs w:val="18"/>
              </w:rPr>
              <w:t>院办公厅关于推进公共资源配置领域政府信息公开的意见》、《招标公告和公示信息发布管理办法》</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shd w:val="clear" w:color="auto" w:fill="auto"/>
            <w:vAlign w:val="center"/>
          </w:tcPr>
          <w:p>
            <w:pPr>
              <w:jc w:val="center"/>
              <w:rPr>
                <w:rFonts w:hint="eastAsia" w:ascii="仿宋_GB2312" w:hAnsi="宋体" w:eastAsia="仿宋_GB2312" w:cs="宋体"/>
                <w:sz w:val="18"/>
                <w:szCs w:val="18"/>
              </w:rPr>
            </w:pP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vAlign w:val="center"/>
          </w:tcPr>
          <w:p>
            <w:pPr>
              <w:rPr>
                <w:rFonts w:hint="eastAsia" w:ascii="仿宋_GB2312" w:hAnsi="宋体" w:eastAsia="仿宋_GB2312"/>
                <w:sz w:val="18"/>
                <w:szCs w:val="18"/>
              </w:rPr>
            </w:pPr>
          </w:p>
        </w:tc>
        <w:tc>
          <w:tcPr>
            <w:tcW w:w="1620" w:type="dxa"/>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shd w:val="clear" w:color="auto" w:fill="auto"/>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shd w:val="clear" w:color="auto" w:fill="auto"/>
            <w:vAlign w:val="center"/>
          </w:tcPr>
          <w:p>
            <w:pPr>
              <w:jc w:val="center"/>
              <w:rPr>
                <w:rFonts w:hint="eastAsia" w:ascii="仿宋_GB2312" w:hAnsi="宋体" w:eastAsia="仿宋_GB2312"/>
                <w:sz w:val="18"/>
                <w:szCs w:val="18"/>
              </w:rPr>
            </w:pPr>
          </w:p>
        </w:tc>
        <w:tc>
          <w:tcPr>
            <w:tcW w:w="776"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shd w:val="clear" w:color="auto" w:fill="auto"/>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shd w:val="clear" w:color="auto" w:fill="auto"/>
            <w:vAlign w:val="center"/>
          </w:tcPr>
          <w:p>
            <w:pPr>
              <w:jc w:val="center"/>
              <w:rPr>
                <w:rFonts w:hint="eastAsia" w:ascii="仿宋_GB2312" w:hAnsi="宋体" w:eastAsia="仿宋_GB2312" w:cs="宋体"/>
                <w:sz w:val="18"/>
                <w:szCs w:val="18"/>
              </w:rPr>
            </w:pPr>
          </w:p>
        </w:tc>
        <w:tc>
          <w:tcPr>
            <w:tcW w:w="776" w:type="dxa"/>
            <w:shd w:val="clear" w:color="auto" w:fill="auto"/>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vAlign w:val="center"/>
          </w:tcPr>
          <w:p>
            <w:pPr>
              <w:rPr>
                <w:rFonts w:hint="eastAsia" w:ascii="仿宋_GB2312" w:eastAsia="仿宋_GB2312"/>
                <w:sz w:val="18"/>
                <w:szCs w:val="18"/>
              </w:rPr>
            </w:pP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continue"/>
            <w:vAlign w:val="center"/>
          </w:tcPr>
          <w:p>
            <w:pPr>
              <w:rPr>
                <w:rFonts w:ascii="Wingdings 2" w:hAnsi="Wingdings 2" w:cs="宋体"/>
                <w:sz w:val="18"/>
                <w:szCs w:val="18"/>
              </w:rPr>
            </w:pPr>
          </w:p>
        </w:tc>
        <w:tc>
          <w:tcPr>
            <w:tcW w:w="720" w:type="dxa"/>
            <w:shd w:val="clear" w:color="auto" w:fill="auto"/>
            <w:vAlign w:val="center"/>
          </w:tcPr>
          <w:p>
            <w:pPr>
              <w:jc w:val="center"/>
              <w:rPr>
                <w:rFonts w:ascii="宋体" w:hAnsi="宋体" w:cs="宋体"/>
                <w:sz w:val="18"/>
                <w:szCs w:val="18"/>
              </w:rPr>
            </w:pPr>
            <w:r>
              <w:rPr>
                <w:rFonts w:hint="eastAsia"/>
                <w:sz w:val="18"/>
                <w:szCs w:val="18"/>
              </w:rPr>
              <w:t>√</w:t>
            </w:r>
          </w:p>
        </w:tc>
        <w:tc>
          <w:tcPr>
            <w:tcW w:w="900" w:type="dxa"/>
            <w:shd w:val="clear" w:color="auto" w:fill="auto"/>
            <w:vAlign w:val="center"/>
          </w:tcPr>
          <w:p>
            <w:pPr>
              <w:jc w:val="center"/>
              <w:rPr>
                <w:rFonts w:ascii="宋体" w:hAnsi="宋体" w:cs="宋体"/>
                <w:sz w:val="18"/>
                <w:szCs w:val="18"/>
              </w:rPr>
            </w:pPr>
            <w:r>
              <w:rPr>
                <w:rFonts w:hint="eastAsia"/>
                <w:sz w:val="18"/>
                <w:szCs w:val="18"/>
              </w:rPr>
              <w:t>　</w:t>
            </w:r>
          </w:p>
        </w:tc>
        <w:tc>
          <w:tcPr>
            <w:tcW w:w="788" w:type="dxa"/>
            <w:shd w:val="clear" w:color="auto" w:fill="auto"/>
            <w:vAlign w:val="center"/>
          </w:tcPr>
          <w:p>
            <w:pPr>
              <w:jc w:val="center"/>
              <w:rPr>
                <w:rFonts w:ascii="宋体" w:hAnsi="宋体" w:cs="宋体"/>
                <w:sz w:val="18"/>
                <w:szCs w:val="18"/>
              </w:rPr>
            </w:pPr>
            <w:r>
              <w:rPr>
                <w:rFonts w:hint="eastAsia"/>
                <w:sz w:val="18"/>
                <w:szCs w:val="18"/>
              </w:rPr>
              <w:t>√</w:t>
            </w:r>
          </w:p>
        </w:tc>
        <w:tc>
          <w:tcPr>
            <w:tcW w:w="900" w:type="dxa"/>
            <w:shd w:val="clear" w:color="auto" w:fill="auto"/>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vAlign w:val="center"/>
          </w:tcPr>
          <w:p>
            <w:pPr>
              <w:rPr>
                <w:rFonts w:hint="eastAsia" w:ascii="仿宋_GB2312" w:eastAsia="仿宋_GB2312"/>
                <w:sz w:val="18"/>
                <w:szCs w:val="18"/>
              </w:rPr>
            </w:pPr>
            <w:r>
              <w:rPr>
                <w:rFonts w:hint="eastAsia" w:ascii="仿宋_GB2312" w:eastAsia="仿宋_GB2312"/>
                <w:sz w:val="18"/>
                <w:szCs w:val="18"/>
                <w:lang w:eastAsia="zh-CN"/>
              </w:rPr>
              <w:t>《中华人民共和国行政处罚法》</w:t>
            </w: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》、《国务院办公厅关于推进公共资源配置领域政府信息公开的意见》</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集中采购机构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采购人或者其委托的采购代理机构</w:t>
            </w:r>
          </w:p>
        </w:tc>
        <w:tc>
          <w:tcPr>
            <w:tcW w:w="1856" w:type="dxa"/>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采购人</w:t>
            </w:r>
          </w:p>
        </w:tc>
        <w:tc>
          <w:tcPr>
            <w:tcW w:w="1856" w:type="dxa"/>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restart"/>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shd w:val="clear" w:color="auto" w:fill="auto"/>
            <w:vAlign w:val="center"/>
          </w:tcPr>
          <w:p>
            <w:pPr>
              <w:jc w:val="cente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vAlign w:val="center"/>
          </w:tcPr>
          <w:p>
            <w:pPr>
              <w:rPr>
                <w:rFonts w:ascii="仿宋_GB2312" w:eastAsia="仿宋_GB2312"/>
                <w:sz w:val="18"/>
                <w:szCs w:val="18"/>
              </w:rPr>
            </w:pPr>
            <w:r>
              <w:rPr>
                <w:rFonts w:hint="eastAsia" w:ascii="仿宋_GB2312" w:eastAsia="仿宋_GB2312"/>
                <w:sz w:val="18"/>
                <w:szCs w:val="18"/>
              </w:rPr>
              <w:t>财政部门</w:t>
            </w:r>
          </w:p>
        </w:tc>
        <w:tc>
          <w:tcPr>
            <w:tcW w:w="1856" w:type="dxa"/>
            <w:vMerge w:val="continue"/>
            <w:vAlign w:val="center"/>
          </w:tcPr>
          <w:p>
            <w:pPr>
              <w:rPr>
                <w:rFonts w:ascii="仿宋_GB2312" w:eastAsia="仿宋_GB2312"/>
                <w:sz w:val="18"/>
                <w:szCs w:val="18"/>
              </w:rPr>
            </w:pP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27</w:t>
            </w:r>
          </w:p>
        </w:tc>
        <w:tc>
          <w:tcPr>
            <w:tcW w:w="900" w:type="dxa"/>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28</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29</w:t>
            </w:r>
          </w:p>
        </w:tc>
        <w:tc>
          <w:tcPr>
            <w:tcW w:w="900" w:type="dxa"/>
            <w:vMerge w:val="continue"/>
            <w:shd w:val="clear" w:color="auto" w:fill="auto"/>
            <w:vAlign w:val="center"/>
          </w:tcPr>
          <w:p>
            <w:pP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30</w:t>
            </w:r>
          </w:p>
        </w:tc>
        <w:tc>
          <w:tcPr>
            <w:tcW w:w="900" w:type="dxa"/>
            <w:vMerge w:val="restart"/>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转让方</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31</w:t>
            </w:r>
          </w:p>
        </w:tc>
        <w:tc>
          <w:tcPr>
            <w:tcW w:w="900" w:type="dxa"/>
            <w:vMerge w:val="continue"/>
            <w:shd w:val="clear" w:color="auto" w:fill="auto"/>
            <w:vAlign w:val="center"/>
          </w:tcPr>
          <w:p>
            <w:pPr>
              <w:rPr>
                <w:rFonts w:hint="eastAsia" w:ascii="仿宋_GB2312" w:eastAsia="仿宋_GB2312"/>
                <w:sz w:val="18"/>
                <w:szCs w:val="18"/>
              </w:rPr>
            </w:pPr>
          </w:p>
        </w:tc>
        <w:tc>
          <w:tcPr>
            <w:tcW w:w="776" w:type="dxa"/>
            <w:shd w:val="clear" w:color="auto" w:fill="auto"/>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vAlign w:val="center"/>
          </w:tcPr>
          <w:p>
            <w:pPr>
              <w:rPr>
                <w:rFonts w:ascii="仿宋_GB2312" w:eastAsia="仿宋_GB2312"/>
                <w:sz w:val="18"/>
                <w:szCs w:val="18"/>
              </w:rPr>
            </w:pPr>
            <w:r>
              <w:rPr>
                <w:rFonts w:hint="eastAsia" w:ascii="仿宋_GB2312" w:eastAsia="仿宋_GB2312"/>
                <w:sz w:val="18"/>
                <w:szCs w:val="18"/>
              </w:rPr>
              <w:t>产权交易机构</w:t>
            </w:r>
          </w:p>
        </w:tc>
        <w:tc>
          <w:tcPr>
            <w:tcW w:w="1856" w:type="dxa"/>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c>
          <w:tcPr>
            <w:tcW w:w="788" w:type="dxa"/>
            <w:shd w:val="clear" w:color="auto" w:fill="auto"/>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shd w:val="clear" w:color="auto" w:fill="auto"/>
            <w:vAlign w:val="center"/>
          </w:tcPr>
          <w:p>
            <w:pPr>
              <w:rPr>
                <w:rFonts w:ascii="仿宋_GB2312" w:eastAsia="仿宋_GB2312"/>
                <w:sz w:val="18"/>
                <w:szCs w:val="18"/>
              </w:rPr>
            </w:pPr>
            <w:r>
              <w:rPr>
                <w:rFonts w:hint="eastAsia" w:ascii="仿宋_GB2312" w:eastAsia="仿宋_GB2312"/>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0ZjUyMzQ1ZDEwN2FiYzE2OTQzYzcwODIxYzMwY2IifQ=="/>
  </w:docVars>
  <w:rsids>
    <w:rsidRoot w:val="00416393"/>
    <w:rsid w:val="001E6D63"/>
    <w:rsid w:val="002967AA"/>
    <w:rsid w:val="00416393"/>
    <w:rsid w:val="1A67391A"/>
    <w:rsid w:val="22C053B8"/>
    <w:rsid w:val="6E5B310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1464</Words>
  <Characters>8350</Characters>
  <Lines>69</Lines>
  <Paragraphs>19</Paragraphs>
  <TotalTime>18</TotalTime>
  <ScaleCrop>false</ScaleCrop>
  <LinksUpToDate>false</LinksUpToDate>
  <CharactersWithSpaces>9795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2020-03-06T04:04:00Z</dcterms:created>
  <dc:creator>tai yuzhu</dc:creator>
  <cp:lastModifiedBy>绿茶咖啡</cp:lastModifiedBy>
  <dcterms:modified xsi:type="dcterms:W3CDTF">2024-03-20T08:25:14Z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5EB1D261AF00481D9618F6DF8510149F_12</vt:lpwstr>
  </property>
</Properties>
</file>