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1968"/>
          <w:tab w:val="center" w:pos="7259"/>
        </w:tabs>
        <w:kinsoku/>
        <w:wordWrap/>
        <w:overflowPunct/>
        <w:topLinePunct w:val="0"/>
        <w:autoSpaceDE/>
        <w:autoSpaceDN/>
        <w:bidi w:val="0"/>
        <w:adjustRightInd/>
        <w:snapToGrid/>
        <w:spacing w:line="560" w:lineRule="exact"/>
        <w:ind w:left="0" w:leftChars="0" w:firstLine="300" w:firstLineChars="100"/>
        <w:jc w:val="both"/>
        <w:textAlignment w:val="auto"/>
        <w:rPr>
          <w:rFonts w:hint="default" w:ascii="Times New Roman" w:hAnsi="Times New Roman" w:eastAsia="仿宋_GB2312" w:cs="Times New Roman"/>
          <w:b w:val="0"/>
          <w:bCs w:val="0"/>
          <w:kern w:val="2"/>
          <w:sz w:val="33"/>
          <w:szCs w:val="20"/>
          <w:lang w:val="en-US" w:eastAsia="zh-CN" w:bidi="ar-SA"/>
        </w:rPr>
      </w:pPr>
      <w:r>
        <w:rPr>
          <w:rFonts w:hint="eastAsia" w:ascii="方正小标宋_GBK" w:hAnsi="方正小标宋_GBK" w:eastAsia="方正小标宋_GBK" w:cs="方正小标宋_GBK"/>
          <w:b w:val="0"/>
          <w:bCs w:val="0"/>
          <w:kern w:val="2"/>
          <w:sz w:val="30"/>
          <w:szCs w:val="30"/>
          <w:lang w:val="en-US" w:eastAsia="zh-CN" w:bidi="ar-SA"/>
        </w:rPr>
        <w:t>附件1</w:t>
      </w:r>
      <w:r>
        <w:rPr>
          <w:rFonts w:hint="eastAsia" w:ascii="方正小标宋_GBK" w:hAnsi="方正小标宋_GBK" w:eastAsia="方正小标宋_GBK" w:cs="方正小标宋_GBK"/>
          <w:b w:val="0"/>
          <w:bCs w:val="0"/>
          <w:kern w:val="2"/>
          <w:sz w:val="44"/>
          <w:szCs w:val="44"/>
          <w:lang w:val="en-US" w:eastAsia="zh-CN" w:bidi="ar-SA"/>
        </w:rPr>
        <w:t>：</w:t>
      </w:r>
      <w:r>
        <w:rPr>
          <w:rFonts w:hint="eastAsia" w:ascii="Times New Roman" w:hAnsi="Times New Roman" w:eastAsia="方正小标宋简体" w:cs="Times New Roman"/>
          <w:b w:val="0"/>
          <w:bCs w:val="0"/>
          <w:kern w:val="2"/>
          <w:sz w:val="44"/>
          <w:szCs w:val="44"/>
          <w:lang w:val="en-US" w:eastAsia="zh-CN" w:bidi="ar-SA"/>
        </w:rPr>
        <w:t xml:space="preserve">                  </w:t>
      </w:r>
      <w:r>
        <w:rPr>
          <w:rFonts w:hint="default" w:ascii="Times New Roman" w:hAnsi="Times New Roman" w:eastAsia="方正小标宋简体" w:cs="Times New Roman"/>
          <w:b w:val="0"/>
          <w:bCs w:val="0"/>
          <w:kern w:val="2"/>
          <w:sz w:val="44"/>
          <w:szCs w:val="44"/>
          <w:lang w:val="en-US" w:eastAsia="zh-CN" w:bidi="ar-SA"/>
        </w:rPr>
        <w:t>复审任务分解表</w:t>
      </w:r>
    </w:p>
    <w:p>
      <w:pPr>
        <w:pStyle w:val="2"/>
        <w:ind w:left="0" w:leftChars="0" w:firstLine="330" w:firstLineChars="100"/>
        <w:jc w:val="center"/>
        <w:rPr>
          <w:rFonts w:hint="default" w:ascii="Times New Roman" w:hAnsi="Times New Roman" w:eastAsia="仿宋_GB2312" w:cs="Times New Roman"/>
          <w:b w:val="0"/>
          <w:bCs w:val="0"/>
          <w:kern w:val="2"/>
          <w:sz w:val="33"/>
          <w:szCs w:val="20"/>
          <w:lang w:val="en-US" w:eastAsia="zh-CN" w:bidi="ar-SA"/>
        </w:rPr>
      </w:pPr>
    </w:p>
    <w:tbl>
      <w:tblPr>
        <w:tblStyle w:val="3"/>
        <w:tblW w:w="125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3"/>
        <w:gridCol w:w="1148"/>
        <w:gridCol w:w="980"/>
        <w:gridCol w:w="4634"/>
        <w:gridCol w:w="2810"/>
        <w:gridCol w:w="1362"/>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国家卫生城市标准</w:t>
            </w:r>
          </w:p>
        </w:tc>
        <w:tc>
          <w:tcPr>
            <w:tcW w:w="4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工作任务</w:t>
            </w:r>
          </w:p>
        </w:tc>
        <w:tc>
          <w:tcPr>
            <w:tcW w:w="2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责任部门</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测评方式</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类别</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项目</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1"/>
                <w:szCs w:val="21"/>
                <w:u w:val="none"/>
              </w:rPr>
            </w:pPr>
            <w:r>
              <w:rPr>
                <w:rFonts w:hint="default" w:ascii="Times New Roman" w:hAnsi="Times New Roman" w:eastAsia="黑体" w:cs="Times New Roman"/>
                <w:b/>
                <w:bCs/>
                <w:i w:val="0"/>
                <w:iCs w:val="0"/>
                <w:color w:val="000000"/>
                <w:kern w:val="0"/>
                <w:sz w:val="21"/>
                <w:szCs w:val="21"/>
                <w:u w:val="none"/>
                <w:lang w:val="en-US" w:eastAsia="zh-CN" w:bidi="ar"/>
              </w:rPr>
              <w:t>子项目</w:t>
            </w:r>
          </w:p>
        </w:tc>
        <w:tc>
          <w:tcPr>
            <w:tcW w:w="4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1"/>
                <w:szCs w:val="21"/>
                <w:u w:val="none"/>
              </w:rPr>
            </w:pPr>
          </w:p>
        </w:tc>
        <w:tc>
          <w:tcPr>
            <w:tcW w:w="2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黑体" w:cs="Times New Roman"/>
                <w:b/>
                <w:bCs/>
                <w:i w:val="0"/>
                <w:iCs w:val="0"/>
                <w:color w:val="000000"/>
                <w:sz w:val="21"/>
                <w:szCs w:val="21"/>
                <w:u w:val="none"/>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1"/>
                <w:szCs w:val="21"/>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一 爱国卫生组织管理     </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党政</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重视</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1）近三年政府工作报告中有爱国卫生或卫生创建内容</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2）印发贯彻《意见》《规划纲要》文件，落实相关工作</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3）爱国卫生法规或规章体系健全完善</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4）将爱国卫生相关内容列入经济社会发展规划</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5）爱国卫生工作列入政府年度绩效考核</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工作</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网络</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1）爱卫会组织健全，机构、职能、人员等配备能适应工作需要，经费纳入财政预算</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财政局</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2）爱卫会成员单位职责分工明确、责任落实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3）机关、企事业单位有专兼职爱国卫生工作人员</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4）社区（村）设置公共卫生委员会</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各苏木镇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工作</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情况</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1）年度有计划、有部署、有检查、有总结</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2）国家卫生县（乡镇）及其他基层卫生创建活动</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各镇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3）组织开展各类群众性爱国卫生活动</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4）开展健康影响评估</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5）国土空间规划和城市建设规划中有应对突发公共卫生事件内容，并有相关预案</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自然资源局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（四）</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群众</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监督</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1）爱国卫生投诉流程规范，受理、反馈及时</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2）群众满意度调查</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3）爱国卫生宣传氛围浓厚，醒目位置设置国家卫生城市（县）标识</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783" w:type="dxa"/>
            <w:vMerge w:val="restart"/>
            <w:tcBorders>
              <w:top w:val="single" w:color="000000" w:sz="4" w:space="0"/>
              <w:left w:val="single" w:color="000000" w:sz="4" w:space="0"/>
              <w:right w:val="single" w:color="000000" w:sz="4" w:space="0"/>
            </w:tcBorders>
            <w:shd w:val="clear" w:color="auto" w:fill="auto"/>
            <w:textDirection w:val="tbRlV"/>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b/>
                <w:bCs/>
                <w:i w:val="0"/>
                <w:iCs w:val="0"/>
                <w:color w:val="000000"/>
                <w:kern w:val="0"/>
                <w:sz w:val="21"/>
                <w:szCs w:val="21"/>
                <w:u w:val="none"/>
                <w:lang w:val="en-US" w:eastAsia="zh-CN" w:bidi="ar"/>
              </w:rPr>
            </w:pPr>
          </w:p>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b/>
                <w:bCs/>
                <w:i w:val="0"/>
                <w:iCs w:val="0"/>
                <w:color w:val="000000"/>
                <w:kern w:val="0"/>
                <w:sz w:val="21"/>
                <w:szCs w:val="21"/>
                <w:u w:val="none"/>
                <w:lang w:val="en-US" w:eastAsia="zh-CN" w:bidi="ar"/>
              </w:rPr>
            </w:pPr>
            <w:r>
              <w:rPr>
                <w:rFonts w:hint="default" w:ascii="Times New Roman" w:hAnsi="Times New Roman" w:eastAsia="宋体" w:cs="Times New Roman"/>
                <w:b/>
                <w:bCs/>
                <w:i w:val="0"/>
                <w:iCs w:val="0"/>
                <w:color w:val="000000"/>
                <w:kern w:val="0"/>
                <w:sz w:val="21"/>
                <w:szCs w:val="21"/>
                <w:u w:val="none"/>
                <w:lang w:val="en-US" w:eastAsia="zh-CN" w:bidi="ar"/>
              </w:rPr>
              <w:t>二 健康教育和健康促进</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（五）</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健康</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素养</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1）政府及行业部门、单位健康教育组织网络健全，组织开展健康科普活动</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83" w:type="dxa"/>
            <w:vMerge w:val="continue"/>
            <w:tcBorders>
              <w:left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2）定期开展健康素养监测</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83" w:type="dxa"/>
            <w:vMerge w:val="continue"/>
            <w:tcBorders>
              <w:left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3）媒体健康教育宣传</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融媒体中心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jc w:val="center"/>
        </w:trPr>
        <w:tc>
          <w:tcPr>
            <w:tcW w:w="783" w:type="dxa"/>
            <w:vMerge w:val="continue"/>
            <w:tcBorders>
              <w:left w:val="single" w:color="000000"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社区：健康教育工作计划、总结，根据社区布局特点，积极组织群众广泛参与健康社区健康教育活动。设置健康教育专栏，内容及时更新、底稿留存完整，开展健康教育讲座、照片或签到表、讲稿或健康教育音像留存完整</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嘎鲁图镇</w:t>
            </w:r>
            <w:r>
              <w:rPr>
                <w:rFonts w:hint="default" w:ascii="Times New Roman" w:hAnsi="Times New Roman" w:eastAsia="宋体" w:cs="Times New Roman"/>
                <w:i w:val="0"/>
                <w:iCs w:val="0"/>
                <w:color w:val="000000"/>
                <w:kern w:val="0"/>
                <w:sz w:val="21"/>
                <w:szCs w:val="21"/>
                <w:u w:val="none"/>
                <w:lang w:val="en-US" w:eastAsia="zh-CN" w:bidi="ar"/>
              </w:rPr>
              <w:t>人民政府</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783" w:type="dxa"/>
            <w:vMerge w:val="continue"/>
            <w:tcBorders>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5）医院：根据医院各科室诊疗范围，积极开展病人及家属专项健康教育工作，提倡开设健康教育免费课堂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6）学校：按照教育部中小学健康教育工作指导纲要开展形式多样的健康教育教学活动。学校健康教育教材、教案、课时安排</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教体局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7）街道社区、城乡结合部等基层健康教育</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嘎鲁图</w:t>
            </w:r>
            <w:r>
              <w:rPr>
                <w:rFonts w:hint="default" w:ascii="Times New Roman" w:hAnsi="Times New Roman" w:eastAsia="宋体" w:cs="Times New Roman"/>
                <w:i w:val="0"/>
                <w:iCs w:val="0"/>
                <w:color w:val="000000"/>
                <w:kern w:val="0"/>
                <w:sz w:val="21"/>
                <w:szCs w:val="21"/>
                <w:u w:val="none"/>
                <w:lang w:val="en-US" w:eastAsia="zh-CN" w:bidi="ar"/>
              </w:rPr>
              <w:t>镇人民政府</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8）机场、车站、广场等窗口单位多种形式的健康宣传</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交通局</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9）开展中医养生保健知识和方法普及行动</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10）健康县区、健康乡镇、健康细胞建设</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明查（10分）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（六）</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           全民</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健身</w:t>
            </w: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1）健康步道、健康主题公园等建设</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爱卫办</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2）15分钟健身圈</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教体局</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3）公共体育设施免费或低收费开放</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教体局</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4）开展群众性健身活动</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教体局     </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（七）</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烟草</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控制</w:t>
            </w: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1）媒体及社会各单位控烟宣传</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2）无烟草广告</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3）禁烟场所无吸烟现象</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4）车站（机场）候车（机）厅、售票厅，网吧，医疗机构，机关，学校，公交车，出租车等公共场所禁止吸烟，设有禁烟标识。</w:t>
            </w:r>
          </w:p>
        </w:tc>
        <w:tc>
          <w:tcPr>
            <w:tcW w:w="2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所有单位（按照职能职责）</w:t>
            </w:r>
          </w:p>
        </w:tc>
        <w:tc>
          <w:tcPr>
            <w:tcW w:w="1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5）定期开展烟草流行监测</w:t>
            </w:r>
          </w:p>
        </w:tc>
        <w:tc>
          <w:tcPr>
            <w:tcW w:w="2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三 市容环境卫生</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（八）</w:t>
            </w:r>
          </w:p>
        </w:tc>
        <w:tc>
          <w:tcPr>
            <w:tcW w:w="98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城市</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容貌</w:t>
            </w: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1）城市道路（含背街、商业街）功能完善、整洁有序。</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2）户外广告、建筑立面干净整洁</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Style w:val="5"/>
                <w:rFonts w:hint="default" w:ascii="Times New Roman" w:hAnsi="Times New Roman" w:cs="Times New Roman"/>
                <w:sz w:val="21"/>
                <w:szCs w:val="21"/>
                <w:lang w:val="en-US" w:eastAsia="zh-CN" w:bidi="ar"/>
              </w:rPr>
              <w:t xml:space="preserve">   住建</w:t>
            </w:r>
            <w:r>
              <w:rPr>
                <w:rFonts w:hint="default" w:ascii="Times New Roman" w:hAnsi="Times New Roman" w:eastAsia="宋体" w:cs="Times New Roman"/>
                <w:i w:val="0"/>
                <w:iCs w:val="0"/>
                <w:color w:val="000000"/>
                <w:kern w:val="0"/>
                <w:sz w:val="21"/>
                <w:szCs w:val="21"/>
                <w:u w:val="none"/>
                <w:lang w:val="en-US" w:eastAsia="zh-CN" w:bidi="ar"/>
              </w:rPr>
              <w:t>局</w:t>
            </w:r>
            <w:r>
              <w:rPr>
                <w:rFonts w:hint="eastAsia" w:ascii="Times New Roman" w:hAnsi="Times New Roman" w:eastAsia="宋体" w:cs="Times New Roman"/>
                <w:i w:val="0"/>
                <w:iCs w:val="0"/>
                <w:color w:val="000000"/>
                <w:kern w:val="0"/>
                <w:sz w:val="21"/>
                <w:szCs w:val="21"/>
                <w:u w:val="none"/>
                <w:lang w:val="en-US" w:eastAsia="zh-CN" w:bidi="ar"/>
              </w:rPr>
              <w:t>、城市管理执法局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3）窨井盖完好，基本消除易涝积水点</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4）照明设施、果皮箱及其他道路附属设施设置规范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5）“十乱”整治达标</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城市管理</w:t>
            </w:r>
            <w:r>
              <w:rPr>
                <w:rFonts w:hint="eastAsia" w:ascii="Times New Roman" w:hAnsi="Times New Roman" w:eastAsia="宋体" w:cs="Times New Roman"/>
                <w:i w:val="0"/>
                <w:iCs w:val="0"/>
                <w:color w:val="000000"/>
                <w:kern w:val="0"/>
                <w:sz w:val="21"/>
                <w:szCs w:val="21"/>
                <w:u w:val="none"/>
                <w:lang w:val="en-US" w:eastAsia="zh-CN" w:bidi="ar"/>
              </w:rPr>
              <w:t>执法局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6)“门前五包”制度落实到位</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城市管理</w:t>
            </w:r>
            <w:r>
              <w:rPr>
                <w:rFonts w:hint="eastAsia" w:ascii="Times New Roman" w:hAnsi="Times New Roman" w:eastAsia="宋体" w:cs="Times New Roman"/>
                <w:i w:val="0"/>
                <w:iCs w:val="0"/>
                <w:color w:val="000000"/>
                <w:kern w:val="0"/>
                <w:sz w:val="21"/>
                <w:szCs w:val="21"/>
                <w:u w:val="none"/>
                <w:lang w:val="en-US" w:eastAsia="zh-CN" w:bidi="ar"/>
              </w:rPr>
              <w:t>执法</w:t>
            </w:r>
            <w:r>
              <w:rPr>
                <w:rFonts w:hint="default" w:ascii="Times New Roman" w:hAnsi="Times New Roman" w:eastAsia="宋体" w:cs="Times New Roman"/>
                <w:i w:val="0"/>
                <w:iCs w:val="0"/>
                <w:color w:val="000000"/>
                <w:kern w:val="0"/>
                <w:sz w:val="21"/>
                <w:szCs w:val="21"/>
                <w:u w:val="none"/>
                <w:lang w:val="en-US" w:eastAsia="zh-CN" w:bidi="ar"/>
              </w:rPr>
              <w:t>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7）清扫保洁责任落实，着装及操作规范，无卫生死角</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所有单位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8）在建工地管理规范，文明施工措施齐全，环境整洁</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住建局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9）河道、湖泊等水体及岸坡整洁，无污水直排现象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10）畜禽和野生动物饲养符合规定</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农牧局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11）拆迁（待建）工地管理规范，文明施工措施齐全，环境整洁</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住建局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三 市容环境卫生</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（九）</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园林</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绿化</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1）绿地完成规划、布局合理</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2）公园、道路绿化及其他绿地建设规范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3）绿地养护良好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4）绿地环境整洁有序</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         垃圾与</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污水</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1）推行垃圾减量化、资源化和无害化</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2）生活垃圾分类收运、密闭存放、及时清运、整洁规范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3）生活垃圾处理设施分类配置、运行达标</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4）建筑垃圾密闭运输，推行无害化处置和资源化利用</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住建局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5）管网覆盖和污水收集达标</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6）污水处理厂运行规范、达标排放</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7）船舶污染物治理效果良好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8）塑料垃圾治理效果良好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9）再生资源回收体系完善</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厕所</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革命</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1）公厕配置完善、卫生达标、免费开放</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2）重点行业、重点单位公厕达到二类</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3）无旱厕</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4）化粪池等粪便设施安全规范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5）卫生制度、农残检测等公示并及时更新</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6）商品摆放整齐，管理有序，干净整洁</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7）场地、公厕、排水等设施规范配建</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市场</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1）流动商贩及早夜市定时定点定品种管理，干净清洁，管理规范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城市</w:t>
            </w:r>
            <w:r>
              <w:rPr>
                <w:rFonts w:hint="eastAsia" w:ascii="Times New Roman" w:hAnsi="Times New Roman" w:eastAsia="宋体" w:cs="Times New Roman"/>
                <w:i w:val="0"/>
                <w:iCs w:val="0"/>
                <w:color w:val="000000"/>
                <w:kern w:val="0"/>
                <w:sz w:val="21"/>
                <w:szCs w:val="21"/>
                <w:u w:val="none"/>
                <w:lang w:val="en-US" w:eastAsia="zh-CN" w:bidi="ar"/>
              </w:rPr>
              <w:t>管理</w:t>
            </w:r>
            <w:r>
              <w:rPr>
                <w:rFonts w:hint="default" w:ascii="Times New Roman" w:hAnsi="Times New Roman" w:eastAsia="宋体" w:cs="Times New Roman"/>
                <w:i w:val="0"/>
                <w:iCs w:val="0"/>
                <w:color w:val="000000"/>
                <w:kern w:val="0"/>
                <w:sz w:val="21"/>
                <w:szCs w:val="21"/>
                <w:u w:val="none"/>
                <w:lang w:val="en-US" w:eastAsia="zh-CN" w:bidi="ar"/>
              </w:rPr>
              <w:t>执法局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2）餐饮、散装食品等摊贩食品安全基本达标，不污染周边环境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3）活禽经营区域相对独立、设施完善、隔离宰杀</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4）废弃物处置及卫生管理规范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5）活禽市场定期休市和清洗消毒</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6）野生动物非法交易和宰</w:t>
            </w:r>
            <w:bookmarkStart w:id="0" w:name="_GoBack"/>
            <w:bookmarkEnd w:id="0"/>
            <w:r>
              <w:rPr>
                <w:rFonts w:hint="default" w:ascii="Times New Roman" w:hAnsi="Times New Roman" w:eastAsia="宋体" w:cs="Times New Roman"/>
                <w:i w:val="0"/>
                <w:iCs w:val="0"/>
                <w:color w:val="000000"/>
                <w:kern w:val="0"/>
                <w:sz w:val="21"/>
                <w:szCs w:val="21"/>
                <w:u w:val="none"/>
                <w:lang w:val="en-US" w:eastAsia="zh-CN" w:bidi="ar"/>
              </w:rPr>
              <w:t>杀行为有效控制</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农牧局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三 市容环境卫生</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（十）</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社区单位与城乡结合部卫生</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1）保洁全覆盖</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2）垃圾容器分类配置，垃圾分类收运、及时清运</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3）公厕、垃圾站点等环卫设施配置齐全，运行良好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4）道路硬化平整，照明设施全覆盖</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5）绿化管护良好，庭院绿化美化</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6）再生资源回收站点配置完善、管理规范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7）环境卫生整治达标，无暴露垃圾、卫生死角和其他“十乱”现象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r>
              <w:rPr>
                <w:rFonts w:hint="eastAsia" w:ascii="Times New Roman" w:hAnsi="Times New Roman" w:eastAsia="宋体" w:cs="Times New Roman"/>
                <w:i w:val="0"/>
                <w:iCs w:val="0"/>
                <w:color w:val="000000"/>
                <w:kern w:val="0"/>
                <w:sz w:val="21"/>
                <w:szCs w:val="21"/>
                <w:u w:val="none"/>
                <w:lang w:val="en-US" w:eastAsia="zh-CN" w:bidi="ar"/>
              </w:rPr>
              <w:t>、创城片区责任单位、城市管理执法局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8）无违规饲养和散养畜禽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农牧局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9）铁路沿线环境整治达标，无轻飘物品、垃圾积存和其他“十乱”现象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各苏木镇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四 生态环境卫生</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（十一）</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重大</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事故</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1）近3年辖区内未发生重大环境污染和生态破坏事故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2）突发环境事件应急体系完善，制定预案并进行演练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3）餐饮单位油烟净化符合要求，无油烟直排、油泥污染立面现象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4）废弃气污染控制措施落实到位</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大气、噪声与水环境</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1）无秸秆、垃圾露天焚烧及烟囱排黑烟现象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2）无噪音扰民</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城市管理执法局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3）禁鸣措施落实情况                             </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交管大队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4）水源地一级保护区水质达标率</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5）集中式饮用水水源地管理规范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水利局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6）水环境功能区达到要求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7）未划定功能区无黑臭水体</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医疗废物与污水处理</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1）医疗废物无害化分类、收集、运转、处置等过程符合国家要求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卫健委、</w:t>
            </w: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医疗废物处置厂达标排放</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卫健委、</w:t>
            </w: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3）医疗废物暂时贮存场所规范，标识明显</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卫健委、</w:t>
            </w: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4）医疗污水收集、处理、消毒和排放符合国家及地方有关要求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卫健委、</w:t>
            </w:r>
            <w:r>
              <w:rPr>
                <w:rFonts w:hint="default" w:ascii="Times New Roman" w:hAnsi="Times New Roman" w:eastAsia="宋体" w:cs="Times New Roman"/>
                <w:i w:val="0"/>
                <w:iCs w:val="0"/>
                <w:color w:val="000000"/>
                <w:kern w:val="0"/>
                <w:sz w:val="21"/>
                <w:szCs w:val="21"/>
                <w:u w:val="none"/>
                <w:lang w:val="en-US" w:eastAsia="zh-CN" w:bidi="ar"/>
              </w:rPr>
              <w:t>生态环境分局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五 重点场所卫生</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（十二）</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公共场所卫生管理</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1）实行公共场所卫生监督量化分级管理，规范开展卫生许可和卫生管理工作</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2）公共场所落实卫生管理要求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3）公共场所达到基本卫生要求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4）公共场所从业人员管理规范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5）四小行业卫生许可和从业人员管理规范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6）四小行业公共用品用具配备充足，规范进行更换、清洗、消毒、保洁</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暗访（8分）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7）四小行业卫生相关产品、公共用品用具、室内空气质量、水质符合有关标准规范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8）四小行业基本设置、设施设备及操作流程符合要求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暗访（8分）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9）美发店有皮肤病人专用工具，浴室有禁止性病、皮肤病患者入浴标识</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学校卫生</w:t>
            </w:r>
          </w:p>
        </w:tc>
        <w:tc>
          <w:tcPr>
            <w:tcW w:w="46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1）近3年辖区内无重大学校食物中毒事件</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教体局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2）教学、生活等环境符合要求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教体局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明查（5分）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3）传染病、常见病（包括近视、肥胖等）防控措施落实到位                            </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教体局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明查（5分）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职业病</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防治</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1）用人单位依法开展工作场所监测检测，健康体检，报告规范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明查（5分）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2）职业病危害事故报告及时规范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                     六 食品和生活饮用    </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（十三）</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工作机</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制建设</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1）近3年辖区内未发生重大食品安全事故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2）食品安全管理规范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3）食品安全突发事件应急体系完善，制定预案并进行演练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食品生产经营</w:t>
            </w: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1）依法经营、风险分级管理，管理制度等公示规范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2）从业人员管理规范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3）生产经营场所布局规范，符合卫生管理要求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4）推行明厨亮灶</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5）倡导公筷公勺</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6）制止餐饮浪费</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7）无贩卖、制售、食用野生动物现象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8）食品采购索证票和登记台账制度落实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9）设备齐全，食品加工、转运流程等管理规范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10）消毒设施齐全、操作规范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11）环境整洁，无卫生死角</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12）三小行业公示、基本设施规范，有独立上下水</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13）三小行业环境整洁，符合行业标准要求，“三防”设施落实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14）食品摊贩卫生良好，有防污染设施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15）食品摊贩管理规范，原辅材料安全，卫生可溯源</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left"/>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生活饮</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用水</w:t>
            </w:r>
          </w:p>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w:t>
            </w:r>
          </w:p>
        </w:tc>
        <w:tc>
          <w:tcPr>
            <w:tcW w:w="4634"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1）近3年辖区内无重大饮用水安全事故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住建局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left"/>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2）卫生管理规范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sz w:val="21"/>
                <w:szCs w:val="21"/>
                <w:u w:val="none"/>
                <w:lang w:eastAsia="zh-CN"/>
              </w:rPr>
              <w:t>卫健执法局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left"/>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3）饮用水安全突发事件应急体系完善，制定预案并进行演练                           </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住建局、水投公司</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left"/>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4）集中供水单位管理规范，水厂化验室设置、操作规范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住建局、水投公司</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left"/>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5）二次供水专人管理，安全、清洗消毒措施落实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left"/>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6）小区直饮水设施安全，管理规范，原水和出水水质符合要求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eastAsia="zh-CN"/>
              </w:rPr>
              <w:t>住建局、卫健执法局大队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七 疾病防控与医疗卫生服务</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（十四）</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传染病</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防控</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1）建立重大突发新发传染病联防联控机制，有防控方案和应急处置预案，培训和演练落实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2）重大传染病应急处置的人员设施设备和物资储备</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tLeast"/>
              <w:ind w:left="0" w:leftChars="0" w:firstLine="0" w:firstLineChars="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落实传染病防控“四早”和“四有”要求</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4）近3年辖区内未发生重大实验室生物安全事故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5）病原微生物实验室依法取得批准或备案</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6）医疗机构有传染病管理部门和人员；二级以上综合医院设公共卫生科和感染性疾病科；制度齐全，管理规范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7）发热门诊、肠道门诊、预检分诊设置规范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健康</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1）慢性病防治规划、措施落实，基层慢性病服务建设到位</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明查（6分）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2）接种门诊制度上墙，程序清晰，设置、流程规范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3）接种卡、簿、证记录及查漏补种等工作管理规范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4）落实母婴安全五项制度，妇幼业务开展到位</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5）开展医养结合服务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6）严重精神障碍患者管理规范，二级以上综合医院及精神专科医院开设心理门诊</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7）有重大事件心理应急预案，培训、演练、监测预警和救助工作落实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医疗</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1）医疗卫生服务体系健全，医疗机构建设符合要求、管理规范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2）15分钟基本医疗卫生服务圈</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3）交通枢纽、重点场所配置自动体外心脏除颤仪（AED），标示清楚</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红十字会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4）定期开展急救知识与技能培训</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红十字会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5）医疗机构投诉接待制度落实到位，二级及以上医院设置警务或治安室，标识明显、有人值守</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6）近3年辖区内无重特大刑事伤医案件</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7）建立血液库存动态预警机制，临床用血来自无偿献血</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8）非法行医、非法采供血和非法医疗广告的监管工作落实</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卫健执法大队</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9）接种门诊制度上墙，程序清晰，设置、流程规范</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卫健委</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783" w:type="dxa"/>
            <w:vMerge w:val="restart"/>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七 疾病防控与医疗卫生服务</w:t>
            </w:r>
          </w:p>
        </w:tc>
        <w:tc>
          <w:tcPr>
            <w:tcW w:w="11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（十五）</w:t>
            </w: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病媒生物监测与评估</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1）开展病媒控制评估，每年统一防制活动不少于两次</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2）有居民虫情报告和防制咨询渠道，及时反馈群众意见</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3）开展蚊蝇孳生地调查，并建立台账                         </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各相关单位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4）重点行业及重点场所病媒生物侵害调查</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各相关单位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明查（2分）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5）蚊、蝇、鼠、蟑螂等密度监测和抗药性监测</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imes New Roman" w:hAnsi="Times New Roman" w:eastAsia="宋体" w:cs="Times New Roman"/>
                <w:i w:val="0"/>
                <w:iCs w:val="0"/>
                <w:color w:val="000000"/>
                <w:sz w:val="21"/>
                <w:szCs w:val="21"/>
                <w:u w:val="none"/>
                <w:lang w:eastAsia="zh-CN"/>
              </w:rPr>
            </w:pPr>
            <w:r>
              <w:rPr>
                <w:rFonts w:hint="eastAsia" w:ascii="Times New Roman" w:hAnsi="Times New Roman" w:eastAsia="宋体" w:cs="Times New Roman"/>
                <w:i w:val="0"/>
                <w:iCs w:val="0"/>
                <w:color w:val="000000"/>
                <w:sz w:val="21"/>
                <w:szCs w:val="21"/>
                <w:u w:val="none"/>
                <w:lang w:eastAsia="zh-CN"/>
              </w:rPr>
              <w:t>疾控中心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明查（3分）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病媒生物控制</w:t>
            </w: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1）灭鼠毒饵站布放合理，用药规范，方法科学</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宋体" w:cs="Times New Roman"/>
                <w:i w:val="0"/>
                <w:iCs w:val="0"/>
                <w:color w:val="000000"/>
                <w:kern w:val="0"/>
                <w:sz w:val="21"/>
                <w:szCs w:val="21"/>
                <w:u w:val="none"/>
                <w:lang w:val="en-US" w:eastAsia="zh-CN" w:bidi="ar"/>
              </w:rPr>
              <w:t>月30日前整改完成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2）小型积水、大中型水体等蚊虫孳生地治理</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水利局</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3）生活垃圾、垃圾容器等苍蝇孳生地治理</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公用事业服务中心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4）食品行业和单位防蝇设施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各单位</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5）重点行业和单位防鼠设施</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6）鼠类密度控制情况</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7）蝇类密度控制情况</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8）蚊虫密度控制情况</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783" w:type="dxa"/>
            <w:vMerge w:val="continue"/>
            <w:tcBorders>
              <w:top w:val="single" w:color="auto"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default" w:ascii="Times New Roman" w:hAnsi="Times New Roman" w:eastAsia="宋体" w:cs="Times New Roman"/>
                <w:b/>
                <w:bCs/>
                <w:i w:val="0"/>
                <w:iCs w:val="0"/>
                <w:color w:val="000000"/>
                <w:sz w:val="21"/>
                <w:szCs w:val="21"/>
                <w:u w:val="none"/>
              </w:rPr>
            </w:pPr>
          </w:p>
        </w:tc>
        <w:tc>
          <w:tcPr>
            <w:tcW w:w="11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9）蟑螂密度控制情况</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爱卫办</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暗访（4分</w:t>
            </w: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685E27"/>
    <w:multiLevelType w:val="singleLevel"/>
    <w:tmpl w:val="CB685E2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zcwNWFmZmY4ODFmNzdjYmZiMmViMjcxZDMzNTgifQ=="/>
  </w:docVars>
  <w:rsids>
    <w:rsidRoot w:val="0D877D26"/>
    <w:rsid w:val="0486278D"/>
    <w:rsid w:val="069A7D6A"/>
    <w:rsid w:val="0C9632EE"/>
    <w:rsid w:val="0D877D26"/>
    <w:rsid w:val="131B412C"/>
    <w:rsid w:val="1D1E53EE"/>
    <w:rsid w:val="22215767"/>
    <w:rsid w:val="30D10F71"/>
    <w:rsid w:val="3E861EB3"/>
    <w:rsid w:val="46DA3884"/>
    <w:rsid w:val="4AF30386"/>
    <w:rsid w:val="5A6E0A5B"/>
    <w:rsid w:val="78256D25"/>
    <w:rsid w:val="7A3E0C0C"/>
    <w:rsid w:val="7DCF1263"/>
    <w:rsid w:val="7E071003"/>
    <w:rsid w:val="FF8ED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character" w:customStyle="1" w:styleId="5">
    <w:name w:val="font71"/>
    <w:basedOn w:val="4"/>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5943</Words>
  <Characters>5974</Characters>
  <Lines>0</Lines>
  <Paragraphs>0</Paragraphs>
  <TotalTime>17</TotalTime>
  <ScaleCrop>false</ScaleCrop>
  <LinksUpToDate>false</LinksUpToDate>
  <CharactersWithSpaces>6151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2023-03-22T17:00:00Z</dcterms:created>
  <dc:creator>王万清</dc:creator>
  <cp:lastModifiedBy>王晓宇</cp:lastModifiedBy>
  <cp:lastPrinted>2023-04-12T11:37:00Z</cp:lastPrinted>
  <dcterms:modified xsi:type="dcterms:W3CDTF">2023-04-12T10:07:10Z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04FE8293620C4A799FC8F9840CD54F07</vt:lpwstr>
  </property>
</Properties>
</file>