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003CA">
      <w:pPr>
        <w:keepNext w:val="0"/>
        <w:keepLines w:val="0"/>
        <w:pageBreakBefore w:val="0"/>
        <w:widowControl w:val="0"/>
        <w:kinsoku/>
        <w:wordWrap/>
        <w:overflowPunct/>
        <w:topLinePunct w:val="0"/>
        <w:autoSpaceDN/>
        <w:bidi w:val="0"/>
        <w:adjustRightInd/>
        <w:snapToGrid/>
        <w:spacing w:line="579" w:lineRule="exact"/>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乌审旗2024年1-7月主要经济指标分析</w:t>
      </w:r>
    </w:p>
    <w:p w14:paraId="1284068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b w:val="0"/>
          <w:bCs w:val="0"/>
          <w:sz w:val="32"/>
          <w:szCs w:val="32"/>
          <w:highlight w:val="none"/>
          <w:lang w:val="en-US" w:eastAsia="zh-CN"/>
        </w:rPr>
      </w:pPr>
    </w:p>
    <w:p w14:paraId="45CF4E6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9" w:lineRule="exact"/>
        <w:ind w:left="0" w:right="0" w:firstLine="640" w:firstLineChars="200"/>
        <w:jc w:val="both"/>
        <w:textAlignment w:val="auto"/>
        <w:rPr>
          <w:rFonts w:hint="eastAsia" w:ascii="仿宋_GB2312" w:eastAsia="仿宋_GB2312" w:cs="仿宋_GB2312"/>
          <w:b w:val="0"/>
          <w:bCs w:val="0"/>
          <w:kern w:val="2"/>
          <w:sz w:val="32"/>
          <w:szCs w:val="32"/>
          <w:lang w:val="en-US" w:eastAsia="zh-CN"/>
        </w:rPr>
      </w:pPr>
      <w:r>
        <w:rPr>
          <w:rFonts w:hint="eastAsia" w:ascii="仿宋_GB2312" w:eastAsia="仿宋_GB2312" w:cs="仿宋_GB2312"/>
          <w:b w:val="0"/>
          <w:bCs w:val="0"/>
          <w:kern w:val="2"/>
          <w:sz w:val="32"/>
          <w:szCs w:val="32"/>
          <w:lang w:val="en-US" w:eastAsia="zh-CN"/>
        </w:rPr>
        <w:t>今年以来，全旗上下深入贯彻党的二十大精神和习近平总书记对内蒙古重要讲话重要指示批示精神，聚焦两件大事、“六个工程”、全市“三个四”工作任务和全旗“闯新路、走在前，建设核心区、冲刺百强县”发展任务，精准研判、有力调度。1-7月份，主要经济指标总体运行稳中向好。</w:t>
      </w:r>
    </w:p>
    <w:p w14:paraId="6517F94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一、固定资产投资</w:t>
      </w:r>
    </w:p>
    <w:p w14:paraId="6040A32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9" w:lineRule="exact"/>
        <w:ind w:left="0" w:right="0" w:firstLine="640" w:firstLineChars="200"/>
        <w:jc w:val="both"/>
        <w:textAlignment w:val="auto"/>
        <w:rPr>
          <w:rFonts w:hint="default" w:ascii="仿宋_GB2312" w:eastAsia="仿宋_GB2312" w:cs="仿宋_GB2312"/>
          <w:b w:val="0"/>
          <w:bCs w:val="0"/>
          <w:kern w:val="2"/>
          <w:sz w:val="32"/>
          <w:szCs w:val="32"/>
        </w:rPr>
      </w:pPr>
      <w:r>
        <w:rPr>
          <w:rFonts w:hint="default" w:ascii="仿宋_GB2312" w:hAnsi="Calibri" w:eastAsia="仿宋_GB2312" w:cs="仿宋_GB2312"/>
          <w:b w:val="0"/>
          <w:bCs w:val="0"/>
          <w:kern w:val="2"/>
          <w:sz w:val="32"/>
          <w:szCs w:val="32"/>
          <w:lang w:val="en-US" w:eastAsia="zh-CN"/>
        </w:rPr>
        <w:t>1-</w:t>
      </w:r>
      <w:r>
        <w:rPr>
          <w:rFonts w:hint="eastAsia" w:ascii="仿宋_GB2312" w:eastAsia="仿宋_GB2312" w:cs="仿宋_GB2312"/>
          <w:b w:val="0"/>
          <w:bCs w:val="0"/>
          <w:kern w:val="2"/>
          <w:sz w:val="32"/>
          <w:szCs w:val="32"/>
          <w:lang w:val="en-US" w:eastAsia="zh-CN"/>
        </w:rPr>
        <w:t>7</w:t>
      </w:r>
      <w:r>
        <w:rPr>
          <w:rFonts w:hint="default" w:ascii="仿宋_GB2312" w:hAnsi="Calibri" w:eastAsia="仿宋_GB2312" w:cs="仿宋_GB2312"/>
          <w:b w:val="0"/>
          <w:bCs w:val="0"/>
          <w:kern w:val="2"/>
          <w:sz w:val="32"/>
          <w:szCs w:val="32"/>
          <w:lang w:val="en-US" w:eastAsia="zh-CN"/>
        </w:rPr>
        <w:t>月份，全旗固定资产投资同比增长</w:t>
      </w:r>
      <w:r>
        <w:rPr>
          <w:rFonts w:hint="eastAsia" w:ascii="仿宋_GB2312" w:eastAsia="仿宋_GB2312" w:cs="仿宋_GB2312"/>
          <w:b w:val="0"/>
          <w:bCs w:val="0"/>
          <w:kern w:val="2"/>
          <w:sz w:val="32"/>
          <w:szCs w:val="32"/>
          <w:lang w:val="en-US" w:eastAsia="zh-CN"/>
        </w:rPr>
        <w:t>52.4</w:t>
      </w:r>
      <w:r>
        <w:rPr>
          <w:rFonts w:hint="default" w:ascii="仿宋_GB2312" w:hAnsi="Calibri" w:eastAsia="仿宋_GB2312" w:cs="仿宋_GB2312"/>
          <w:b w:val="0"/>
          <w:bCs w:val="0"/>
          <w:kern w:val="2"/>
          <w:sz w:val="32"/>
          <w:szCs w:val="32"/>
          <w:lang w:val="en-US" w:eastAsia="zh-CN"/>
        </w:rPr>
        <w:t>%，增速排名全市第一，高于全国</w:t>
      </w:r>
      <w:r>
        <w:rPr>
          <w:rFonts w:hint="eastAsia" w:ascii="仿宋_GB2312" w:eastAsia="仿宋_GB2312" w:cs="仿宋_GB2312"/>
          <w:b w:val="0"/>
          <w:bCs w:val="0"/>
          <w:kern w:val="2"/>
          <w:sz w:val="32"/>
          <w:szCs w:val="32"/>
          <w:lang w:val="en-US" w:eastAsia="zh-CN"/>
        </w:rPr>
        <w:t>48.8</w:t>
      </w:r>
      <w:r>
        <w:rPr>
          <w:rFonts w:hint="default" w:ascii="仿宋_GB2312" w:hAnsi="Calibri" w:eastAsia="仿宋_GB2312" w:cs="仿宋_GB2312"/>
          <w:b w:val="0"/>
          <w:bCs w:val="0"/>
          <w:kern w:val="2"/>
          <w:sz w:val="32"/>
          <w:szCs w:val="32"/>
          <w:lang w:val="en-US" w:eastAsia="zh-CN"/>
        </w:rPr>
        <w:t>个百分点，高于全</w:t>
      </w:r>
      <w:r>
        <w:rPr>
          <w:rFonts w:hint="eastAsia" w:ascii="仿宋_GB2312" w:eastAsia="仿宋_GB2312" w:cs="仿宋_GB2312"/>
          <w:b w:val="0"/>
          <w:bCs w:val="0"/>
          <w:kern w:val="2"/>
          <w:sz w:val="32"/>
          <w:szCs w:val="32"/>
          <w:lang w:val="en-US" w:eastAsia="zh-CN"/>
        </w:rPr>
        <w:t>区41.5</w:t>
      </w:r>
      <w:r>
        <w:rPr>
          <w:rFonts w:hint="default" w:ascii="仿宋_GB2312" w:hAnsi="Calibri" w:eastAsia="仿宋_GB2312" w:cs="仿宋_GB2312"/>
          <w:b w:val="0"/>
          <w:bCs w:val="0"/>
          <w:kern w:val="2"/>
          <w:sz w:val="32"/>
          <w:szCs w:val="32"/>
          <w:lang w:val="en-US" w:eastAsia="zh-CN"/>
        </w:rPr>
        <w:t>个百分点</w:t>
      </w:r>
      <w:r>
        <w:rPr>
          <w:rFonts w:hint="eastAsia" w:ascii="仿宋_GB2312" w:eastAsia="仿宋_GB2312" w:cs="仿宋_GB2312"/>
          <w:b w:val="0"/>
          <w:bCs w:val="0"/>
          <w:kern w:val="2"/>
          <w:sz w:val="32"/>
          <w:szCs w:val="32"/>
          <w:lang w:val="en-US" w:eastAsia="zh-CN"/>
        </w:rPr>
        <w:t>，</w:t>
      </w:r>
      <w:r>
        <w:rPr>
          <w:rFonts w:hint="default" w:ascii="仿宋_GB2312" w:hAnsi="Calibri" w:eastAsia="仿宋_GB2312" w:cs="仿宋_GB2312"/>
          <w:b w:val="0"/>
          <w:bCs w:val="0"/>
          <w:kern w:val="2"/>
          <w:sz w:val="32"/>
          <w:szCs w:val="32"/>
          <w:lang w:val="en-US" w:eastAsia="zh-CN"/>
        </w:rPr>
        <w:t>高于全市3</w:t>
      </w:r>
      <w:r>
        <w:rPr>
          <w:rFonts w:hint="eastAsia" w:ascii="仿宋_GB2312" w:eastAsia="仿宋_GB2312" w:cs="仿宋_GB2312"/>
          <w:b w:val="0"/>
          <w:bCs w:val="0"/>
          <w:kern w:val="2"/>
          <w:sz w:val="32"/>
          <w:szCs w:val="32"/>
          <w:lang w:val="en-US" w:eastAsia="zh-CN"/>
        </w:rPr>
        <w:t>8.3</w:t>
      </w:r>
      <w:r>
        <w:rPr>
          <w:rFonts w:hint="default" w:ascii="仿宋_GB2312" w:hAnsi="Calibri" w:eastAsia="仿宋_GB2312" w:cs="仿宋_GB2312"/>
          <w:b w:val="0"/>
          <w:bCs w:val="0"/>
          <w:kern w:val="2"/>
          <w:sz w:val="32"/>
          <w:szCs w:val="32"/>
          <w:lang w:val="en-US" w:eastAsia="zh-CN"/>
        </w:rPr>
        <w:t>个百分点。</w:t>
      </w:r>
    </w:p>
    <w:p w14:paraId="7250193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9" w:lineRule="exact"/>
        <w:ind w:left="0" w:right="0" w:firstLine="640" w:firstLineChars="200"/>
        <w:jc w:val="both"/>
        <w:textAlignment w:val="auto"/>
        <w:rPr>
          <w:rFonts w:hint="default" w:ascii="仿宋_GB2312" w:eastAsia="仿宋_GB2312" w:cs="仿宋_GB2312"/>
          <w:b w:val="0"/>
          <w:bCs w:val="0"/>
          <w:kern w:val="2"/>
          <w:sz w:val="32"/>
          <w:szCs w:val="32"/>
        </w:rPr>
      </w:pPr>
      <w:r>
        <w:rPr>
          <w:rFonts w:hint="default" w:ascii="仿宋_GB2312" w:hAnsi="Calibri" w:eastAsia="仿宋_GB2312" w:cs="仿宋_GB2312"/>
          <w:b w:val="0"/>
          <w:bCs w:val="0"/>
          <w:kern w:val="2"/>
          <w:sz w:val="32"/>
          <w:szCs w:val="32"/>
          <w:lang w:val="en-US" w:eastAsia="zh-CN"/>
        </w:rPr>
        <w:t>从产业投资看：一产投资同比增长</w:t>
      </w:r>
      <w:r>
        <w:rPr>
          <w:rFonts w:hint="eastAsia" w:ascii="仿宋_GB2312" w:eastAsia="仿宋_GB2312" w:cs="仿宋_GB2312"/>
          <w:b w:val="0"/>
          <w:bCs w:val="0"/>
          <w:kern w:val="2"/>
          <w:sz w:val="32"/>
          <w:szCs w:val="32"/>
          <w:lang w:val="en-US" w:eastAsia="zh-CN"/>
        </w:rPr>
        <w:t>302.7</w:t>
      </w:r>
      <w:r>
        <w:rPr>
          <w:rFonts w:hint="default" w:ascii="仿宋_GB2312" w:hAnsi="Calibri" w:eastAsia="仿宋_GB2312" w:cs="仿宋_GB2312"/>
          <w:b w:val="0"/>
          <w:bCs w:val="0"/>
          <w:kern w:val="2"/>
          <w:sz w:val="32"/>
          <w:szCs w:val="32"/>
          <w:lang w:val="en-US" w:eastAsia="zh-CN"/>
        </w:rPr>
        <w:t>%，二产投资同比增长</w:t>
      </w:r>
      <w:r>
        <w:rPr>
          <w:rFonts w:hint="eastAsia" w:ascii="仿宋_GB2312" w:eastAsia="仿宋_GB2312" w:cs="仿宋_GB2312"/>
          <w:b w:val="0"/>
          <w:bCs w:val="0"/>
          <w:kern w:val="2"/>
          <w:sz w:val="32"/>
          <w:szCs w:val="32"/>
          <w:lang w:val="en-US" w:eastAsia="zh-CN"/>
        </w:rPr>
        <w:t>52</w:t>
      </w:r>
      <w:r>
        <w:rPr>
          <w:rFonts w:hint="default" w:ascii="仿宋_GB2312" w:hAnsi="Calibri" w:eastAsia="仿宋_GB2312" w:cs="仿宋_GB2312"/>
          <w:b w:val="0"/>
          <w:bCs w:val="0"/>
          <w:kern w:val="2"/>
          <w:sz w:val="32"/>
          <w:szCs w:val="32"/>
          <w:lang w:val="en-US" w:eastAsia="zh-CN"/>
        </w:rPr>
        <w:t>%；三产投资同比增长2</w:t>
      </w:r>
      <w:r>
        <w:rPr>
          <w:rFonts w:hint="eastAsia" w:ascii="仿宋_GB2312" w:eastAsia="仿宋_GB2312" w:cs="仿宋_GB2312"/>
          <w:b w:val="0"/>
          <w:bCs w:val="0"/>
          <w:kern w:val="2"/>
          <w:sz w:val="32"/>
          <w:szCs w:val="32"/>
          <w:lang w:val="en-US" w:eastAsia="zh-CN"/>
        </w:rPr>
        <w:t>3</w:t>
      </w:r>
      <w:r>
        <w:rPr>
          <w:rFonts w:hint="default" w:ascii="仿宋_GB2312" w:hAnsi="Calibri" w:eastAsia="仿宋_GB2312" w:cs="仿宋_GB2312"/>
          <w:b w:val="0"/>
          <w:bCs w:val="0"/>
          <w:kern w:val="2"/>
          <w:sz w:val="32"/>
          <w:szCs w:val="32"/>
          <w:lang w:val="en-US" w:eastAsia="zh-CN"/>
        </w:rPr>
        <w:t>.2%。</w:t>
      </w:r>
    </w:p>
    <w:p w14:paraId="31AAC35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9" w:lineRule="exact"/>
        <w:ind w:left="0" w:right="0" w:firstLine="640" w:firstLineChars="200"/>
        <w:jc w:val="both"/>
        <w:textAlignment w:val="auto"/>
        <w:rPr>
          <w:rFonts w:hint="default" w:ascii="仿宋_GB2312" w:eastAsia="仿宋_GB2312" w:cs="仿宋_GB2312"/>
          <w:b w:val="0"/>
          <w:bCs w:val="0"/>
          <w:kern w:val="2"/>
          <w:sz w:val="32"/>
          <w:szCs w:val="32"/>
        </w:rPr>
      </w:pPr>
      <w:r>
        <w:rPr>
          <w:rFonts w:hint="default" w:ascii="仿宋_GB2312" w:hAnsi="Calibri" w:eastAsia="仿宋_GB2312" w:cs="仿宋_GB2312"/>
          <w:b w:val="0"/>
          <w:bCs w:val="0"/>
          <w:kern w:val="2"/>
          <w:sz w:val="32"/>
          <w:szCs w:val="32"/>
          <w:lang w:val="en-US" w:eastAsia="zh-CN"/>
        </w:rPr>
        <w:t>从投资领域看：基础设施投资同比增长1</w:t>
      </w:r>
      <w:r>
        <w:rPr>
          <w:rFonts w:hint="eastAsia" w:ascii="仿宋_GB2312" w:eastAsia="仿宋_GB2312" w:cs="仿宋_GB2312"/>
          <w:b w:val="0"/>
          <w:bCs w:val="0"/>
          <w:kern w:val="2"/>
          <w:sz w:val="32"/>
          <w:szCs w:val="32"/>
          <w:lang w:val="en-US" w:eastAsia="zh-CN"/>
        </w:rPr>
        <w:t>5.1</w:t>
      </w:r>
      <w:r>
        <w:rPr>
          <w:rFonts w:hint="default" w:ascii="仿宋_GB2312" w:hAnsi="Calibri" w:eastAsia="仿宋_GB2312" w:cs="仿宋_GB2312"/>
          <w:b w:val="0"/>
          <w:bCs w:val="0"/>
          <w:kern w:val="2"/>
          <w:sz w:val="32"/>
          <w:szCs w:val="32"/>
          <w:lang w:val="en-US" w:eastAsia="zh-CN"/>
        </w:rPr>
        <w:t>%；制造业投资同比增长</w:t>
      </w:r>
      <w:r>
        <w:rPr>
          <w:rFonts w:hint="eastAsia" w:ascii="仿宋_GB2312" w:eastAsia="仿宋_GB2312" w:cs="仿宋_GB2312"/>
          <w:b w:val="0"/>
          <w:bCs w:val="0"/>
          <w:kern w:val="2"/>
          <w:sz w:val="32"/>
          <w:szCs w:val="32"/>
          <w:lang w:val="en-US" w:eastAsia="zh-CN"/>
        </w:rPr>
        <w:t>158.9</w:t>
      </w:r>
      <w:r>
        <w:rPr>
          <w:rFonts w:hint="default" w:ascii="仿宋_GB2312" w:hAnsi="Calibri" w:eastAsia="仿宋_GB2312" w:cs="仿宋_GB2312"/>
          <w:b w:val="0"/>
          <w:bCs w:val="0"/>
          <w:kern w:val="2"/>
          <w:sz w:val="32"/>
          <w:szCs w:val="32"/>
          <w:lang w:val="en-US" w:eastAsia="zh-CN"/>
        </w:rPr>
        <w:t>%；房地产开发投资同比下降5</w:t>
      </w:r>
      <w:r>
        <w:rPr>
          <w:rFonts w:hint="eastAsia" w:ascii="仿宋_GB2312" w:eastAsia="仿宋_GB2312" w:cs="仿宋_GB2312"/>
          <w:b w:val="0"/>
          <w:bCs w:val="0"/>
          <w:kern w:val="2"/>
          <w:sz w:val="32"/>
          <w:szCs w:val="32"/>
          <w:lang w:val="en-US" w:eastAsia="zh-CN"/>
        </w:rPr>
        <w:t>4.4</w:t>
      </w:r>
      <w:r>
        <w:rPr>
          <w:rFonts w:hint="default" w:ascii="仿宋_GB2312" w:hAnsi="Calibri" w:eastAsia="仿宋_GB2312" w:cs="仿宋_GB2312"/>
          <w:b w:val="0"/>
          <w:bCs w:val="0"/>
          <w:kern w:val="2"/>
          <w:sz w:val="32"/>
          <w:szCs w:val="32"/>
          <w:lang w:val="en-US" w:eastAsia="zh-CN"/>
        </w:rPr>
        <w:t>%。</w:t>
      </w:r>
    </w:p>
    <w:p w14:paraId="5D5888C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9" w:lineRule="exact"/>
        <w:ind w:left="0" w:right="0" w:firstLine="640" w:firstLineChars="200"/>
        <w:jc w:val="both"/>
        <w:textAlignment w:val="auto"/>
        <w:rPr>
          <w:rFonts w:hint="default" w:ascii="仿宋_GB2312" w:eastAsia="仿宋_GB2312" w:cs="仿宋_GB2312"/>
          <w:b w:val="0"/>
          <w:bCs w:val="0"/>
          <w:kern w:val="2"/>
          <w:sz w:val="32"/>
          <w:szCs w:val="32"/>
        </w:rPr>
      </w:pPr>
      <w:r>
        <w:rPr>
          <w:rFonts w:hint="default" w:ascii="仿宋_GB2312" w:hAnsi="Calibri" w:eastAsia="仿宋_GB2312" w:cs="仿宋_GB2312"/>
          <w:b w:val="0"/>
          <w:bCs w:val="0"/>
          <w:kern w:val="2"/>
          <w:sz w:val="32"/>
          <w:szCs w:val="32"/>
          <w:lang w:val="en-US" w:eastAsia="zh-CN"/>
        </w:rPr>
        <w:t>从其他指标看：民间投资同比增长</w:t>
      </w:r>
      <w:r>
        <w:rPr>
          <w:rFonts w:hint="eastAsia" w:ascii="仿宋_GB2312" w:eastAsia="仿宋_GB2312" w:cs="仿宋_GB2312"/>
          <w:b w:val="0"/>
          <w:bCs w:val="0"/>
          <w:kern w:val="2"/>
          <w:sz w:val="32"/>
          <w:szCs w:val="32"/>
          <w:lang w:val="en-US" w:eastAsia="zh-CN"/>
        </w:rPr>
        <w:t>112.9</w:t>
      </w:r>
      <w:r>
        <w:rPr>
          <w:rFonts w:hint="default" w:ascii="仿宋_GB2312" w:hAnsi="Calibri" w:eastAsia="仿宋_GB2312" w:cs="仿宋_GB2312"/>
          <w:b w:val="0"/>
          <w:bCs w:val="0"/>
          <w:kern w:val="2"/>
          <w:sz w:val="32"/>
          <w:szCs w:val="32"/>
          <w:lang w:val="en-US" w:eastAsia="zh-CN"/>
        </w:rPr>
        <w:t>%，工业投资同比增长</w:t>
      </w:r>
      <w:r>
        <w:rPr>
          <w:rFonts w:hint="eastAsia" w:ascii="仿宋_GB2312" w:eastAsia="仿宋_GB2312" w:cs="仿宋_GB2312"/>
          <w:b w:val="0"/>
          <w:bCs w:val="0"/>
          <w:kern w:val="2"/>
          <w:sz w:val="32"/>
          <w:szCs w:val="32"/>
          <w:lang w:val="en-US" w:eastAsia="zh-CN"/>
        </w:rPr>
        <w:t>52</w:t>
      </w:r>
      <w:r>
        <w:rPr>
          <w:rFonts w:hint="default" w:ascii="仿宋_GB2312" w:hAnsi="Calibri" w:eastAsia="仿宋_GB2312" w:cs="仿宋_GB2312"/>
          <w:b w:val="0"/>
          <w:bCs w:val="0"/>
          <w:kern w:val="2"/>
          <w:sz w:val="32"/>
          <w:szCs w:val="32"/>
          <w:lang w:val="en-US" w:eastAsia="zh-CN"/>
        </w:rPr>
        <w:t>%。</w:t>
      </w:r>
    </w:p>
    <w:p w14:paraId="5130E4B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9" w:lineRule="exact"/>
        <w:ind w:left="0" w:right="0" w:firstLine="640" w:firstLineChars="200"/>
        <w:jc w:val="both"/>
        <w:textAlignment w:val="auto"/>
        <w:rPr>
          <w:rFonts w:hint="default" w:ascii="仿宋_GB2312" w:eastAsia="仿宋_GB2312" w:cs="仿宋_GB2312"/>
          <w:b w:val="0"/>
          <w:bCs w:val="0"/>
          <w:kern w:val="2"/>
          <w:sz w:val="32"/>
          <w:szCs w:val="32"/>
        </w:rPr>
      </w:pPr>
      <w:r>
        <w:rPr>
          <w:rFonts w:hint="default" w:ascii="仿宋_GB2312" w:hAnsi="Calibri" w:eastAsia="仿宋_GB2312" w:cs="仿宋_GB2312"/>
          <w:b w:val="0"/>
          <w:bCs w:val="0"/>
          <w:kern w:val="2"/>
          <w:sz w:val="32"/>
          <w:szCs w:val="32"/>
          <w:lang w:val="en-US" w:eastAsia="zh-CN"/>
        </w:rPr>
        <w:t>截止</w:t>
      </w:r>
      <w:r>
        <w:rPr>
          <w:rFonts w:hint="eastAsia" w:ascii="仿宋_GB2312" w:eastAsia="仿宋_GB2312" w:cs="仿宋_GB2312"/>
          <w:b w:val="0"/>
          <w:bCs w:val="0"/>
          <w:kern w:val="2"/>
          <w:sz w:val="32"/>
          <w:szCs w:val="32"/>
          <w:lang w:val="en-US" w:eastAsia="zh-CN"/>
        </w:rPr>
        <w:t>7</w:t>
      </w:r>
      <w:r>
        <w:rPr>
          <w:rFonts w:hint="default" w:ascii="仿宋_GB2312" w:hAnsi="Calibri" w:eastAsia="仿宋_GB2312" w:cs="仿宋_GB2312"/>
          <w:b w:val="0"/>
          <w:bCs w:val="0"/>
          <w:kern w:val="2"/>
          <w:sz w:val="32"/>
          <w:szCs w:val="32"/>
          <w:lang w:val="en-US" w:eastAsia="zh-CN"/>
        </w:rPr>
        <w:t>月底，全旗在库投资项目</w:t>
      </w:r>
      <w:r>
        <w:rPr>
          <w:rFonts w:hint="eastAsia" w:ascii="仿宋_GB2312" w:eastAsia="仿宋_GB2312" w:cs="仿宋_GB2312"/>
          <w:b w:val="0"/>
          <w:bCs w:val="0"/>
          <w:kern w:val="2"/>
          <w:sz w:val="32"/>
          <w:szCs w:val="32"/>
          <w:lang w:val="en-US" w:eastAsia="zh-CN"/>
        </w:rPr>
        <w:t>99</w:t>
      </w:r>
      <w:r>
        <w:rPr>
          <w:rFonts w:hint="default" w:ascii="仿宋_GB2312" w:hAnsi="Calibri" w:eastAsia="仿宋_GB2312" w:cs="仿宋_GB2312"/>
          <w:b w:val="0"/>
          <w:bCs w:val="0"/>
          <w:kern w:val="2"/>
          <w:sz w:val="32"/>
          <w:szCs w:val="32"/>
          <w:lang w:val="en-US" w:eastAsia="zh-CN"/>
        </w:rPr>
        <w:t>项，其中：5000万以上投资项目</w:t>
      </w:r>
      <w:r>
        <w:rPr>
          <w:rFonts w:hint="eastAsia" w:ascii="仿宋_GB2312" w:eastAsia="仿宋_GB2312" w:cs="仿宋_GB2312"/>
          <w:b w:val="0"/>
          <w:bCs w:val="0"/>
          <w:kern w:val="2"/>
          <w:sz w:val="32"/>
          <w:szCs w:val="32"/>
          <w:lang w:val="en-US" w:eastAsia="zh-CN"/>
        </w:rPr>
        <w:t>55</w:t>
      </w:r>
      <w:r>
        <w:rPr>
          <w:rFonts w:hint="default" w:ascii="仿宋_GB2312" w:hAnsi="Calibri" w:eastAsia="仿宋_GB2312" w:cs="仿宋_GB2312"/>
          <w:b w:val="0"/>
          <w:bCs w:val="0"/>
          <w:kern w:val="2"/>
          <w:sz w:val="32"/>
          <w:szCs w:val="32"/>
          <w:lang w:val="en-US" w:eastAsia="zh-CN"/>
        </w:rPr>
        <w:t>项，500万-5000万投资项目</w:t>
      </w:r>
      <w:r>
        <w:rPr>
          <w:rFonts w:hint="eastAsia" w:ascii="仿宋_GB2312" w:eastAsia="仿宋_GB2312" w:cs="仿宋_GB2312"/>
          <w:b w:val="0"/>
          <w:bCs w:val="0"/>
          <w:kern w:val="2"/>
          <w:sz w:val="32"/>
          <w:szCs w:val="32"/>
          <w:lang w:val="en-US" w:eastAsia="zh-CN"/>
        </w:rPr>
        <w:t>44</w:t>
      </w:r>
      <w:r>
        <w:rPr>
          <w:rFonts w:hint="default" w:ascii="仿宋_GB2312" w:hAnsi="Calibri" w:eastAsia="仿宋_GB2312" w:cs="仿宋_GB2312"/>
          <w:b w:val="0"/>
          <w:bCs w:val="0"/>
          <w:kern w:val="2"/>
          <w:sz w:val="32"/>
          <w:szCs w:val="32"/>
          <w:lang w:val="en-US" w:eastAsia="zh-CN"/>
        </w:rPr>
        <w:t>项。亿元以上施工项目</w:t>
      </w:r>
      <w:r>
        <w:rPr>
          <w:rFonts w:hint="eastAsia" w:ascii="仿宋_GB2312" w:eastAsia="仿宋_GB2312" w:cs="仿宋_GB2312"/>
          <w:b w:val="0"/>
          <w:bCs w:val="0"/>
          <w:kern w:val="2"/>
          <w:sz w:val="32"/>
          <w:szCs w:val="32"/>
          <w:lang w:val="en-US" w:eastAsia="zh-CN"/>
        </w:rPr>
        <w:t>34</w:t>
      </w:r>
      <w:r>
        <w:rPr>
          <w:rFonts w:hint="default" w:ascii="仿宋_GB2312" w:hAnsi="Calibri" w:eastAsia="仿宋_GB2312" w:cs="仿宋_GB2312"/>
          <w:b w:val="0"/>
          <w:bCs w:val="0"/>
          <w:kern w:val="2"/>
          <w:sz w:val="32"/>
          <w:szCs w:val="32"/>
          <w:lang w:val="en-US" w:eastAsia="zh-CN"/>
        </w:rPr>
        <w:t>个，完成投资同比增长</w:t>
      </w:r>
      <w:r>
        <w:rPr>
          <w:rFonts w:hint="eastAsia" w:ascii="仿宋_GB2312" w:eastAsia="仿宋_GB2312" w:cs="仿宋_GB2312"/>
          <w:b w:val="0"/>
          <w:bCs w:val="0"/>
          <w:kern w:val="2"/>
          <w:sz w:val="32"/>
          <w:szCs w:val="32"/>
          <w:lang w:val="en-US" w:eastAsia="zh-CN"/>
        </w:rPr>
        <w:t>58.4</w:t>
      </w:r>
      <w:r>
        <w:rPr>
          <w:rFonts w:hint="default" w:ascii="仿宋_GB2312" w:hAnsi="Calibri" w:eastAsia="仿宋_GB2312" w:cs="仿宋_GB2312"/>
          <w:b w:val="0"/>
          <w:bCs w:val="0"/>
          <w:kern w:val="2"/>
          <w:sz w:val="32"/>
          <w:szCs w:val="32"/>
          <w:lang w:val="en-US" w:eastAsia="zh-CN"/>
        </w:rPr>
        <w:t>%，占全部投资的9</w:t>
      </w:r>
      <w:r>
        <w:rPr>
          <w:rFonts w:hint="eastAsia" w:ascii="仿宋_GB2312" w:eastAsia="仿宋_GB2312" w:cs="仿宋_GB2312"/>
          <w:b w:val="0"/>
          <w:bCs w:val="0"/>
          <w:kern w:val="2"/>
          <w:sz w:val="32"/>
          <w:szCs w:val="32"/>
          <w:lang w:val="en-US" w:eastAsia="zh-CN"/>
        </w:rPr>
        <w:t>6.9</w:t>
      </w:r>
      <w:r>
        <w:rPr>
          <w:rFonts w:hint="default" w:ascii="仿宋_GB2312" w:hAnsi="Calibri" w:eastAsia="仿宋_GB2312" w:cs="仿宋_GB2312"/>
          <w:b w:val="0"/>
          <w:bCs w:val="0"/>
          <w:kern w:val="2"/>
          <w:sz w:val="32"/>
          <w:szCs w:val="32"/>
          <w:lang w:val="en-US" w:eastAsia="zh-CN"/>
        </w:rPr>
        <w:t>%。10亿元以上施工项目</w:t>
      </w:r>
      <w:r>
        <w:rPr>
          <w:rFonts w:hint="eastAsia" w:ascii="仿宋_GB2312" w:eastAsia="仿宋_GB2312" w:cs="仿宋_GB2312"/>
          <w:b w:val="0"/>
          <w:bCs w:val="0"/>
          <w:kern w:val="2"/>
          <w:sz w:val="32"/>
          <w:szCs w:val="32"/>
          <w:lang w:val="en-US" w:eastAsia="zh-CN"/>
        </w:rPr>
        <w:t>6</w:t>
      </w:r>
      <w:r>
        <w:rPr>
          <w:rFonts w:hint="default" w:ascii="仿宋_GB2312" w:hAnsi="Calibri" w:eastAsia="仿宋_GB2312" w:cs="仿宋_GB2312"/>
          <w:b w:val="0"/>
          <w:bCs w:val="0"/>
          <w:kern w:val="2"/>
          <w:sz w:val="32"/>
          <w:szCs w:val="32"/>
          <w:lang w:val="en-US" w:eastAsia="zh-CN"/>
        </w:rPr>
        <w:t>个，完成投资同比增长</w:t>
      </w:r>
      <w:r>
        <w:rPr>
          <w:rFonts w:hint="eastAsia" w:ascii="仿宋_GB2312" w:eastAsia="仿宋_GB2312" w:cs="仿宋_GB2312"/>
          <w:b w:val="0"/>
          <w:bCs w:val="0"/>
          <w:kern w:val="2"/>
          <w:sz w:val="32"/>
          <w:szCs w:val="32"/>
          <w:lang w:val="en-US" w:eastAsia="zh-CN"/>
        </w:rPr>
        <w:t>59.5</w:t>
      </w:r>
      <w:r>
        <w:rPr>
          <w:rFonts w:hint="default" w:ascii="仿宋_GB2312" w:hAnsi="Calibri" w:eastAsia="仿宋_GB2312" w:cs="仿宋_GB2312"/>
          <w:b w:val="0"/>
          <w:bCs w:val="0"/>
          <w:kern w:val="2"/>
          <w:sz w:val="32"/>
          <w:szCs w:val="32"/>
          <w:lang w:val="en-US" w:eastAsia="zh-CN"/>
        </w:rPr>
        <w:t>%，占全部投资的</w:t>
      </w:r>
      <w:r>
        <w:rPr>
          <w:rFonts w:hint="eastAsia" w:ascii="仿宋_GB2312" w:eastAsia="仿宋_GB2312" w:cs="仿宋_GB2312"/>
          <w:b w:val="0"/>
          <w:bCs w:val="0"/>
          <w:kern w:val="2"/>
          <w:sz w:val="32"/>
          <w:szCs w:val="32"/>
          <w:lang w:val="en-US" w:eastAsia="zh-CN"/>
        </w:rPr>
        <w:t>88.3</w:t>
      </w:r>
      <w:r>
        <w:rPr>
          <w:rFonts w:hint="default" w:ascii="仿宋_GB2312" w:hAnsi="Calibri" w:eastAsia="仿宋_GB2312" w:cs="仿宋_GB2312"/>
          <w:b w:val="0"/>
          <w:bCs w:val="0"/>
          <w:kern w:val="2"/>
          <w:sz w:val="32"/>
          <w:szCs w:val="32"/>
          <w:lang w:val="en-US" w:eastAsia="zh-CN"/>
        </w:rPr>
        <w:t>%。市级调度的30个重点项目中已入库</w:t>
      </w:r>
      <w:r>
        <w:rPr>
          <w:rFonts w:hint="eastAsia" w:ascii="仿宋_GB2312" w:eastAsia="仿宋_GB2312" w:cs="仿宋_GB2312"/>
          <w:b w:val="0"/>
          <w:bCs w:val="0"/>
          <w:kern w:val="2"/>
          <w:sz w:val="32"/>
          <w:szCs w:val="32"/>
          <w:lang w:val="en-US" w:eastAsia="zh-CN"/>
        </w:rPr>
        <w:t>20</w:t>
      </w:r>
      <w:r>
        <w:rPr>
          <w:rFonts w:hint="default" w:ascii="仿宋_GB2312" w:hAnsi="Calibri" w:eastAsia="仿宋_GB2312" w:cs="仿宋_GB2312"/>
          <w:b w:val="0"/>
          <w:bCs w:val="0"/>
          <w:kern w:val="2"/>
          <w:sz w:val="32"/>
          <w:szCs w:val="32"/>
          <w:lang w:val="en-US" w:eastAsia="zh-CN"/>
        </w:rPr>
        <w:t>项，完成投资</w:t>
      </w:r>
      <w:r>
        <w:rPr>
          <w:rFonts w:hint="eastAsia" w:ascii="仿宋_GB2312" w:eastAsia="仿宋_GB2312" w:cs="仿宋_GB2312"/>
          <w:b w:val="0"/>
          <w:bCs w:val="0"/>
          <w:kern w:val="2"/>
          <w:sz w:val="32"/>
          <w:szCs w:val="32"/>
          <w:lang w:val="en-US" w:eastAsia="zh-CN"/>
        </w:rPr>
        <w:t>124</w:t>
      </w:r>
      <w:r>
        <w:rPr>
          <w:rFonts w:hint="default" w:ascii="仿宋_GB2312" w:hAnsi="Calibri" w:eastAsia="仿宋_GB2312" w:cs="仿宋_GB2312"/>
          <w:b w:val="0"/>
          <w:bCs w:val="0"/>
          <w:kern w:val="2"/>
          <w:sz w:val="32"/>
          <w:szCs w:val="32"/>
          <w:lang w:val="en-US" w:eastAsia="zh-CN"/>
        </w:rPr>
        <w:t>亿元。</w:t>
      </w:r>
    </w:p>
    <w:p w14:paraId="5C7D97F8">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79" w:lineRule="exact"/>
        <w:ind w:left="0" w:right="0" w:firstLine="640" w:firstLineChars="200"/>
        <w:jc w:val="both"/>
        <w:textAlignment w:val="auto"/>
        <w:rPr>
          <w:b w:val="0"/>
          <w:bCs w:val="0"/>
        </w:rPr>
      </w:pPr>
      <w:r>
        <w:rPr>
          <w:rFonts w:hint="default" w:ascii="仿宋_GB2312" w:hAnsi="Calibri" w:eastAsia="仿宋_GB2312" w:cs="仿宋_GB2312"/>
          <w:b w:val="0"/>
          <w:bCs w:val="0"/>
          <w:kern w:val="2"/>
          <w:sz w:val="32"/>
          <w:szCs w:val="32"/>
          <w:lang w:val="en-US" w:eastAsia="zh-CN"/>
        </w:rPr>
        <w:t>1-</w:t>
      </w:r>
      <w:r>
        <w:rPr>
          <w:rFonts w:hint="eastAsia" w:ascii="仿宋_GB2312" w:eastAsia="仿宋_GB2312" w:cs="仿宋_GB2312"/>
          <w:b w:val="0"/>
          <w:bCs w:val="0"/>
          <w:kern w:val="2"/>
          <w:sz w:val="32"/>
          <w:szCs w:val="32"/>
          <w:lang w:val="en-US" w:eastAsia="zh-CN"/>
        </w:rPr>
        <w:t>7</w:t>
      </w:r>
      <w:r>
        <w:rPr>
          <w:rFonts w:hint="default" w:ascii="仿宋_GB2312" w:hAnsi="Calibri" w:eastAsia="仿宋_GB2312" w:cs="仿宋_GB2312"/>
          <w:b w:val="0"/>
          <w:bCs w:val="0"/>
          <w:kern w:val="2"/>
          <w:sz w:val="32"/>
          <w:szCs w:val="32"/>
          <w:lang w:val="en-US" w:eastAsia="zh-CN"/>
        </w:rPr>
        <w:t>月份，全旗房地产开发投资项目34项，商品房销售面积</w:t>
      </w:r>
      <w:r>
        <w:rPr>
          <w:rFonts w:hint="eastAsia" w:ascii="仿宋_GB2312" w:eastAsia="仿宋_GB2312" w:cs="仿宋_GB2312"/>
          <w:b w:val="0"/>
          <w:bCs w:val="0"/>
          <w:kern w:val="2"/>
          <w:sz w:val="32"/>
          <w:szCs w:val="32"/>
          <w:lang w:val="en-US" w:eastAsia="zh-CN"/>
        </w:rPr>
        <w:t>82304</w:t>
      </w:r>
      <w:r>
        <w:rPr>
          <w:rFonts w:hint="default" w:ascii="仿宋_GB2312" w:hAnsi="Calibri" w:eastAsia="仿宋_GB2312" w:cs="仿宋_GB2312"/>
          <w:b w:val="0"/>
          <w:bCs w:val="0"/>
          <w:kern w:val="2"/>
          <w:sz w:val="32"/>
          <w:szCs w:val="32"/>
          <w:lang w:val="en-US" w:eastAsia="zh-CN"/>
        </w:rPr>
        <w:t>平方米，</w:t>
      </w:r>
      <w:r>
        <w:rPr>
          <w:rFonts w:hint="eastAsia" w:ascii="仿宋_GB2312" w:eastAsia="仿宋_GB2312" w:cs="仿宋_GB2312"/>
          <w:b w:val="0"/>
          <w:bCs w:val="0"/>
          <w:kern w:val="2"/>
          <w:sz w:val="32"/>
          <w:szCs w:val="32"/>
          <w:lang w:val="en-US" w:eastAsia="zh-CN"/>
        </w:rPr>
        <w:t>下降3.9</w:t>
      </w:r>
      <w:r>
        <w:rPr>
          <w:rFonts w:hint="default" w:ascii="仿宋_GB2312" w:hAnsi="Calibri" w:eastAsia="仿宋_GB2312" w:cs="仿宋_GB2312"/>
          <w:b w:val="0"/>
          <w:bCs w:val="0"/>
          <w:kern w:val="2"/>
          <w:sz w:val="32"/>
          <w:szCs w:val="32"/>
          <w:lang w:val="en-US" w:eastAsia="zh-CN"/>
        </w:rPr>
        <w:t>%；商品房销售额</w:t>
      </w:r>
      <w:r>
        <w:rPr>
          <w:rFonts w:hint="eastAsia" w:ascii="仿宋_GB2312" w:eastAsia="仿宋_GB2312" w:cs="仿宋_GB2312"/>
          <w:b w:val="0"/>
          <w:bCs w:val="0"/>
          <w:kern w:val="2"/>
          <w:sz w:val="32"/>
          <w:szCs w:val="32"/>
          <w:lang w:val="en-US" w:eastAsia="zh-CN"/>
        </w:rPr>
        <w:t>31001</w:t>
      </w:r>
      <w:r>
        <w:rPr>
          <w:rFonts w:hint="default" w:ascii="仿宋_GB2312" w:hAnsi="Calibri" w:eastAsia="仿宋_GB2312" w:cs="仿宋_GB2312"/>
          <w:b w:val="0"/>
          <w:bCs w:val="0"/>
          <w:kern w:val="2"/>
          <w:sz w:val="32"/>
          <w:szCs w:val="32"/>
          <w:lang w:val="en-US" w:eastAsia="zh-CN"/>
        </w:rPr>
        <w:t>万元，</w:t>
      </w:r>
      <w:r>
        <w:rPr>
          <w:rFonts w:hint="eastAsia" w:ascii="仿宋_GB2312" w:eastAsia="仿宋_GB2312" w:cs="仿宋_GB2312"/>
          <w:b w:val="0"/>
          <w:bCs w:val="0"/>
          <w:kern w:val="2"/>
          <w:sz w:val="32"/>
          <w:szCs w:val="32"/>
          <w:lang w:val="en-US" w:eastAsia="zh-CN"/>
        </w:rPr>
        <w:t>下降0.8</w:t>
      </w:r>
      <w:r>
        <w:rPr>
          <w:rFonts w:hint="default" w:ascii="仿宋_GB2312" w:hAnsi="Calibri" w:eastAsia="仿宋_GB2312" w:cs="仿宋_GB2312"/>
          <w:b w:val="0"/>
          <w:bCs w:val="0"/>
          <w:kern w:val="2"/>
          <w:sz w:val="32"/>
          <w:szCs w:val="32"/>
          <w:lang w:val="en-US" w:eastAsia="zh-CN"/>
        </w:rPr>
        <w:t>%。</w:t>
      </w:r>
    </w:p>
    <w:p w14:paraId="053DBD2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二、规模以上工业</w:t>
      </w:r>
    </w:p>
    <w:p w14:paraId="7905729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1-7月份，全旗33家规模以上工业企业（包含天然气）工业增加值同比增长5.0%，排名全市第七，低于全国0.1个百分点，低于全区2.7个百分点，低于全市2.6个百分点；模以上工业企业总产值同比下降0.80％。</w:t>
      </w:r>
    </w:p>
    <w:p w14:paraId="1B127160">
      <w:pPr>
        <w:keepNext w:val="0"/>
        <w:keepLines w:val="0"/>
        <w:pageBreakBefore w:val="0"/>
        <w:widowControl w:val="0"/>
        <w:kinsoku/>
        <w:wordWrap/>
        <w:overflowPunct/>
        <w:topLinePunct w:val="0"/>
        <w:autoSpaceDN/>
        <w:bidi w:val="0"/>
        <w:adjustRightInd/>
        <w:snapToGrid/>
        <w:spacing w:line="579" w:lineRule="exact"/>
        <w:ind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从轻重工业看：</w:t>
      </w:r>
      <w:r>
        <w:rPr>
          <w:rFonts w:hint="eastAsia" w:ascii="仿宋_GB2312" w:hAnsi="仿宋_GB2312" w:eastAsia="仿宋_GB2312" w:cs="仿宋_GB2312"/>
          <w:b w:val="0"/>
          <w:bCs w:val="0"/>
          <w:sz w:val="32"/>
          <w:szCs w:val="32"/>
          <w:highlight w:val="none"/>
          <w:lang w:val="en-US" w:eastAsia="zh-CN"/>
        </w:rPr>
        <w:t>全旗33家规模以上工业企业中轻工业产值同比下降27.54%;轻工业实现销售产值0.60亿元,同比下降9.70%；重工业产值同比下降0.77%，重工业实现销售产值436.37亿元，同比下降2.47%。</w:t>
      </w:r>
    </w:p>
    <w:p w14:paraId="43601F07">
      <w:pPr>
        <w:keepNext w:val="0"/>
        <w:keepLines w:val="0"/>
        <w:pageBreakBefore w:val="0"/>
        <w:widowControl w:val="0"/>
        <w:kinsoku/>
        <w:wordWrap/>
        <w:overflowPunct/>
        <w:topLinePunct w:val="0"/>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从企业注册经济类型看：</w:t>
      </w:r>
      <w:r>
        <w:rPr>
          <w:rFonts w:hint="eastAsia" w:ascii="仿宋_GB2312" w:hAnsi="仿宋_GB2312" w:eastAsia="仿宋_GB2312" w:cs="仿宋_GB2312"/>
          <w:b w:val="0"/>
          <w:bCs w:val="0"/>
          <w:sz w:val="32"/>
          <w:szCs w:val="32"/>
          <w:highlight w:val="none"/>
          <w:lang w:val="en-US" w:eastAsia="zh-CN"/>
        </w:rPr>
        <w:t>全旗33家规模上工业企业中股份制企业产值同比下降0.29%，实现销售产值425.12亿元，同比下降1.46%；外商及港澳台投资企业产值同比下降17.09%，实现销售产值11.85亿元，同比下降29.01；国有控股企业产值同比增长0.53%，实现销售产值406.13亿元，同比下降1.25%；非公有工业企业产值同比下降17.01%；实现销售产值30.84亿元，同比下降16.23%；大中型工业企业产值同比增长0.09%；实现销售产值405.36亿元，同比下降2.45%。</w:t>
      </w:r>
    </w:p>
    <w:p w14:paraId="6B7E5686">
      <w:pPr>
        <w:keepNext w:val="0"/>
        <w:keepLines w:val="0"/>
        <w:pageBreakBefore w:val="0"/>
        <w:widowControl w:val="0"/>
        <w:kinsoku/>
        <w:wordWrap/>
        <w:overflowPunct/>
        <w:topLinePunct w:val="0"/>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从各行业看</w:t>
      </w:r>
      <w:r>
        <w:rPr>
          <w:rFonts w:hint="eastAsia" w:ascii="仿宋_GB2312" w:hAnsi="仿宋_GB2312" w:eastAsia="仿宋_GB2312" w:cs="仿宋_GB2312"/>
          <w:b w:val="0"/>
          <w:bCs w:val="0"/>
          <w:color w:val="auto"/>
          <w:sz w:val="32"/>
          <w:szCs w:val="32"/>
          <w:highlight w:val="none"/>
          <w:lang w:val="en-US" w:eastAsia="zh-CN"/>
        </w:rPr>
        <w:t>:全旗33家规模以上工业企业中煤炭开采和洗选业产值同比下降11.0%,实现销售产值88.8亿元，同比下降9.3%；石油和天然气开采业产值同比下降3.4%，实现销售产值113.7亿元，同比下降0.5%；石油、煤炭及其他燃料加工业产值同比下降10.8%，实现销售产值24.3亿元，同比下降6.1%；化学原料和化学制品制造业产值同比增长7.3%，实现销售产值</w:t>
      </w:r>
      <w:r>
        <w:rPr>
          <w:rFonts w:hint="eastAsia" w:ascii="仿宋_GB2312" w:hAnsi="仿宋_GB2312" w:eastAsia="仿宋_GB2312" w:cs="仿宋_GB2312"/>
          <w:b w:val="0"/>
          <w:bCs w:val="0"/>
          <w:color w:val="auto"/>
          <w:sz w:val="30"/>
          <w:szCs w:val="30"/>
          <w:highlight w:val="none"/>
          <w:lang w:val="en-US" w:eastAsia="zh-CN"/>
        </w:rPr>
        <w:t>193.6</w:t>
      </w:r>
      <w:r>
        <w:rPr>
          <w:rFonts w:hint="eastAsia" w:ascii="仿宋_GB2312" w:hAnsi="仿宋_GB2312" w:eastAsia="仿宋_GB2312" w:cs="仿宋_GB2312"/>
          <w:b w:val="0"/>
          <w:bCs w:val="0"/>
          <w:color w:val="auto"/>
          <w:sz w:val="32"/>
          <w:szCs w:val="32"/>
          <w:highlight w:val="none"/>
          <w:lang w:val="en-US" w:eastAsia="zh-CN"/>
        </w:rPr>
        <w:t>亿元，同比增长0.8%；电力、热力生产和供应业产值同比下降61.0%，实现销售产值0.6亿元，同比下降61.0%；燃气生产和供应业产值同比下降14.6%，实现销售产值13.8亿元，同比下降6.0%。</w:t>
      </w:r>
    </w:p>
    <w:p w14:paraId="67BF478A">
      <w:pPr>
        <w:keepNext w:val="0"/>
        <w:keepLines w:val="0"/>
        <w:pageBreakBefore w:val="0"/>
        <w:widowControl w:val="0"/>
        <w:kinsoku/>
        <w:wordWrap/>
        <w:overflowPunct/>
        <w:topLinePunct w:val="0"/>
        <w:autoSpaceDN/>
        <w:bidi w:val="0"/>
        <w:adjustRightInd/>
        <w:snapToGrid/>
        <w:spacing w:line="579" w:lineRule="exact"/>
        <w:ind w:firstLine="602"/>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从主要工业产品产量看：</w:t>
      </w:r>
      <w:r>
        <w:rPr>
          <w:rFonts w:hint="eastAsia" w:ascii="仿宋_GB2312" w:hAnsi="仿宋_GB2312" w:eastAsia="仿宋_GB2312" w:cs="仿宋_GB2312"/>
          <w:b w:val="0"/>
          <w:bCs w:val="0"/>
          <w:sz w:val="32"/>
          <w:szCs w:val="32"/>
          <w:highlight w:val="none"/>
          <w:lang w:val="en-US" w:eastAsia="zh-CN"/>
        </w:rPr>
        <w:t>原煤2736.09万吨，同比增长17.27％；精甲醇322.95万吨，同比下降15.32％；液化天然气52.91万吨，同比下降0.93％；尿素172.98万吨，同比下降4.67％；聚乙烯54.97万吨，同比下降10.06%；聚丙烯55.32万吨，同比下降11.21％；发电量15.51亿千瓦时，同比下降0.70％。</w:t>
      </w:r>
    </w:p>
    <w:p w14:paraId="58F3001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三、消费市场</w:t>
      </w:r>
    </w:p>
    <w:p w14:paraId="08F28EB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1-7月份，全旗社会消费品零售总额21.6亿元</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同比增长5.2%，增速排名全市第8，高于全国1.7个百分点，高于全区2.2个百分点，低于全市0.8个百分点。</w:t>
      </w:r>
    </w:p>
    <w:p w14:paraId="2376729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限上消费品零售额按经营单位所在地看：城镇消费品零售额同比增长2.7%；乡村消费品零售额同比下降86.3%。</w:t>
      </w:r>
    </w:p>
    <w:p w14:paraId="75C77B8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限上消费品零售额按消费类型看：商品零售同比增长5.2%；餐饮收入同比下降7.5%。</w:t>
      </w:r>
    </w:p>
    <w:p w14:paraId="414D17B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限上商品零售额按商品类型看</w:t>
      </w:r>
      <w:r>
        <w:rPr>
          <w:rFonts w:hint="eastAsia" w:ascii="仿宋_GB2312" w:hAnsi="仿宋_GB2312" w:eastAsia="仿宋_GB2312" w:cs="仿宋_GB2312"/>
          <w:b w:val="0"/>
          <w:bCs w:val="0"/>
          <w:sz w:val="32"/>
          <w:szCs w:val="32"/>
          <w:highlight w:val="none"/>
          <w:lang w:val="en-US" w:eastAsia="zh-CN"/>
        </w:rPr>
        <w:t>：汽车类同比增长14.5%，占限上商品零售比重为45.2%；粮油食品类同比下降11.7%，占限上商品零售比重为26.0%；家用电器和音像器材类同比增长25.6%，占限上商品零售比重为10.5%；中西药品类同比增长9.6%，占限上商品零售比重为5.1%；通讯器材类同比增长27.6%，占限上商品零售比重为7.9%；家具类同比增长17.2%，占限上商品零售比重为1.6%；石油及制品类同比下降25.9%，占限上商品零售比重为2.3%；其他类同比下降43.9%，占限上商品零售比重为1.4%。</w:t>
      </w:r>
    </w:p>
    <w:p w14:paraId="0D956DE0">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规模以上服务业</w:t>
      </w:r>
    </w:p>
    <w:p w14:paraId="19BB1D96">
      <w:pPr>
        <w:keepNext w:val="0"/>
        <w:keepLines w:val="0"/>
        <w:pageBreakBefore w:val="0"/>
        <w:widowControl w:val="0"/>
        <w:numPr>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上半年</w:t>
      </w:r>
      <w:r>
        <w:rPr>
          <w:rFonts w:hint="default" w:ascii="仿宋_GB2312" w:hAnsi="仿宋_GB2312" w:eastAsia="仿宋_GB2312" w:cs="仿宋_GB2312"/>
          <w:b w:val="0"/>
          <w:bCs w:val="0"/>
          <w:sz w:val="32"/>
          <w:szCs w:val="32"/>
          <w:highlight w:val="none"/>
          <w:lang w:val="en-US" w:eastAsia="zh-CN"/>
        </w:rPr>
        <w:t>，全旗28家规上服务业企业实现营业收入4.56亿元，同比增长1.79%。应付职工薪酬实现0.40亿元，同比增长24.2%,增速位居全市第一。全旗六大行业门类中，交通运输、仓储和邮政业实现营业收入2.38亿元,同比增长3.03%；租赁和商务服务业实现营业收入1.18亿元，同比下降33.33%;水利、环境和公共设施管理业实业营业收入0.84亿元，同比增长281.82%</w:t>
      </w:r>
      <w:r>
        <w:rPr>
          <w:rFonts w:hint="eastAsia" w:ascii="仿宋_GB2312" w:hAnsi="仿宋_GB2312" w:eastAsia="仿宋_GB2312" w:cs="仿宋_GB2312"/>
          <w:b w:val="0"/>
          <w:bCs w:val="0"/>
          <w:sz w:val="32"/>
          <w:szCs w:val="32"/>
          <w:highlight w:val="none"/>
          <w:lang w:val="en-US" w:eastAsia="zh-CN"/>
        </w:rPr>
        <w:t>；</w:t>
      </w:r>
      <w:r>
        <w:rPr>
          <w:rFonts w:hint="default" w:ascii="仿宋_GB2312" w:hAnsi="仿宋_GB2312" w:eastAsia="仿宋_GB2312" w:cs="仿宋_GB2312"/>
          <w:b w:val="0"/>
          <w:bCs w:val="0"/>
          <w:sz w:val="32"/>
          <w:szCs w:val="32"/>
          <w:highlight w:val="none"/>
          <w:lang w:val="en-US" w:eastAsia="zh-CN"/>
        </w:rPr>
        <w:t>居民服务修理业、科学研究和技术服务业、房地产业分别实现营业收入0.02亿元、0.04亿元、0.10亿元</w:t>
      </w:r>
    </w:p>
    <w:p w14:paraId="087B7DDF">
      <w:pPr>
        <w:keepNext w:val="0"/>
        <w:keepLines w:val="0"/>
        <w:pageBreakBefore w:val="0"/>
        <w:widowControl w:val="0"/>
        <w:numPr>
          <w:numId w:val="0"/>
        </w:numPr>
        <w:kinsoku/>
        <w:wordWrap/>
        <w:overflowPunct/>
        <w:topLinePunct w:val="0"/>
        <w:autoSpaceDE/>
        <w:autoSpaceDN/>
        <w:bidi w:val="0"/>
        <w:adjustRightInd/>
        <w:snapToGrid/>
        <w:spacing w:line="579" w:lineRule="exact"/>
        <w:ind w:firstLine="640" w:firstLineChars="200"/>
        <w:textAlignment w:val="auto"/>
        <w:rPr>
          <w:rFonts w:hint="default" w:ascii="黑体" w:hAnsi="黑体" w:eastAsia="黑体" w:cs="黑体"/>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1-6月份，规模以上服务业民营企业达19户，占规模以上服务业企业总户数的67.86%，实现营业收入2.52亿元，同比增长0.8%，占规模以上服务业营业收入的比重为55.26%。</w:t>
      </w:r>
    </w:p>
    <w:p w14:paraId="49E0ED8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五、运行环境</w:t>
      </w:r>
    </w:p>
    <w:p w14:paraId="10CC444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-7月份，全旗公共财政预算收入完成80.02亿元，同比增长199.9%。其中：税收收入同比下降8.5%，非税收入同比增长1606.7%。主要税收中，增值税同比下降1.6%，企业所得税同比增长72.7%，个人所得税同比下降2.9%。全旗公共财政预算支出完成55.32亿元，同比增长44.2%。</w:t>
      </w:r>
    </w:p>
    <w:p w14:paraId="757EC7D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7月份，全旗共新登记各类经营主体337户，其中，各类企业90户，个体工商户246户，农民专业合作社1户；全旗共注销各类经营主体207户，其中，各类企业57户，个体工商户147户，农民专业合作社3户。</w:t>
      </w:r>
    </w:p>
    <w:p w14:paraId="49E6168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截至7月末，全旗金融机构人民币存款余额216.53亿元，同比增长32.47%，其中：住户存款余额115.75亿元，同比增长10.1%；非金融企业存款余额37.0亿元，同比下降0.67%。全旗金融机构人民币贷款余额149.48亿元，同比下降11.16%，其中：住户贷款余额同比增长22.08%，非金融企业贷款余额同比下降24.16%。</w:t>
      </w:r>
    </w:p>
    <w:p w14:paraId="4F32F1F1">
      <w:pPr>
        <w:keepNext w:val="0"/>
        <w:keepLines w:val="0"/>
        <w:pageBreakBefore w:val="0"/>
        <w:widowControl w:val="0"/>
        <w:kinsoku/>
        <w:wordWrap/>
        <w:overflowPunct/>
        <w:topLinePunct w:val="0"/>
        <w:autoSpaceDN/>
        <w:bidi w:val="0"/>
        <w:adjustRightInd/>
        <w:snapToGrid/>
        <w:spacing w:line="579"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default" w:ascii="仿宋_GB2312" w:hAnsi="仿宋_GB2312" w:eastAsia="仿宋_GB2312" w:cs="仿宋_GB2312"/>
          <w:b w:val="0"/>
          <w:bCs w:val="0"/>
          <w:sz w:val="32"/>
          <w:szCs w:val="32"/>
          <w:highlight w:val="none"/>
          <w:lang w:val="en-US" w:eastAsia="zh-CN"/>
        </w:rPr>
        <w:t>总的来看，1-7月份我旗经济运行总体稳中有进、稳中向好，传统产业提质焕新，新增长点加快形成。同时也要看</w:t>
      </w:r>
      <w:bookmarkStart w:id="0" w:name="_GoBack"/>
      <w:bookmarkEnd w:id="0"/>
      <w:r>
        <w:rPr>
          <w:rFonts w:hint="default" w:ascii="仿宋_GB2312" w:hAnsi="仿宋_GB2312" w:eastAsia="仿宋_GB2312" w:cs="仿宋_GB2312"/>
          <w:b w:val="0"/>
          <w:bCs w:val="0"/>
          <w:sz w:val="32"/>
          <w:szCs w:val="32"/>
          <w:highlight w:val="none"/>
          <w:lang w:val="en-US" w:eastAsia="zh-CN"/>
        </w:rPr>
        <w:t>到，外部环境错综复杂，内部需求仍显不足。下一步要坚持以习近平新时代中国特色社会主义思想为指导，锚定年度目标，全力以赴稳增长、扩需求、提信心，更大力度激发市场活力和内生动力，持续推动经济实现质的有效提升和量的合理增长。</w:t>
      </w:r>
    </w:p>
    <w:p w14:paraId="64003A81">
      <w:pPr>
        <w:keepNext w:val="0"/>
        <w:keepLines w:val="0"/>
        <w:pageBreakBefore w:val="0"/>
        <w:widowControl w:val="0"/>
        <w:kinsoku/>
        <w:wordWrap/>
        <w:overflowPunct/>
        <w:topLinePunct w:val="0"/>
        <w:autoSpaceDN/>
        <w:bidi w:val="0"/>
        <w:adjustRightInd/>
        <w:snapToGrid/>
        <w:spacing w:line="579" w:lineRule="exact"/>
        <w:ind w:firstLine="640" w:firstLineChars="200"/>
        <w:jc w:val="right"/>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（供稿：李诺）</w:t>
      </w:r>
    </w:p>
    <w:sectPr>
      <w:footerReference r:id="rId3" w:type="default"/>
      <w:pgSz w:w="11906" w:h="16838"/>
      <w:pgMar w:top="2098" w:right="1474" w:bottom="1984" w:left="1587"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B9BEBEDE-7986-4496-87E7-80A727B426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30D21DB-A585-4878-916D-486DA3BC3231}"/>
  </w:font>
  <w:font w:name="方正小标宋_GBK">
    <w:panose1 w:val="03000509000000000000"/>
    <w:charset w:val="86"/>
    <w:family w:val="auto"/>
    <w:pitch w:val="default"/>
    <w:sig w:usb0="00000001" w:usb1="080E0000" w:usb2="00000000" w:usb3="00000000" w:csb0="00040000" w:csb1="00000000"/>
    <w:embedRegular r:id="rId3" w:fontKey="{67E24076-E4E6-4B7C-A735-45E12C2E8BF6}"/>
  </w:font>
  <w:font w:name="楷体_GB2312">
    <w:panose1 w:val="02010609030101010101"/>
    <w:charset w:val="86"/>
    <w:family w:val="auto"/>
    <w:pitch w:val="default"/>
    <w:sig w:usb0="00000001" w:usb1="080E0000" w:usb2="00000000" w:usb3="00000000" w:csb0="00040000" w:csb1="00000000"/>
    <w:embedRegular r:id="rId4" w:fontKey="{1A6D4DDF-8F31-4B87-B252-CE0B99ABEA87}"/>
  </w:font>
  <w:font w:name="仿宋_GB2312">
    <w:panose1 w:val="02010609030101010101"/>
    <w:charset w:val="86"/>
    <w:family w:val="auto"/>
    <w:pitch w:val="default"/>
    <w:sig w:usb0="00000001" w:usb1="080E0000" w:usb2="00000000" w:usb3="00000000" w:csb0="00040000" w:csb1="00000000"/>
    <w:embedRegular r:id="rId5" w:fontKey="{41DBD579-933F-4127-902A-5DC7A2B7E021}"/>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907CB">
    <w:pPr>
      <w:pStyle w:val="2"/>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483BD67">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14:paraId="7483BD67">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4408A1"/>
    <w:multiLevelType w:val="singleLevel"/>
    <w:tmpl w:val="0B4408A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ODI1YTViN2M1MzczNmJiZWFlZmE2OWQxZDkwNmMifQ=="/>
  </w:docVars>
  <w:rsids>
    <w:rsidRoot w:val="00000000"/>
    <w:rsid w:val="054364BD"/>
    <w:rsid w:val="09B23C11"/>
    <w:rsid w:val="0A962DFE"/>
    <w:rsid w:val="0C2C7CAB"/>
    <w:rsid w:val="183323C1"/>
    <w:rsid w:val="1949184B"/>
    <w:rsid w:val="19E44D4F"/>
    <w:rsid w:val="1BC51A52"/>
    <w:rsid w:val="2305324C"/>
    <w:rsid w:val="2BA07916"/>
    <w:rsid w:val="379C1780"/>
    <w:rsid w:val="3F0D2A37"/>
    <w:rsid w:val="3FD036BE"/>
    <w:rsid w:val="445157F9"/>
    <w:rsid w:val="4AA448D5"/>
    <w:rsid w:val="543E2670"/>
    <w:rsid w:val="56482D86"/>
    <w:rsid w:val="57160908"/>
    <w:rsid w:val="5FF90DC7"/>
    <w:rsid w:val="60C969EB"/>
    <w:rsid w:val="62724E61"/>
    <w:rsid w:val="DFCE9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1726</Words>
  <Characters>2236</Characters>
  <Paragraphs>56</Paragraphs>
  <TotalTime>0</TotalTime>
  <ScaleCrop>false</ScaleCrop>
  <LinksUpToDate>false</LinksUpToDate>
  <CharactersWithSpaces>2236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2024-03-12T01:29:00Z</dcterms:created>
  <dc:creator>太阳以西</dc:creator>
  <cp:lastModifiedBy>__</cp:lastModifiedBy>
  <cp:lastPrinted>2024-04-19T23:21:00Z</cp:lastPrinted>
  <dcterms:modified xsi:type="dcterms:W3CDTF">2024-08-21T06:46:15Z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D66AB39CAD834089B2049007C87354CF_13</vt:lpwstr>
  </property>
</Properties>
</file>