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乌审旗202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上半年</w:t>
      </w:r>
      <w:r>
        <w:rPr>
          <w:rFonts w:hint="eastAsia" w:ascii="方正小标宋简体" w:hAnsi="方正小标宋简体" w:eastAsia="方正小标宋简体" w:cs="方正小标宋简体"/>
          <w:sz w:val="44"/>
          <w:szCs w:val="44"/>
        </w:rPr>
        <w:t>经济运行情况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上半年，全旗上下坚持以习近平新时代中国特色社会主义思想为指导，认真贯彻落实党的二十大精神和习近平总书记考察内蒙古时的重要指示和重要讲话精神，紧扣完成两件大事，聚焦全年发展目标，出实招、重实效、强实干，主要指标高于同期，奋力促成全旗经济巩固回升的良好态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GDP统一核算结果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上半年，全旗实现地区生产总值207.5亿元，</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不变</w:t>
      </w:r>
      <w:r>
        <w:rPr>
          <w:rFonts w:hint="eastAsia" w:ascii="仿宋_GB2312" w:hAnsi="仿宋_GB2312" w:eastAsia="仿宋_GB2312" w:cs="仿宋_GB2312"/>
          <w:sz w:val="32"/>
          <w:szCs w:val="32"/>
        </w:rPr>
        <w:t>价格计算，</w:t>
      </w:r>
      <w:r>
        <w:rPr>
          <w:rFonts w:hint="eastAsia" w:ascii="仿宋_GB2312" w:hAnsi="仿宋_GB2312" w:eastAsia="仿宋_GB2312" w:cs="仿宋_GB2312"/>
          <w:sz w:val="32"/>
          <w:szCs w:val="32"/>
          <w:lang w:val="en-US" w:eastAsia="zh-CN"/>
        </w:rPr>
        <w:t>同比增长3.4%。</w:t>
      </w:r>
      <w:r>
        <w:rPr>
          <w:rFonts w:hint="eastAsia" w:ascii="仿宋_GB2312" w:hAnsi="仿宋_GB2312" w:eastAsia="仿宋_GB2312" w:cs="仿宋_GB2312"/>
          <w:sz w:val="32"/>
          <w:szCs w:val="32"/>
        </w:rPr>
        <w:t>分产业看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第一产业增加值2.37亿元，同比增长9.4%；第二产业增加值154.11亿元，同比增长1.1%；第三产业增加值51.02亿元，同比增长8.2%。三次产业比为1.1：74.3：24.6。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农林牧渔业增势良</w:t>
      </w:r>
      <w:bookmarkStart w:id="0" w:name="_GoBack"/>
      <w:bookmarkEnd w:id="0"/>
      <w:r>
        <w:rPr>
          <w:rFonts w:hint="eastAsia" w:ascii="黑体" w:hAnsi="黑体" w:eastAsia="黑体" w:cs="黑体"/>
          <w:sz w:val="32"/>
          <w:szCs w:val="32"/>
          <w:lang w:val="en-US" w:eastAsia="zh-CN"/>
        </w:rPr>
        <w:t>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上半年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旗农林牧渔业总产值达到4.68亿元，总量排名全市第3，同比增长9.26%。其中：农业总产值1.05亿元，同比增长9.71%；牧业总产值2.76亿元，同比增长8.08%；林业总产值0.32亿元，同比增长11.2%；渔业总产值0.13亿元，同比增长9.5%。牧业产值占农林牧渔业产值的比重达59%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规上</w:t>
      </w:r>
      <w:r>
        <w:rPr>
          <w:rFonts w:hint="eastAsia" w:ascii="黑体" w:hAnsi="黑体" w:eastAsia="黑体" w:cs="黑体"/>
          <w:sz w:val="32"/>
          <w:szCs w:val="32"/>
        </w:rPr>
        <w:t>工业</w:t>
      </w:r>
      <w:r>
        <w:rPr>
          <w:rFonts w:hint="eastAsia" w:ascii="黑体" w:hAnsi="黑体" w:eastAsia="黑体" w:cs="黑体"/>
          <w:sz w:val="32"/>
          <w:szCs w:val="32"/>
          <w:lang w:eastAsia="zh-CN"/>
        </w:rPr>
        <w:t>承压</w:t>
      </w:r>
      <w:r>
        <w:rPr>
          <w:rFonts w:hint="eastAsia" w:ascii="黑体" w:hAnsi="黑体" w:eastAsia="黑体" w:cs="黑体"/>
          <w:sz w:val="32"/>
          <w:szCs w:val="32"/>
          <w:lang w:val="en-US" w:eastAsia="zh-CN"/>
        </w:rPr>
        <w:t>回升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全旗规上工业增加值同比增长0.3%；6月份规上工业增加值同比增长7.8%。全旗规上工业总产值同比下降11.98%，其中：采矿业产值同比下降7.28%；制造业产值同比下降14.71%；电力、热力、燃气及水生产和供应业产值同比下降27.48%。全旗规上工业累计产销率99.7%，同比增长0.4%；6月份当月产销量102%，同比增长4%。全旗规上工业企业（不含天然气）利润总额同比下降43.2%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上半年，全旗主要工业品产量：天然气81.97亿立方米，同比增长7.69%；原煤2023.46万吨，同比下降6.17%；精甲醇329.51万吨，同比下降6.25%；液化天然气45.74万吨，同比下降3.58%；聚乙烯52.95万吨，同比增长0.26%；聚丙烯54.73万吨，同比下降3.24%；尿素153.1万吨，同比下降2.17%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固定资产投资</w:t>
      </w:r>
      <w:r>
        <w:rPr>
          <w:rFonts w:hint="eastAsia" w:ascii="黑体" w:hAnsi="黑体" w:eastAsia="黑体" w:cs="黑体"/>
          <w:sz w:val="32"/>
          <w:szCs w:val="32"/>
          <w:lang w:val="en-US" w:eastAsia="zh-CN"/>
        </w:rPr>
        <w:t>持续</w:t>
      </w:r>
      <w:r>
        <w:rPr>
          <w:rFonts w:hint="eastAsia" w:ascii="黑体" w:hAnsi="黑体" w:eastAsia="黑体" w:cs="黑体"/>
          <w:sz w:val="32"/>
          <w:szCs w:val="32"/>
          <w:lang w:eastAsia="zh-CN"/>
        </w:rPr>
        <w:t>扩张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全旗固定资产投资同比增长130.4%。分产业看：第一产业投资同比增长460.6%，第二产业投资同比增长192.6%，第三产业投资同比减少18.5%。分领域看：基础设施投资同比减少14.2%；制造业投资同比增长4720.4%；房地产开发投资同比减少29.8%；民间投资同比增长513.1%；新开工项目投资同比增长1541.3%。全旗商品房销售面积54928平方米，增长1.1%；商品房销售额20644万元，增长6.8%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6月末</w:t>
      </w:r>
      <w:r>
        <w:rPr>
          <w:rFonts w:hint="eastAsia" w:ascii="仿宋_GB2312" w:hAnsi="仿宋_GB2312" w:eastAsia="仿宋_GB2312" w:cs="仿宋_GB2312"/>
          <w:sz w:val="32"/>
          <w:szCs w:val="32"/>
          <w:lang w:eastAsia="zh-CN"/>
        </w:rPr>
        <w:t>，全旗在库投资项目</w:t>
      </w:r>
      <w:r>
        <w:rPr>
          <w:rFonts w:hint="eastAsia" w:ascii="仿宋_GB2312" w:hAnsi="仿宋_GB2312" w:eastAsia="仿宋_GB2312" w:cs="仿宋_GB2312"/>
          <w:sz w:val="32"/>
          <w:szCs w:val="32"/>
          <w:lang w:val="en-US" w:eastAsia="zh-CN"/>
        </w:rPr>
        <w:t>106</w:t>
      </w:r>
      <w:r>
        <w:rPr>
          <w:rFonts w:hint="eastAsia" w:ascii="仿宋_GB2312" w:hAnsi="仿宋_GB2312" w:eastAsia="仿宋_GB2312" w:cs="仿宋_GB2312"/>
          <w:sz w:val="32"/>
          <w:szCs w:val="32"/>
          <w:lang w:eastAsia="zh-CN"/>
        </w:rPr>
        <w:t>项。其中：5000万以上投资项目</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lang w:eastAsia="zh-CN"/>
        </w:rPr>
        <w:t>项，500万-5000万投资项目</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lang w:eastAsia="zh-CN"/>
        </w:rPr>
        <w:t>项，房地产开发投资项目</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lang w:val="en-US" w:eastAsia="zh-CN"/>
        </w:rPr>
        <w:t>亿元以上施工项目26个，数量同比增加8.3%，完成投资同比增长172.8%，占全部投资的93.98%；10亿元以上施工项目7个，数量同比增加40%，完成投资同比增长293.2%，占全部投资的86.76%。</w:t>
      </w:r>
      <w:r>
        <w:rPr>
          <w:rFonts w:hint="eastAsia" w:ascii="仿宋_GB2312" w:hAnsi="仿宋_GB2312" w:eastAsia="仿宋_GB2312" w:cs="仿宋_GB2312"/>
          <w:sz w:val="32"/>
          <w:szCs w:val="32"/>
          <w:lang w:eastAsia="zh-CN"/>
        </w:rPr>
        <w:t>市级调度的</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lang w:eastAsia="zh-CN"/>
        </w:rPr>
        <w:t>个重点项目中已入库</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项，完成投资</w:t>
      </w:r>
      <w:r>
        <w:rPr>
          <w:rFonts w:hint="eastAsia" w:ascii="仿宋_GB2312" w:hAnsi="仿宋_GB2312" w:eastAsia="仿宋_GB2312" w:cs="仿宋_GB2312"/>
          <w:sz w:val="32"/>
          <w:szCs w:val="32"/>
          <w:lang w:val="en-US" w:eastAsia="zh-CN"/>
        </w:rPr>
        <w:t>55.79亿元。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市场销售</w:t>
      </w:r>
      <w:r>
        <w:rPr>
          <w:rFonts w:hint="eastAsia" w:ascii="黑体" w:hAnsi="黑体" w:eastAsia="黑体" w:cs="黑体"/>
          <w:sz w:val="32"/>
          <w:szCs w:val="32"/>
          <w:lang w:val="en-US" w:eastAsia="zh-CN"/>
        </w:rPr>
        <w:t>破局</w:t>
      </w:r>
      <w:r>
        <w:rPr>
          <w:rFonts w:hint="eastAsia" w:ascii="黑体" w:hAnsi="黑体" w:eastAsia="黑体" w:cs="黑体"/>
          <w:sz w:val="32"/>
          <w:szCs w:val="32"/>
          <w:lang w:eastAsia="zh-CN"/>
        </w:rPr>
        <w:t>恢复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上半年，全旗社会消费品零售总额16.5亿元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同比增长5.6%。按经营单位所在地分：城镇社会消费品零售额同比增长5.3%；乡村社会消费品零售额同比增长6.6%。按消费类型分：商品零售额同比增长4.7%；餐饮收入同比增长15.3%。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限上消费品零售额按商品类型看，粮油食品类增长21.3%，占比36.7%；家用电器和音像器材类增长23.9%，占比8.7%；中西药品类增长7.8%，占比5.9%；通讯器材类增长17.8%，占比2%；石油及制品类增长11%，占比1.9%；汽车类下降8.1%，占比41.6%；其他类增长27.3%，占比3.2%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、居民</w:t>
      </w:r>
      <w:r>
        <w:rPr>
          <w:rFonts w:hint="eastAsia" w:ascii="黑体" w:hAnsi="黑体" w:eastAsia="黑体" w:cs="黑体"/>
          <w:sz w:val="32"/>
          <w:szCs w:val="32"/>
          <w:lang w:eastAsia="zh-CN"/>
        </w:rPr>
        <w:t>收入平稳增长</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，全旗居民人均可支配收入</w:t>
      </w:r>
      <w:r>
        <w:rPr>
          <w:rFonts w:hint="eastAsia" w:ascii="仿宋_GB2312" w:hAnsi="仿宋_GB2312" w:eastAsia="仿宋_GB2312" w:cs="仿宋_GB2312"/>
          <w:sz w:val="32"/>
          <w:szCs w:val="32"/>
          <w:lang w:val="en-US" w:eastAsia="zh-CN"/>
        </w:rPr>
        <w:t>21024</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按常住地分，</w:t>
      </w:r>
      <w:r>
        <w:rPr>
          <w:rFonts w:hint="eastAsia" w:ascii="仿宋_GB2312" w:hAnsi="仿宋_GB2312" w:eastAsia="仿宋_GB2312" w:cs="仿宋_GB2312"/>
          <w:sz w:val="32"/>
          <w:szCs w:val="32"/>
        </w:rPr>
        <w:t>城镇常住居民人均可支配收入</w:t>
      </w:r>
      <w:r>
        <w:rPr>
          <w:rFonts w:hint="eastAsia" w:ascii="仿宋_GB2312" w:hAnsi="仿宋_GB2312" w:eastAsia="仿宋_GB2312" w:cs="仿宋_GB2312"/>
          <w:sz w:val="32"/>
          <w:szCs w:val="32"/>
          <w:lang w:val="en-US" w:eastAsia="zh-CN"/>
        </w:rPr>
        <w:t>28096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同比增长</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%；农村牧区常住居民人均可支配收入</w:t>
      </w:r>
      <w:r>
        <w:rPr>
          <w:rFonts w:hint="eastAsia" w:ascii="仿宋_GB2312" w:hAnsi="仿宋_GB2312" w:eastAsia="仿宋_GB2312" w:cs="仿宋_GB2312"/>
          <w:sz w:val="32"/>
          <w:szCs w:val="32"/>
          <w:lang w:val="en-US" w:eastAsia="zh-CN"/>
        </w:rPr>
        <w:t>11142</w:t>
      </w:r>
      <w:r>
        <w:rPr>
          <w:rFonts w:hint="eastAsia" w:ascii="仿宋_GB2312" w:hAnsi="仿宋_GB2312" w:eastAsia="仿宋_GB2312" w:cs="仿宋_GB2312"/>
          <w:sz w:val="32"/>
          <w:szCs w:val="32"/>
        </w:rPr>
        <w:t>元，同比增长</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城乡居民收入比为</w:t>
      </w:r>
      <w:r>
        <w:rPr>
          <w:rFonts w:hint="eastAsia" w:ascii="仿宋_GB2312" w:hAnsi="仿宋_GB2312" w:eastAsia="仿宋_GB2312" w:cs="仿宋_GB2312"/>
          <w:sz w:val="32"/>
          <w:szCs w:val="32"/>
          <w:lang w:val="en-US" w:eastAsia="zh-CN"/>
        </w:rPr>
        <w:t>2.52，比去年同期缩小0.5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从收入来源看，城镇常住居民工资性收入、经营净收入、财产净收入、转移净收入分别增长</w:t>
      </w:r>
      <w:r>
        <w:rPr>
          <w:rFonts w:hint="eastAsia" w:ascii="仿宋_GB2312" w:hAnsi="仿宋_GB2312" w:eastAsia="仿宋_GB2312" w:cs="仿宋_GB2312"/>
          <w:sz w:val="32"/>
          <w:szCs w:val="32"/>
          <w:lang w:val="en-US" w:eastAsia="zh-CN"/>
        </w:rPr>
        <w:t>5.6%、5.4%、2.5%、1.8%</w:t>
      </w:r>
      <w:r>
        <w:rPr>
          <w:rFonts w:hint="eastAsia" w:ascii="仿宋_GB2312" w:hAnsi="仿宋_GB2312" w:eastAsia="仿宋_GB2312" w:cs="仿宋_GB2312"/>
          <w:sz w:val="32"/>
          <w:szCs w:val="32"/>
          <w:lang w:eastAsia="zh-CN"/>
        </w:rPr>
        <w:t>；农村牧区常住居民工资性收入、经营净收入、财产净收入、转移净收入分别增长</w:t>
      </w:r>
      <w:r>
        <w:rPr>
          <w:rFonts w:hint="eastAsia" w:ascii="仿宋_GB2312" w:hAnsi="仿宋_GB2312" w:eastAsia="仿宋_GB2312" w:cs="仿宋_GB2312"/>
          <w:sz w:val="32"/>
          <w:szCs w:val="32"/>
          <w:lang w:val="en-US" w:eastAsia="zh-CN"/>
        </w:rPr>
        <w:t>5.4%、7.8%、4.6%、3.8%。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体来看，上半年全旗经济企稳向好，既定政策显效发力，积极因素不断累积，进一步夯实高质量发展基础。但宏观经济环境和基数影响存在波动，持续增长的基础尚不牢固，在稳工业、促消费、转方式、调结构、增动能、优服务过程中仍需下更大功夫。下阶段，要认真落实自治区党委十一届六次全会、市委五届六次全会和旗委十六届九次全会精神，围绕“闯新路、走在前，建设核心区、冲刺百强县”奋斗目标，铆劲补短板、发力添优势，扎实推动经济实现质的有效提升和量的合理增长，努力促进全旗经济运行整体迈上新台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OGRhMGNkNTRlNzhmNGNkMmQ4NDZmMWNhOTU5Y2MifQ=="/>
  </w:docVars>
  <w:rsids>
    <w:rsidRoot w:val="6B693752"/>
    <w:rsid w:val="00182408"/>
    <w:rsid w:val="004C2995"/>
    <w:rsid w:val="004E36C9"/>
    <w:rsid w:val="00940130"/>
    <w:rsid w:val="013E1205"/>
    <w:rsid w:val="01922F90"/>
    <w:rsid w:val="01EB2A78"/>
    <w:rsid w:val="02386B71"/>
    <w:rsid w:val="02AA0D69"/>
    <w:rsid w:val="032A1043"/>
    <w:rsid w:val="035A6DA7"/>
    <w:rsid w:val="04314C10"/>
    <w:rsid w:val="05112631"/>
    <w:rsid w:val="059F3725"/>
    <w:rsid w:val="05F06754"/>
    <w:rsid w:val="06993B4F"/>
    <w:rsid w:val="06F057A9"/>
    <w:rsid w:val="075A67B0"/>
    <w:rsid w:val="0769153C"/>
    <w:rsid w:val="07B44433"/>
    <w:rsid w:val="07BE4341"/>
    <w:rsid w:val="089503E9"/>
    <w:rsid w:val="09B63701"/>
    <w:rsid w:val="0A166152"/>
    <w:rsid w:val="0AA77B5F"/>
    <w:rsid w:val="0AAC5968"/>
    <w:rsid w:val="0AB512EB"/>
    <w:rsid w:val="0AD44745"/>
    <w:rsid w:val="0BC757D8"/>
    <w:rsid w:val="0C2F7BAB"/>
    <w:rsid w:val="0C42384E"/>
    <w:rsid w:val="0C790607"/>
    <w:rsid w:val="0C8F1A86"/>
    <w:rsid w:val="0CF54541"/>
    <w:rsid w:val="0D4F580F"/>
    <w:rsid w:val="0EAD49A7"/>
    <w:rsid w:val="0EB14CF1"/>
    <w:rsid w:val="0F027B90"/>
    <w:rsid w:val="0F9242C9"/>
    <w:rsid w:val="11B275D2"/>
    <w:rsid w:val="11EF3B46"/>
    <w:rsid w:val="11F861B1"/>
    <w:rsid w:val="12160215"/>
    <w:rsid w:val="1279527F"/>
    <w:rsid w:val="127F08FD"/>
    <w:rsid w:val="13643C41"/>
    <w:rsid w:val="13B73ED4"/>
    <w:rsid w:val="13C829C2"/>
    <w:rsid w:val="13D84ACC"/>
    <w:rsid w:val="148B7132"/>
    <w:rsid w:val="15414E96"/>
    <w:rsid w:val="1556235A"/>
    <w:rsid w:val="15F5735F"/>
    <w:rsid w:val="160446B0"/>
    <w:rsid w:val="169272F8"/>
    <w:rsid w:val="16D052C7"/>
    <w:rsid w:val="17505438"/>
    <w:rsid w:val="17922CC8"/>
    <w:rsid w:val="186F34EE"/>
    <w:rsid w:val="19762565"/>
    <w:rsid w:val="1A700747"/>
    <w:rsid w:val="1A99383F"/>
    <w:rsid w:val="1B9B6C3D"/>
    <w:rsid w:val="1CDF1D67"/>
    <w:rsid w:val="1CE27425"/>
    <w:rsid w:val="1DAA4421"/>
    <w:rsid w:val="1DDB7EF2"/>
    <w:rsid w:val="1E390005"/>
    <w:rsid w:val="1E7C2B60"/>
    <w:rsid w:val="1F916A48"/>
    <w:rsid w:val="1FED72F9"/>
    <w:rsid w:val="229639BB"/>
    <w:rsid w:val="23104D97"/>
    <w:rsid w:val="232324BD"/>
    <w:rsid w:val="23B67043"/>
    <w:rsid w:val="23C05E87"/>
    <w:rsid w:val="2419374B"/>
    <w:rsid w:val="24670301"/>
    <w:rsid w:val="24CC25E3"/>
    <w:rsid w:val="24D25EE9"/>
    <w:rsid w:val="250A4A85"/>
    <w:rsid w:val="25113A6D"/>
    <w:rsid w:val="256E541F"/>
    <w:rsid w:val="25F126C2"/>
    <w:rsid w:val="284A1218"/>
    <w:rsid w:val="28621092"/>
    <w:rsid w:val="28A75628"/>
    <w:rsid w:val="29230750"/>
    <w:rsid w:val="295B5CC4"/>
    <w:rsid w:val="295D54F0"/>
    <w:rsid w:val="296021C7"/>
    <w:rsid w:val="29D52EFD"/>
    <w:rsid w:val="2A3A6F77"/>
    <w:rsid w:val="2ABF2E67"/>
    <w:rsid w:val="2B4E4584"/>
    <w:rsid w:val="2C360E1F"/>
    <w:rsid w:val="2C497850"/>
    <w:rsid w:val="2C867145"/>
    <w:rsid w:val="2CB467D4"/>
    <w:rsid w:val="2D0D6DF9"/>
    <w:rsid w:val="2DAD4F6A"/>
    <w:rsid w:val="2DAE5624"/>
    <w:rsid w:val="2EA6182F"/>
    <w:rsid w:val="2F046ACE"/>
    <w:rsid w:val="2F163602"/>
    <w:rsid w:val="2F230D17"/>
    <w:rsid w:val="2FFC10AE"/>
    <w:rsid w:val="301B29A0"/>
    <w:rsid w:val="304738C1"/>
    <w:rsid w:val="30922E6E"/>
    <w:rsid w:val="30B645B9"/>
    <w:rsid w:val="30F96EB1"/>
    <w:rsid w:val="34841BCB"/>
    <w:rsid w:val="3494130E"/>
    <w:rsid w:val="34CD25C7"/>
    <w:rsid w:val="34F622C1"/>
    <w:rsid w:val="3618745C"/>
    <w:rsid w:val="366024B5"/>
    <w:rsid w:val="37643A0E"/>
    <w:rsid w:val="37BC58E6"/>
    <w:rsid w:val="388A0845"/>
    <w:rsid w:val="38992D8A"/>
    <w:rsid w:val="3994352C"/>
    <w:rsid w:val="3AC24199"/>
    <w:rsid w:val="3AEC2E53"/>
    <w:rsid w:val="3AFF1268"/>
    <w:rsid w:val="3B78378E"/>
    <w:rsid w:val="3BF87280"/>
    <w:rsid w:val="3D736C38"/>
    <w:rsid w:val="3D851F59"/>
    <w:rsid w:val="3DC94AA2"/>
    <w:rsid w:val="3DE94B54"/>
    <w:rsid w:val="3E5B0213"/>
    <w:rsid w:val="3E8A3B6C"/>
    <w:rsid w:val="3EDF3E59"/>
    <w:rsid w:val="3EE13BE0"/>
    <w:rsid w:val="3F0D219F"/>
    <w:rsid w:val="3FEB117D"/>
    <w:rsid w:val="3FF84DEE"/>
    <w:rsid w:val="4013025E"/>
    <w:rsid w:val="40C900A5"/>
    <w:rsid w:val="410014DD"/>
    <w:rsid w:val="412F7023"/>
    <w:rsid w:val="4155302C"/>
    <w:rsid w:val="4214632B"/>
    <w:rsid w:val="423C2548"/>
    <w:rsid w:val="42B9678D"/>
    <w:rsid w:val="42DC1CC4"/>
    <w:rsid w:val="43440E14"/>
    <w:rsid w:val="43F92648"/>
    <w:rsid w:val="45012D7B"/>
    <w:rsid w:val="45130BEA"/>
    <w:rsid w:val="45900801"/>
    <w:rsid w:val="467E224C"/>
    <w:rsid w:val="47557137"/>
    <w:rsid w:val="479755E5"/>
    <w:rsid w:val="47C02742"/>
    <w:rsid w:val="485853A8"/>
    <w:rsid w:val="48EC789E"/>
    <w:rsid w:val="48F141C8"/>
    <w:rsid w:val="49C31518"/>
    <w:rsid w:val="4BCD6092"/>
    <w:rsid w:val="4C672C31"/>
    <w:rsid w:val="4C880430"/>
    <w:rsid w:val="4CB115E2"/>
    <w:rsid w:val="4CFA2D64"/>
    <w:rsid w:val="4DDC4F4B"/>
    <w:rsid w:val="4E2C51A7"/>
    <w:rsid w:val="4F1A0A66"/>
    <w:rsid w:val="4FFE763F"/>
    <w:rsid w:val="50593A6B"/>
    <w:rsid w:val="50A90B01"/>
    <w:rsid w:val="511F08AE"/>
    <w:rsid w:val="51A35B7E"/>
    <w:rsid w:val="51A6505C"/>
    <w:rsid w:val="522F3F11"/>
    <w:rsid w:val="52716E5B"/>
    <w:rsid w:val="52B1638C"/>
    <w:rsid w:val="52FC4B82"/>
    <w:rsid w:val="53134998"/>
    <w:rsid w:val="535F1038"/>
    <w:rsid w:val="5470323B"/>
    <w:rsid w:val="54774436"/>
    <w:rsid w:val="54C71A86"/>
    <w:rsid w:val="557811D1"/>
    <w:rsid w:val="55A54254"/>
    <w:rsid w:val="55D27D70"/>
    <w:rsid w:val="55FA6617"/>
    <w:rsid w:val="56CB5EEA"/>
    <w:rsid w:val="57AD0B6B"/>
    <w:rsid w:val="58692CBA"/>
    <w:rsid w:val="586A0EC5"/>
    <w:rsid w:val="5A8F4588"/>
    <w:rsid w:val="5AF66E2A"/>
    <w:rsid w:val="5B053118"/>
    <w:rsid w:val="5B524770"/>
    <w:rsid w:val="5B6B0AF7"/>
    <w:rsid w:val="5D995F07"/>
    <w:rsid w:val="5DD72F10"/>
    <w:rsid w:val="5DFE0DCC"/>
    <w:rsid w:val="5E00780A"/>
    <w:rsid w:val="5E566A95"/>
    <w:rsid w:val="5EE71D45"/>
    <w:rsid w:val="5F1F11CC"/>
    <w:rsid w:val="5F6B1470"/>
    <w:rsid w:val="5F9C0E7E"/>
    <w:rsid w:val="60514A1D"/>
    <w:rsid w:val="60EB1499"/>
    <w:rsid w:val="61240105"/>
    <w:rsid w:val="612D5CF1"/>
    <w:rsid w:val="613B04D0"/>
    <w:rsid w:val="61EC5A3C"/>
    <w:rsid w:val="63427E4C"/>
    <w:rsid w:val="63C81489"/>
    <w:rsid w:val="64010631"/>
    <w:rsid w:val="64591E34"/>
    <w:rsid w:val="64E5533B"/>
    <w:rsid w:val="672801C0"/>
    <w:rsid w:val="67354616"/>
    <w:rsid w:val="67724F75"/>
    <w:rsid w:val="67936B3E"/>
    <w:rsid w:val="68550B65"/>
    <w:rsid w:val="686C30CD"/>
    <w:rsid w:val="698E0A7B"/>
    <w:rsid w:val="6AC83F19"/>
    <w:rsid w:val="6B693752"/>
    <w:rsid w:val="6BC545B9"/>
    <w:rsid w:val="6BD5670F"/>
    <w:rsid w:val="6CB53E38"/>
    <w:rsid w:val="6CC37104"/>
    <w:rsid w:val="6D064F17"/>
    <w:rsid w:val="6D2D20B0"/>
    <w:rsid w:val="6D43101E"/>
    <w:rsid w:val="6D5D505E"/>
    <w:rsid w:val="6DC03A04"/>
    <w:rsid w:val="6DD70A69"/>
    <w:rsid w:val="6E7E209B"/>
    <w:rsid w:val="6F16504C"/>
    <w:rsid w:val="6F810989"/>
    <w:rsid w:val="6FF2313D"/>
    <w:rsid w:val="70095D9A"/>
    <w:rsid w:val="70223A22"/>
    <w:rsid w:val="70E1792A"/>
    <w:rsid w:val="71A22905"/>
    <w:rsid w:val="71BF3E0C"/>
    <w:rsid w:val="72DB30A8"/>
    <w:rsid w:val="73010A74"/>
    <w:rsid w:val="73C76ADC"/>
    <w:rsid w:val="741A2522"/>
    <w:rsid w:val="741B0EB4"/>
    <w:rsid w:val="75541B5D"/>
    <w:rsid w:val="768F0D80"/>
    <w:rsid w:val="77106CCA"/>
    <w:rsid w:val="77F71C38"/>
    <w:rsid w:val="78471391"/>
    <w:rsid w:val="787B5781"/>
    <w:rsid w:val="79542C27"/>
    <w:rsid w:val="79C503BE"/>
    <w:rsid w:val="7A191114"/>
    <w:rsid w:val="7A1E35BA"/>
    <w:rsid w:val="7A315620"/>
    <w:rsid w:val="7A7466C1"/>
    <w:rsid w:val="7AAC6370"/>
    <w:rsid w:val="7BCB7E9E"/>
    <w:rsid w:val="7C3A0345"/>
    <w:rsid w:val="7CCB71F0"/>
    <w:rsid w:val="7DFE7752"/>
    <w:rsid w:val="7E4412CF"/>
    <w:rsid w:val="7E6803F9"/>
    <w:rsid w:val="7EEF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1626</Words>
  <Characters>2021</Characters>
  <Lines>0</Lines>
  <Paragraphs>0</Paragraphs>
  <TotalTime>38</TotalTime>
  <ScaleCrop>false</ScaleCrop>
  <LinksUpToDate>false</LinksUpToDate>
  <CharactersWithSpaces>2021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2021-10-18T08:31:00Z</dcterms:created>
  <dc:creator>0</dc:creator>
  <cp:lastModifiedBy>ly</cp:lastModifiedBy>
  <cp:lastPrinted>2022-10-18T08:50:00Z</cp:lastPrinted>
  <dcterms:modified xsi:type="dcterms:W3CDTF">2023-07-22T01:58:03Z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08DB4E1524D64F2FA8BBB3938E509F47_13</vt:lpwstr>
  </property>
</Properties>
</file>