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en-US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en-US" w:bidi="ar-SA"/>
        </w:rPr>
        <w:t>开展重大政策和重点项目绩效评价情况</w:t>
      </w:r>
    </w:p>
    <w:p>
      <w:pPr>
        <w:pStyle w:val="2"/>
        <w:pageBreakBefore w:val="0"/>
        <w:kinsoku w:val="0"/>
        <w:wordWrap/>
        <w:overflowPunct/>
        <w:topLinePunct w:val="0"/>
        <w:autoSpaceDE w:val="0"/>
        <w:autoSpaceDN w:val="0"/>
        <w:bidi w:val="0"/>
        <w:spacing w:before="0" w:beforeLines="0" w:after="0" w:afterLines="0" w:line="600" w:lineRule="exact"/>
        <w:ind w:left="0" w:firstLine="640" w:firstLineChars="200"/>
        <w:jc w:val="both"/>
        <w:textAlignment w:val="baseline"/>
        <w:rPr>
          <w:rFonts w:hint="default" w:ascii="黑体" w:hAnsi="黑体" w:eastAsia="黑体" w:cs="Times New Roman"/>
          <w:b w:val="0"/>
          <w:bCs w:val="0"/>
          <w:sz w:val="32"/>
          <w:szCs w:val="32"/>
        </w:rPr>
      </w:pPr>
    </w:p>
    <w:p>
      <w:pPr>
        <w:pStyle w:val="2"/>
        <w:pageBreakBefore w:val="0"/>
        <w:kinsoku w:val="0"/>
        <w:wordWrap/>
        <w:overflowPunct/>
        <w:topLinePunct w:val="0"/>
        <w:autoSpaceDE w:val="0"/>
        <w:autoSpaceDN w:val="0"/>
        <w:bidi w:val="0"/>
        <w:spacing w:before="0" w:beforeLines="0" w:after="0" w:afterLines="0" w:line="600" w:lineRule="exact"/>
        <w:ind w:lef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2023年度重点绩效评价工作优先选择贯彻落实党中央、国务院重大方针政策和决策部署、自治区党委</w:t>
      </w:r>
      <w:r>
        <w:rPr>
          <w:rFonts w:hint="eastAsia" w:ascii="仿宋_GB2312" w:hAnsi="仿宋_GB2312" w:cs="仿宋_GB2312"/>
          <w:bCs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政府</w:t>
      </w:r>
      <w:r>
        <w:rPr>
          <w:rFonts w:hint="eastAsia" w:ascii="仿宋_GB2312" w:hAnsi="仿宋_GB2312" w:cs="仿宋_GB2312"/>
          <w:bCs/>
          <w:sz w:val="36"/>
          <w:szCs w:val="36"/>
          <w:lang w:val="en-US" w:eastAsia="zh-CN"/>
        </w:rPr>
        <w:t>和鄂尔多斯市党委、政府的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工作要求，以及覆盖面广、影响力大、社会关注度高、</w:t>
      </w:r>
      <w:r>
        <w:rPr>
          <w:rFonts w:hint="eastAsia" w:ascii="仿宋_GB2312" w:hAnsi="仿宋_GB2312" w:cs="仿宋_GB2312"/>
          <w:bCs/>
          <w:sz w:val="36"/>
          <w:szCs w:val="36"/>
          <w:lang w:val="en-US" w:eastAsia="zh-CN"/>
        </w:rPr>
        <w:t>关系民生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的项目，由各业务处结合项目管理情况推荐，最终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2023年度财政重点评价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共选定</w:t>
      </w:r>
      <w:r>
        <w:rPr>
          <w:rFonts w:hint="eastAsia" w:ascii="仿宋_GB2312" w:hAnsi="仿宋_GB2312" w:cs="仿宋_GB2312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个项目</w:t>
      </w:r>
      <w:r>
        <w:rPr>
          <w:rFonts w:hint="eastAsia" w:ascii="仿宋_GB2312" w:hAnsi="仿宋_GB2312" w:cs="仿宋_GB2312"/>
          <w:b w:val="0"/>
          <w:bCs w:val="0"/>
          <w:sz w:val="36"/>
          <w:szCs w:val="36"/>
          <w:lang w:val="en-US" w:eastAsia="zh-CN"/>
        </w:rPr>
        <w:t>和一个部门整体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" w:eastAsia="zh-CN"/>
        </w:rPr>
        <w:t>评价类型覆盖“四本预算”及部门整体支出、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政府投资基金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" w:eastAsia="zh-CN"/>
        </w:rPr>
        <w:t>、政府购买服务、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地方政府专项债券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" w:eastAsia="zh-CN"/>
        </w:rPr>
        <w:t>等方面。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重点评价结果为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优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的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个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lang w:val="en"/>
        </w:rPr>
        <w:t>,占项目数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%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；评价结果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为良的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个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lang w:val="en"/>
        </w:rPr>
        <w:t>,占项目数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%；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结果为中的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个，占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项目数14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</w:rPr>
        <w:t>%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eastAsia="zh-CN"/>
        </w:rPr>
        <w:t>。</w:t>
      </w:r>
    </w:p>
    <w:p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600" w:lineRule="exact"/>
        <w:ind w:firstLine="540" w:firstLineChars="200"/>
        <w:jc w:val="both"/>
        <w:textAlignment w:val="baseline"/>
        <w:rPr>
          <w:rFonts w:ascii="Helvetica" w:hAnsi="Helvetica" w:eastAsia="Helvetica" w:cs="Helvetica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jdlMzYzNmMxNTk4YzViY2MyODZhMzM5NDNjMTQifQ=="/>
  </w:docVars>
  <w:rsids>
    <w:rsidRoot w:val="0D0760AF"/>
    <w:rsid w:val="01BD3335"/>
    <w:rsid w:val="0A501179"/>
    <w:rsid w:val="0D0760AF"/>
    <w:rsid w:val="0E74786D"/>
    <w:rsid w:val="11EC4A9E"/>
    <w:rsid w:val="13210E24"/>
    <w:rsid w:val="1AF82718"/>
    <w:rsid w:val="27377365"/>
    <w:rsid w:val="2B0C70C5"/>
    <w:rsid w:val="408C3E1C"/>
    <w:rsid w:val="4E651922"/>
    <w:rsid w:val="55A44D32"/>
    <w:rsid w:val="6B3D57E1"/>
    <w:rsid w:val="723B3782"/>
    <w:rsid w:val="7A7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2024-07-11T07:46:00Z</dcterms:created>
  <dc:creator>lz</dc:creator>
  <cp:lastModifiedBy>LENOVO</cp:lastModifiedBy>
  <cp:lastPrinted>2024-07-11T09:26:00Z</cp:lastPrinted>
  <dcterms:modified xsi:type="dcterms:W3CDTF">2024-10-30T07:29:41Z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7738850DD22440A6B732F10429D9CC09</vt:lpwstr>
  </property>
</Properties>
</file>