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ind w:left="0" w:firstLine="0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乌审旗财政局关于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2022年度</w:t>
      </w:r>
    </w:p>
    <w:p>
      <w:pPr>
        <w:spacing w:line="360" w:lineRule="auto"/>
        <w:ind w:left="0" w:firstLine="0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绩效评价工作情况的总结</w:t>
      </w:r>
    </w:p>
    <w:p>
      <w:pPr>
        <w:spacing w:line="360" w:lineRule="auto"/>
        <w:ind w:left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为深入贯彻落实《中共中央国务院关于全面实施预算绩效管理的意见》，加快建成全方位、全过程、全覆盖的预算绩效管理体系，切实增强各部门支出绩效意识，维护财经秩序、规范财政管理、保障资金安全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提高资金使用效益，现将202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绩效评价</w:t>
      </w:r>
      <w:r>
        <w:rPr>
          <w:rFonts w:hint="eastAsia" w:ascii="仿宋" w:hAnsi="仿宋" w:eastAsia="仿宋" w:cs="仿宋"/>
          <w:sz w:val="32"/>
          <w:szCs w:val="32"/>
        </w:rPr>
        <w:t>工作开展情况总结如下：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绩效评价工作开展情况</w:t>
      </w:r>
    </w:p>
    <w:p>
      <w:pPr>
        <w:numPr>
          <w:numId w:val="0"/>
        </w:numPr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（一）逐步健全完善制度体系</w:t>
      </w:r>
    </w:p>
    <w:p>
      <w:pPr>
        <w:numPr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为贯彻落实全面实施预算绩效管理精神，强化绩效责任意识，完善局机关预算绩效管理工作机制，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印发了《乌审旗财政局预算绩效管理工作规程》，办法适用财政局内部预算绩效管理相关单位、股室开展预算绩效管理工作。按照绩效与预算一体化和建立“全方位、全过程、全覆盖”的预算绩效管理体系要求，财政局建立分工负责、高效协同的预算绩效管理机制，建立结果导向的绩效管理体系，加强绩效管理结果运用，不断调整和优化支出结构，促进节支增效。同时，转发了《鄂尔多斯市本级财政支出事前绩效评估管理办法》、《鄂尔多斯市人民政府关于全面实施预算绩效管理的意见》，其中后者通过旗人民政府转发。此外，还</w:t>
      </w:r>
      <w:r>
        <w:rPr>
          <w:rFonts w:hint="eastAsia" w:ascii="仿宋" w:hAnsi="仿宋" w:eastAsia="仿宋" w:cs="仿宋"/>
          <w:spacing w:val="2"/>
          <w:sz w:val="32"/>
          <w:szCs w:val="32"/>
        </w:rPr>
        <w:t>制定了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pacing w:val="13"/>
          <w:sz w:val="32"/>
          <w:szCs w:val="32"/>
        </w:rPr>
        <w:t>乌</w:t>
      </w:r>
      <w:r>
        <w:rPr>
          <w:rFonts w:hint="eastAsia" w:ascii="仿宋" w:hAnsi="仿宋" w:eastAsia="仿宋" w:cs="仿宋"/>
          <w:spacing w:val="9"/>
          <w:sz w:val="32"/>
          <w:szCs w:val="32"/>
        </w:rPr>
        <w:t>审旗本级财政投资项目评审管理暂行办法</w:t>
      </w:r>
      <w:r>
        <w:rPr>
          <w:rFonts w:hint="eastAsia" w:ascii="仿宋" w:hAnsi="仿宋" w:eastAsia="仿宋" w:cs="仿宋"/>
          <w:spacing w:val="9"/>
          <w:sz w:val="32"/>
          <w:szCs w:val="32"/>
          <w:lang w:eastAsia="zh-CN"/>
        </w:rPr>
        <w:t>》、</w:t>
      </w:r>
      <w:r>
        <w:rPr>
          <w:rFonts w:hint="eastAsia" w:ascii="仿宋" w:hAnsi="仿宋" w:eastAsia="仿宋" w:cs="仿宋"/>
          <w:sz w:val="32"/>
          <w:szCs w:val="32"/>
        </w:rPr>
        <w:t>《乌审旗本级预算绩效目标管理工作规程(试行)》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pacing w:val="2"/>
          <w:sz w:val="32"/>
          <w:szCs w:val="32"/>
        </w:rPr>
        <w:t>《</w:t>
      </w:r>
      <w:r>
        <w:rPr>
          <w:rFonts w:hint="eastAsia" w:ascii="仿宋" w:hAnsi="仿宋" w:eastAsia="仿宋" w:cs="仿宋"/>
          <w:spacing w:val="2"/>
          <w:sz w:val="32"/>
          <w:szCs w:val="32"/>
          <w:lang w:val="en-US" w:eastAsia="zh-CN"/>
        </w:rPr>
        <w:t>乌审旗</w:t>
      </w:r>
      <w:r>
        <w:rPr>
          <w:rFonts w:hint="eastAsia" w:ascii="仿宋" w:hAnsi="仿宋" w:eastAsia="仿宋" w:cs="仿宋"/>
          <w:spacing w:val="2"/>
          <w:sz w:val="32"/>
          <w:szCs w:val="32"/>
        </w:rPr>
        <w:t>本级预算绩效运行监控管理工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作规程》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，并已将印发提上日程。</w:t>
      </w:r>
    </w:p>
    <w:p>
      <w:pPr>
        <w:numPr>
          <w:numId w:val="0"/>
        </w:numPr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（二）优化绩效目标，实现目标管理全覆盖</w:t>
      </w:r>
    </w:p>
    <w:p>
      <w:pPr>
        <w:numPr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积极组织全旗各预算单位开展项目资金绩效自评。全面开展项目支出绩效目标管理工作，要求部门编制预算时，所有项目均编制绩效目标，严格按照“一项目、一评价、一报告”的要求，实现绩效目标管理全覆盖。</w:t>
      </w:r>
    </w:p>
    <w:p>
      <w:pPr>
        <w:numPr>
          <w:numId w:val="0"/>
        </w:num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（三）完善绩效流程，开展项目预算绩效运行监控</w:t>
      </w:r>
    </w:p>
    <w:p>
      <w:pPr>
        <w:numPr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绩效目标为基础，实行部门自行监控和财政部门重点监控的“双监控”，选择乡村振兴、教育、卫生健康、社会保障等项目进行重点绩效运行监控。主要有贯彻落实党中央、国务院重大方针政策和决策部署的项目；覆盖面广、影响力大、社会关注度高、实施期长的项目；自治区、市、旗党委政府重大决策部署涉及的重点项目进行重点监控。共涉及项目37个，涉及财政资金2.1亿多元。</w:t>
      </w:r>
    </w:p>
    <w:p>
      <w:pPr>
        <w:numPr>
          <w:numId w:val="0"/>
        </w:numPr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（四）进一步优化投资评审程序</w:t>
      </w:r>
    </w:p>
    <w:p>
      <w:pPr>
        <w:widowControl/>
        <w:numPr>
          <w:numId w:val="0"/>
        </w:numPr>
        <w:wordWrap/>
        <w:adjustRightInd w:val="0"/>
        <w:snapToGrid w:val="0"/>
        <w:spacing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遵循“实事求是、客观公正”的评审原则，继续加强财政投资项目的评审，严格按程序出具评审结论，为规范财政投资行为、节约财政资金发挥重要作用。全年各类政府性投资项目评审30项，累计送审金额7.50亿元，审定金额7.20亿元，审减金额0.30亿元，综合核减率4.18%。</w:t>
      </w:r>
      <w:bookmarkStart w:id="0" w:name="_GoBack"/>
      <w:bookmarkEnd w:id="0"/>
    </w:p>
    <w:p>
      <w:pPr>
        <w:numPr>
          <w:numId w:val="0"/>
        </w:numPr>
        <w:spacing w:line="360" w:lineRule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二、下一步工作思路及建议</w:t>
      </w:r>
    </w:p>
    <w:p>
      <w:pPr>
        <w:numPr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下一步，我旗将按照上级财政部门要求，认真贯彻新发展理念，推动高质量发展，全力落实好全面实施预算绩效管理各项工作任务。</w:t>
      </w:r>
    </w:p>
    <w:p>
      <w:pPr>
        <w:numPr>
          <w:numId w:val="0"/>
        </w:num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一是完善绩效评价指标体系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。建立健全适合我旗特点、定量和定性相结合的共性绩效指标框架，构建分行业、分领域的绩效目标指标体系和绩效评价指标体系，提升绩效目标科学化、合理化水平，提高绩效评估评价结果的客观性和准确性。</w:t>
      </w:r>
    </w:p>
    <w:p>
      <w:pPr>
        <w:numPr>
          <w:numId w:val="0"/>
        </w:numPr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二是强化评价结果应用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。建立绩效评价结果的反馈与整改、激励与问责制度，将评价结果作为安排以后年度预算的重要依据，切实发挥绩效评价工作重要作用。继续推进绩效评价信息公开，逐步推行全旗各预算单位绩效目标、绩效报告、评价结果等信息在政府门户网站公开发布，主动接受社会监督。 </w:t>
      </w:r>
    </w:p>
    <w:p>
      <w:pPr>
        <w:numPr>
          <w:numId w:val="0"/>
        </w:numPr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三是探索第三方参与绩效管理工作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。将预算绩效内部考核和外部考核相结合，加强第三方评估机构规范管理和学习培训，确保第三方机构对项目进行客观、准确、科学的评价，提出合理建议，为后续财政项目支出提供决策参考，提高预算绩效管理效果。 </w:t>
      </w:r>
    </w:p>
    <w:p>
      <w:pPr>
        <w:numPr>
          <w:numId w:val="0"/>
        </w:numPr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四是加快完善预算绩效管理信息系统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。积极与上级财政部门对接，建立财政预算绩效管理信息化平台，积极构建绩效考评指标库、基础项目库、数据库和专家库“四位一体”的绩效管理信息系统，为财政预算绩效管理提供信息支撑。</w:t>
      </w:r>
    </w:p>
    <w:p>
      <w:pPr>
        <w:numPr>
          <w:numId w:val="0"/>
        </w:num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五是强化预算绩效管理工作考核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。细化完善推进预算绩效管理的领导职责和问责机制，对考核名次靠后、工作推进不力的部门，采取减少预算安排等方式责令限期整改。 </w:t>
      </w:r>
    </w:p>
    <w:p>
      <w:pPr>
        <w:numPr>
          <w:numId w:val="0"/>
        </w:numPr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六是加强宣传和培训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。培育“各部门追求绩效、社会公众监督绩效”的理念，为预算绩效管理创造良好的思想基础和舆论环境，推动绩效管理从财政部门的 “单兵推进”向各相关主体广泛参与的共同治理转变。</w:t>
      </w:r>
    </w:p>
    <w:p>
      <w:pPr>
        <w:numPr>
          <w:numId w:val="0"/>
        </w:numPr>
        <w:spacing w:line="360" w:lineRule="auto"/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219383464">
    <w:nsid w:val="84491AA8"/>
    <w:multiLevelType w:val="singleLevel"/>
    <w:tmpl w:val="84491AA8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2193834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TQ2OWZlYWFjNWI2MzdkMDIwYWQ3NzU3MTAzZDEwMjkifQ=="/>
  </w:docVars>
  <w:rsids>
    <w:rsidRoot w:val="00000000"/>
    <w:rsid w:val="02C646E1"/>
    <w:rsid w:val="03E26ED3"/>
    <w:rsid w:val="04404D39"/>
    <w:rsid w:val="05157BA2"/>
    <w:rsid w:val="07637A03"/>
    <w:rsid w:val="07BA02B6"/>
    <w:rsid w:val="08BD734A"/>
    <w:rsid w:val="08C565F2"/>
    <w:rsid w:val="096D5B4F"/>
    <w:rsid w:val="097D1872"/>
    <w:rsid w:val="10725EA8"/>
    <w:rsid w:val="10E70644"/>
    <w:rsid w:val="11AD363C"/>
    <w:rsid w:val="11BA7719"/>
    <w:rsid w:val="12B10F0A"/>
    <w:rsid w:val="14F95868"/>
    <w:rsid w:val="1BFD51C0"/>
    <w:rsid w:val="1D882AAE"/>
    <w:rsid w:val="1DA567C4"/>
    <w:rsid w:val="1E17083B"/>
    <w:rsid w:val="1F8D0609"/>
    <w:rsid w:val="20454BA4"/>
    <w:rsid w:val="23455891"/>
    <w:rsid w:val="2504136D"/>
    <w:rsid w:val="251E7EBD"/>
    <w:rsid w:val="25365A33"/>
    <w:rsid w:val="256718FC"/>
    <w:rsid w:val="29E51041"/>
    <w:rsid w:val="2AED4852"/>
    <w:rsid w:val="2CA340B6"/>
    <w:rsid w:val="2CF9108B"/>
    <w:rsid w:val="336E5173"/>
    <w:rsid w:val="34D702C4"/>
    <w:rsid w:val="3A6A3F6F"/>
    <w:rsid w:val="3CCA034E"/>
    <w:rsid w:val="3CE65DE3"/>
    <w:rsid w:val="3E78205A"/>
    <w:rsid w:val="3FCE63A8"/>
    <w:rsid w:val="43EA577A"/>
    <w:rsid w:val="46761547"/>
    <w:rsid w:val="46DA1160"/>
    <w:rsid w:val="474D3FE4"/>
    <w:rsid w:val="47855EE6"/>
    <w:rsid w:val="4839282C"/>
    <w:rsid w:val="48F45FD0"/>
    <w:rsid w:val="4C3954F1"/>
    <w:rsid w:val="4D537EEC"/>
    <w:rsid w:val="51493BB9"/>
    <w:rsid w:val="515F5A90"/>
    <w:rsid w:val="52374280"/>
    <w:rsid w:val="53C315D6"/>
    <w:rsid w:val="562E44D5"/>
    <w:rsid w:val="58003366"/>
    <w:rsid w:val="5B466745"/>
    <w:rsid w:val="5D2B10F5"/>
    <w:rsid w:val="5E7A5C21"/>
    <w:rsid w:val="64FC2D2E"/>
    <w:rsid w:val="66F978FF"/>
    <w:rsid w:val="680C5410"/>
    <w:rsid w:val="6E0252EB"/>
    <w:rsid w:val="6FFB0243"/>
    <w:rsid w:val="710B7D09"/>
    <w:rsid w:val="7150636D"/>
    <w:rsid w:val="75E35A02"/>
    <w:rsid w:val="7D120425"/>
    <w:rsid w:val="7DB008BF"/>
    <w:rsid w:val="7DD547CA"/>
    <w:rsid w:val="7E0D3F6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ind w:left="284" w:firstLine="357"/>
      <w:jc w:val="both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page number"/>
    <w:basedOn w:val="3"/>
    <w:uiPriority w:val="0"/>
    <w:rPr/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1425</Words>
  <Characters>1439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2022-02-14T00:41:00Z</dcterms:created>
  <dc:creator>lenovo</dc:creator>
  <cp:lastModifiedBy>lenovo</cp:lastModifiedBy>
  <dcterms:modified xsi:type="dcterms:W3CDTF">2023-03-06T03:40:42Z</dcterms:modified>
  <dc:title>乌审旗财政局关于2021年度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678ABF2BE8FD4D74A285A40A5263994A</vt:lpwstr>
  </property>
</Properties>
</file>