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3A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454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36C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936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946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62B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乌审旗政务服务与数据管理局关于报送</w:t>
      </w:r>
    </w:p>
    <w:p w14:paraId="23EEB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2024年法治政府建设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-1958975</wp:posOffset>
            </wp:positionV>
            <wp:extent cx="5687060" cy="1289050"/>
            <wp:effectExtent l="0" t="0" r="8890" b="6350"/>
            <wp:wrapNone/>
            <wp:docPr id="4" name="图片 4" descr="C:\Users\Administrator\Desktop\文头2024\乌审旗政务服务与数据管理局红头.jpg乌审旗政务服务与数据管理局红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文头2024\乌审旗政务服务与数据管理局红头.jpg乌审旗政务服务与数据管理局红头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70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-765810</wp:posOffset>
            </wp:positionV>
            <wp:extent cx="6216015" cy="177165"/>
            <wp:effectExtent l="0" t="0" r="0" b="0"/>
            <wp:wrapNone/>
            <wp:docPr id="5" name="图片 5" descr="乌审旗政务服务局（函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乌审旗政务服务局（函头）"/>
                    <pic:cNvPicPr>
                      <a:picLocks noChangeAspect="1"/>
                    </pic:cNvPicPr>
                  </pic:nvPicPr>
                  <pic:blipFill>
                    <a:blip r:embed="rId6"/>
                    <a:srcRect t="75872" r="-332" b="13004"/>
                    <a:stretch>
                      <a:fillRect/>
                    </a:stretch>
                  </pic:blipFill>
                  <pic:spPr>
                    <a:xfrm>
                      <a:off x="0" y="0"/>
                      <a:ext cx="621601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工作总结的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函</w:t>
      </w:r>
    </w:p>
    <w:p w14:paraId="37447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9FC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旗依法治旗办：</w:t>
      </w:r>
    </w:p>
    <w:p w14:paraId="46874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今年我局紧紧围绕“一规划、两纲要”各项要求，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以深化“放管服”改革为主线，全面推进“蒙速办·一网办、掌上办、一次办、帮您办”“接诉即办”“政务公开”等重点工作任务落实，深入推进依法行政，为法治政府建设和法治政府示范创建各项工作贡献政务服务力量。</w:t>
      </w:r>
    </w:p>
    <w:p w14:paraId="5707273A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firstLine="640" w:firstLineChars="200"/>
        <w:jc w:val="both"/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一、推进政府职能优化协同高效运行</w:t>
      </w: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410B1CC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firstLine="643" w:firstLineChars="200"/>
        <w:jc w:val="left"/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3037205</wp:posOffset>
                </wp:positionV>
                <wp:extent cx="845185" cy="297815"/>
                <wp:effectExtent l="0" t="0" r="12065" b="698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06770" y="9884410"/>
                          <a:ext cx="845185" cy="297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5.75pt;margin-top:239.15pt;height:23.45pt;width:66.55pt;z-index:251660288;v-text-anchor:middle;mso-width-relative:page;mso-height-relative:page;" fillcolor="#FFFFFF [3212]" filled="t" stroked="f" coordsize="21600,21600" o:gfxdata="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R85Eu3AAAAAsBAAAPAAAAAAAAAAEAIAAAACIA&#10;AABkcnMvZG93bnJldi54bWxQSwECFAAUAAAACACHTuJAAIGIuXcCAADYBAAADgAAAAAAAAABACAA&#10;AAArAQAAZHJzL2Uyb0RvYy54bWxQSwUGAAAAAAYABgBZAQAAF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2566035</wp:posOffset>
            </wp:positionV>
            <wp:extent cx="6047740" cy="86360"/>
            <wp:effectExtent l="0" t="0" r="10160" b="8890"/>
            <wp:wrapNone/>
            <wp:docPr id="2" name="图片 2" descr="函尾16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函尾16.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8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（一）夯实理论根基，加强依法行政能力建设。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始终把学习贯彻习近平法治思想作为重中之重，今年召开安排部署法治建设相关工作会议2次，召开学习习近平法治思想会议6次，召开优化营商环境工作推进会议6次，学习传达诚信建设会议精神3次，其他上级会议及领导讲话精神20余次，学习纪委通报案例3个，党内法规6次。通过不断学习提高和强化了党员领导干部的廉洁自律意识、岗位责任意识、法治思维意识，有效提升了</w:t>
      </w:r>
      <w:r>
        <w:rPr>
          <w:rStyle w:val="12"/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领导干部法治素养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2"/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增强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了</w:t>
      </w:r>
      <w:r>
        <w:rPr>
          <w:rStyle w:val="12"/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依法履职能力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。</w:t>
      </w:r>
    </w:p>
    <w:p w14:paraId="6314837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firstLine="640" w:firstLineChars="200"/>
        <w:jc w:val="left"/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（二）加强组织领导，严格落实法治建设第一责任人职责。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认真贯彻落实法治政府建设各项工作安排部署，把推进法治建设第一责任人职责列入年终述职报告，切实将依法治旗工作与政务服务工作有机衔接，着力推动党组主体责任、一把手第一责任、分管领导直接责任、其他成员“一岗双责”责任的工作体制和工作格局，及时召开依法治旗工作部署会议，制定工作计划，调整工作领导小组，确保工作责任严格落实到位。</w:t>
      </w:r>
    </w:p>
    <w:p w14:paraId="77F95D9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left="0" w:leftChars="0" w:firstLine="640" w:firstLineChars="200"/>
        <w:jc w:val="left"/>
        <w:rPr>
          <w:rStyle w:val="12"/>
          <w:rFonts w:hint="default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（三）规范权力运行，坚决遵守重大行政决策程序。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严格遵守《重大行政决策程序暂行条例》《内蒙古自治区重大行政决策程序规定》，遵守本单位《财务管理制度》《采购管理制度》《信息报送制度》《干部职工“正向激励、负向教育”实施方案和考核细则》等涵盖财务、干部管理和日常管理等多项管理制度，用制度标准规范、约束政务服务各项工作。今年发布规范性文件1份儿，经过法律顾问征求意见、政府合法性审查、政府常务会审议等系列手续并在旗人民政府网站公开发布。年内召开党组会议14次，研究“三重一大”事项，事项执行结果采取适当方式进行了公开，全程接受监督管理。法律顾问审查重要合同及文件10份儿，为领导班子科学合法决策提供了有效保障。</w:t>
      </w:r>
    </w:p>
    <w:p w14:paraId="0D7B638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left="0" w:leftChars="0" w:firstLine="640" w:firstLineChars="200"/>
        <w:jc w:val="left"/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（四）优化机构设置，提升机关运行行政效率。</w:t>
      </w:r>
      <w:r>
        <w:rPr>
          <w:rStyle w:val="12"/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完成了旗政务服务局和旗大数据管理中心的合并，成立旗政务服务与数据管理局，优化内设机构功能布局，科学合理配置人员，细化职责分工，使每个岗位都发挥最大作用，从而实现资源高效利用，提升政府行政效能和治理能力。印发《乌审旗各级政府部门权责清单动态管理办法》，2023年调整公布旗本级权责清单8305项，严格按照权责清单做到依法决策、依法执行和依法监督。同时今年根据《内蒙古自治区赋予苏木乡镇(街道)行政执法权力指导目录》，6个苏木镇已经完成苏木镇级权责清单的调整，旗级权责清单调整已接近尾声。</w:t>
      </w:r>
    </w:p>
    <w:p w14:paraId="264FD1B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79" w:lineRule="exact"/>
        <w:ind w:firstLine="640" w:firstLineChars="200"/>
        <w:jc w:val="left"/>
        <w:rPr>
          <w:rStyle w:val="12"/>
          <w:rFonts w:hint="eastAsia"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二、优化政务服务推动法治化营商环境建设。</w:t>
      </w:r>
    </w:p>
    <w:p w14:paraId="586BA67B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79" w:lineRule="exact"/>
        <w:ind w:firstLine="640" w:firstLineChars="200"/>
        <w:jc w:val="left"/>
        <w:rPr>
          <w:rStyle w:val="12"/>
          <w:rFonts w:hint="eastAsia"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（五）落实告知承诺制方面。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创新“信用审批+承诺即入”审批模式，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首批确定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公共场所卫生许可、建筑工程施工许可证核发等30</w:t>
      </w:r>
      <w:r>
        <w:rPr>
          <w:rFonts w:hint="eastAsia" w:ascii="仿宋_GB2312" w:hAnsi="仿宋_GB2312" w:eastAsia="仿宋_GB2312" w:cs="仿宋_GB2312"/>
          <w:sz w:val="32"/>
          <w:szCs w:val="32"/>
        </w:rPr>
        <w:t>项事项纳入“承诺即入”实施清单，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采用“一表即入、承诺即入、先入后验”三种方式，助力市场主体“准入即准营”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，审批效率提升</w:t>
      </w:r>
      <w:r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截至目前，产生办件214件。推进“信用+容缺”受理，梳理公布可容缺事项145项，截至目前，产生办件99件。</w:t>
      </w:r>
    </w:p>
    <w:p w14:paraId="3754EEE1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2"/>
          <w:rFonts w:hint="eastAsia" w:ascii="楷体_GB2312" w:hAnsi="楷体_GB2312" w:eastAsia="楷体_GB2312" w:cs="楷体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高效办成一件事方面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夯实“三集中三到位”改革成果，旗本级43个部门1740项事项实现“一站式”办理，40个部门1345项事项实现“综合一窗受理”，相较去年新增事项30项，全年综窗产生办件2万余件。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聚焦“高效办成一件事”改革。推动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件国办“一件事”落地实施，并在全市创新推出企业“1+N”证照注销联办一件事、人才创新创业一件事，累计推出164项“一件事”套餐服务，平均减少办理环节74.85％、精简申报材料43.3％，压缩办理时限79.25％，大幅提升审批效能。一件事全年产生办件量5.8万件，较去年同期增长22%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全面推行政务服务增值化改革，升级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设立企业“一站式”服务中心，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将11个部门93项涉企事项集中到综窗受理，同时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提供124项优质衍生服务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全年“一站式”服务中心产生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办件量2300余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件；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全区通办事项应用，新梳理公布360项全区通办事项，产生跨域办件3.7万余件，较去年同期办件增加19%。</w:t>
      </w:r>
    </w:p>
    <w:p w14:paraId="50C637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（七）政务诚信建设方面。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积极落实《乌审旗诚信建设工程实施方案》，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及时梳理公布并动态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调整全旗权责清单。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重视企业投诉整改，线下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开设“诚信建设投诉”综合受理窗口，线上可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通过12345热线、政府网站、微信公众号、政务服务网、蒙速办APP等渠道受理有关政务诚信事项，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制定《乌审旗政务服务中心诚信投诉处理暂行办法》，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截至2024年11月7日，乌审旗共收到12345热线政务失信诉求32件，已办结31件，响应率100%、解决率96.77%、满意率96.77%。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在旗政务大厅电子屏开展各类诚信宣传25次，发放宣传册300余本，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积极引导办事群众树立诚信意识，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营</w:t>
      </w:r>
      <w:r>
        <w:rPr>
          <w:rFonts w:hint="eastAsia" w:ascii="仿宋_GB2312" w:hAnsi="仿宋_GB2312" w:eastAsia="仿宋_GB2312" w:cs="仿宋_GB2312"/>
          <w:sz w:val="32"/>
          <w:szCs w:val="32"/>
        </w:rPr>
        <w:t>造诚实守信的良好社会环境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2BD075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政务公开工作方面。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乌审旗人民政府网站全年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发布政府信息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3759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重点领域发布信息391篇，政府各部门公开文件413篇；旗长信箱共受理申请32件，办结32件，网站公开公示9件。政府网站收到信息报送2272篇，采用369篇，采用率为16%，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向鄂尔多斯市人民政府网站上报各类信息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784</w:t>
      </w:r>
      <w:r>
        <w:rPr>
          <w:rFonts w:hint="eastAsia" w:ascii="仿宋_GB2312" w:hAnsi="仿宋_GB2312" w:eastAsia="仿宋_GB2312" w:cs="仿宋_GB2312"/>
          <w:sz w:val="32"/>
          <w:szCs w:val="32"/>
        </w:rPr>
        <w:t>篇，采用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368</w:t>
      </w:r>
      <w:r>
        <w:rPr>
          <w:rFonts w:hint="eastAsia" w:ascii="仿宋_GB2312" w:hAnsi="仿宋_GB2312" w:eastAsia="仿宋_GB2312" w:cs="仿宋_GB2312"/>
          <w:sz w:val="32"/>
          <w:szCs w:val="32"/>
        </w:rPr>
        <w:t>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目前居全市前三；严格把关新媒体开设要求，新增政务新媒体2个，注销关闭使用率不高的政务新媒体4个，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实时监督管理政务新媒体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共计46个。</w:t>
      </w:r>
    </w:p>
    <w:p w14:paraId="3FAC9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（九）接诉即办工作方面。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贯彻落实全旗接诉即办工作会议精神，以“事要解决、群众满意”为抓手，进一步完善精准派单、提醒督办、及时反馈、审核通报机制，通过成立派单研判小组，开设宝丰项目热线专席，每天晾晒工单等形式，不断提高企业和群众诉求办理质效。今年以来，累计受理工单8711件，办结工单8586件，办结率98.57%，响应率100%、解决率96.42%、满意率97.17%。</w:t>
      </w:r>
    </w:p>
    <w:p w14:paraId="1E3D7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三、强化法治政府建设科技保障，全力提升数字化、智能化建设应用水平。</w:t>
      </w:r>
    </w:p>
    <w:p w14:paraId="5F336EA5">
      <w:pPr>
        <w:pStyle w:val="2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（十）数字政府建设方面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夯实全旗电子政务外网应用支撑能力，开通180条电子政务外网线路，全旗电子政务外网接入率达到100%，</w:t>
      </w:r>
      <w:bookmarkStart w:id="0" w:name="OLE_LINK3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对各部门数据资源进行目录梳理和规范上传，截至目前，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全旗公共信息平台累计接入旗直部门44个，已梳理完成672个资源目录，资源指标总数9773个，总数据超过1.3亿条；统筹推进根数据库建设，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党建引领基层治理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根数据库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建设专项工作组，以系统使用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、上传数据、更新数据、使用数据等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考评内容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截至目前，汇聚人口数据14.9万条，房屋数据7.8万条，农牧资产数据1.6万条，沿街店铺及企业数据6183条，上架部门报表41个。</w:t>
      </w:r>
    </w:p>
    <w:p w14:paraId="2F1CED7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（十一）信息化平台建设方面。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创新线上政务服务方式，推广乌审政务百事通应用，上线系列“云服务”，产生办件919件。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拓宽线上办事渠道。完善政务服务事项场景配置，优化办事功能分区，今年已实现14项特色应用接入蒙速办融合平台，接入率达70%。</w:t>
      </w:r>
    </w:p>
    <w:p w14:paraId="0D394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四、存在的问题</w:t>
      </w:r>
    </w:p>
    <w:p w14:paraId="277AB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今年以来，旗政务服务局各项工作取得了不错进展，但也存在一些亟待解决的问题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部门审批系统互联互通程度不够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自治区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“高效办成一件事”平台存在办件材料明细推送不到医保、社保、公安等专业审批系统现象，系统之间未完全实现互联互通，“一次收集、多方共享”机制未完全落实到位。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二是数据信息应用推广力度不够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。数据信息资源整合不足，各部门之间的数据壁垒依然存在，信息流通不畅，有效数据共享机制还没有全面落地，“两个免于提交”效果不明显。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三是营商环境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工作机制落实有待加强。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体验官、“暖城·暖企”等工作机制运用不充分，发现和解决企业经营生产中遇到的实际困难不主动，未能达到“回应一个诉求、解决一类问题、提升一个领域”的工作要求。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四是部分单位不够重视接诉即办。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部分单位担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当意识不足、工作作风不实，主动治理成效不明显，群众长期反映的一些高频诉求没有得到根本解决。例如宝丰项目拖欠薪资诉求办单质效较差。</w:t>
      </w:r>
    </w:p>
    <w:p w14:paraId="389DC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五、下一步工作计划</w:t>
      </w:r>
    </w:p>
    <w:p w14:paraId="745B59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-SA"/>
        </w:rPr>
        <w:t>（一）全面深化政务服务模式创新。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推进关联事项集成办。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围绕“13+8+3+N”个“高效办成一件事”目标，强化跨部门政策、业务、系统协同和数据共享，全面推进24个“一件事”高效运行，扩展创新企业歇业等更多与企业、群众生活息息相关的一件事应用；拓展“信用+秒批秒办”“信用+帮办代办”等“信用+审批”应用场景，在更大范围发挥企业群众“信用”名片作用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强化政务服务“一张网”建设。推动本地区政务服务平台事项标准统一、业务协同联动、服务同质高效，做好各类政务服务事项和应用“应接尽接、应上尽上”工作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kern w:val="0"/>
          <w:sz w:val="32"/>
          <w:szCs w:val="32"/>
          <w:lang w:val="en-US" w:eastAsia="zh-CN" w:bidi="ar-SA"/>
        </w:rPr>
        <w:t>推动智能政务应用、审批监管联动、数据资源支撑，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加强部门数据共享应用，进一步发挥数据赋能行政审批作用，推进“无证明”城市建设、“两个免于”提交、电子证照应用等工作落地实施。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全面推动政务服务扩面增效。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拓展政务“云系列”服务，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探索创新“云勘察”“云联办”等服务场景，推动事项远程视频勘察、线上并联审批、部门联合验收等，大幅压减办理时长和办事成本；健全线上线下帮办代办体系，建立专员跟进、全程跟踪服务机制，及时解决项目推进中的难点问题；聚焦企业全链条发展需求，在政策、人才、法治、金融等板块求突破、见实效，促进增值服务多场景应用，助力民营和中小微企业“一站式办理、全链条服务、全方位发展”。</w:t>
      </w:r>
    </w:p>
    <w:p w14:paraId="5380E3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（二）全力推进营商环境重点任务。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聚焦营商环境高质量发展、高效能治理，创新“三会一评”工作机制，组织好“暖城·暖企”专项行动和体验官活动，践行服务企业需求导向，用“企业出题、政府解题、社会评价”的三步走模式，切实解决一批困扰企业发展的急难愁盼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问题，全方位培育良好营商环境生态，提升市场主体满意度。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积极复制推广营商环境创新试点改革举措，把营商环境宣传放到更加突出的位置来抓，强化工作经验提炼总结，挖掘出一批叫得响、立得住的优化营商环境特色亮点，打响擦亮优“乌”止境营商环境品牌。</w:t>
      </w:r>
    </w:p>
    <w:p w14:paraId="56B6DBD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/>
          <w:b/>
          <w:bCs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（三）数字政府建设方面。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强化全旗电子政务外网统筹管理，推进电子政务外网改造升级，扩大电子政务外网骨干带宽，试点物联网、电子政务外网移动接入，拓展电子政务外网覆盖范围。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构建全旗一体化政务云平台体系，融合现有各类政务云资源，持续提升政务云支撑能力，加强政务云资源申请、使用、撤销等环节的全面管控，推动形成“数云网端”一体融合的基础设施服务能力。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推进全旗“根数据库”一表通建设，精简、整合部门报表，完善基础数据采集，确保数据的准确性、时效性，切实为基层减负。</w:t>
      </w:r>
    </w:p>
    <w:p w14:paraId="3C785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（四）持续抓好政务公开工作。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加强政务公开典型宣传的信息推送，拓宽政府信息公开深度和广度，积极开展政务公开培训指导，不断提升政府网站重点领域政府信息的公开力度。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全面提升政策解读工作。将政策解读工作的监督指导作为日常任务进行实时调度，积极鼓励各单位结合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综合运用图示图解、场景演示、卡通动漫、专家访谈、短视频等多种形式进行多元化解读。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进一步加强依申请公开的监督指导。实时调度各部门主动自查依申请公开件，按时、规范地进行答复。学习借鉴先进地区依申请公开工作的优秀案例，配合法律顾问，严格把好告知审核关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全力打造公开、透明、权威的阳光政府。</w:t>
      </w:r>
    </w:p>
    <w:p w14:paraId="00FAD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（五）全面提升热线工单办理质效。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完善办单机制。建立群众诉求派单目录，实现精准派单。通过红绿蓝和分级提醒等方式，完善提醒督办机制。重新制定工单反馈标准模板，提高承办单位工单反馈内容规范化和标准化。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提高办单水平。通过业务培训、走访座谈、以办代训、观摩学习等方式，不断提高承办单位了解诉求、解决问题能力和水平。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加强主动治理。定期梳理发布高频诉求和共性问题，引导承办单位提前谋划、主动治理、未诉先办。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健全督办体系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充分发挥纪委监委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和两办督查室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全过程监督诉求办理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的作用，建立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完善系统、书面、现场等督办运行规则，推动化解承办单位疑难复杂工单、超期工单和延期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挂单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助力推动群众诉求得到有效解决。</w:t>
      </w:r>
    </w:p>
    <w:p w14:paraId="1F188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9B91DA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lang w:val="en-US" w:eastAsia="zh-CN"/>
        </w:rPr>
      </w:pPr>
    </w:p>
    <w:p w14:paraId="26496B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乌审旗政务服务与数据管理局   </w:t>
      </w:r>
    </w:p>
    <w:p w14:paraId="30B5FA4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2024年11月14日     </w:t>
      </w:r>
    </w:p>
    <w:p w14:paraId="17BDB1D3">
      <w:pPr>
        <w:pStyle w:val="2"/>
        <w:wordWrap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758C134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8B258A-1A7E-4F61-8B08-32CEADCE25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9C9487-064E-4762-A9B5-58BB9DC1A1D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0B2C2FE-0553-4ACE-BB49-458641A443E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F2F3893-231A-4BF8-A19D-E7DA787672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D79C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2EDAD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02EDAD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4984750</wp:posOffset>
              </wp:positionH>
              <wp:positionV relativeFrom="paragraph">
                <wp:posOffset>-94615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1B3CE2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5pt;margin-top:-7.4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4kSYU2QAAAAwBAAAPAAAAAAAAAAEAIAAAACIAAABkcnMvZG93bnJldi54&#10;bWxQSwECFAAUAAAACACHTuJA1HeY5jICAABj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1B3CE2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45D63C50"/>
    <w:rsid w:val="00135135"/>
    <w:rsid w:val="00704336"/>
    <w:rsid w:val="03394EB3"/>
    <w:rsid w:val="037B196F"/>
    <w:rsid w:val="0381685A"/>
    <w:rsid w:val="05341DD6"/>
    <w:rsid w:val="05D610DF"/>
    <w:rsid w:val="063B3638"/>
    <w:rsid w:val="069E67E9"/>
    <w:rsid w:val="077478C1"/>
    <w:rsid w:val="07FC19FB"/>
    <w:rsid w:val="08640C24"/>
    <w:rsid w:val="08BD6586"/>
    <w:rsid w:val="0BF726F4"/>
    <w:rsid w:val="0F515C7A"/>
    <w:rsid w:val="0F9F2542"/>
    <w:rsid w:val="0FF34357"/>
    <w:rsid w:val="100625C1"/>
    <w:rsid w:val="10470C93"/>
    <w:rsid w:val="105477D0"/>
    <w:rsid w:val="10D17073"/>
    <w:rsid w:val="111E43B6"/>
    <w:rsid w:val="112A22DF"/>
    <w:rsid w:val="12027CE3"/>
    <w:rsid w:val="1241311F"/>
    <w:rsid w:val="13765CAF"/>
    <w:rsid w:val="143040B0"/>
    <w:rsid w:val="153531FF"/>
    <w:rsid w:val="16157A01"/>
    <w:rsid w:val="170C7D3C"/>
    <w:rsid w:val="17991F6C"/>
    <w:rsid w:val="18505AB9"/>
    <w:rsid w:val="193C7053"/>
    <w:rsid w:val="19D43730"/>
    <w:rsid w:val="1A9E2B36"/>
    <w:rsid w:val="1B1738D4"/>
    <w:rsid w:val="1B9F38C9"/>
    <w:rsid w:val="1BA57132"/>
    <w:rsid w:val="1BF34341"/>
    <w:rsid w:val="1C4F3541"/>
    <w:rsid w:val="1D94745E"/>
    <w:rsid w:val="1F4B7FF0"/>
    <w:rsid w:val="1FAE4963"/>
    <w:rsid w:val="210963B5"/>
    <w:rsid w:val="21821CC3"/>
    <w:rsid w:val="21EE1107"/>
    <w:rsid w:val="221E19EC"/>
    <w:rsid w:val="228D26CE"/>
    <w:rsid w:val="22F27C5C"/>
    <w:rsid w:val="244D65B8"/>
    <w:rsid w:val="24C206F0"/>
    <w:rsid w:val="267C1168"/>
    <w:rsid w:val="267E514F"/>
    <w:rsid w:val="269E759F"/>
    <w:rsid w:val="26A34BB6"/>
    <w:rsid w:val="26B446CD"/>
    <w:rsid w:val="27943F34"/>
    <w:rsid w:val="28000DF0"/>
    <w:rsid w:val="29115E06"/>
    <w:rsid w:val="29D05CC2"/>
    <w:rsid w:val="29FD290F"/>
    <w:rsid w:val="2D7626DC"/>
    <w:rsid w:val="2E9E2793"/>
    <w:rsid w:val="2FC02334"/>
    <w:rsid w:val="2FC811E9"/>
    <w:rsid w:val="30F40012"/>
    <w:rsid w:val="32E225C2"/>
    <w:rsid w:val="35B376A5"/>
    <w:rsid w:val="35E14DB3"/>
    <w:rsid w:val="362829E1"/>
    <w:rsid w:val="367831D7"/>
    <w:rsid w:val="36FD3E6E"/>
    <w:rsid w:val="38E057F5"/>
    <w:rsid w:val="396106E4"/>
    <w:rsid w:val="398E5251"/>
    <w:rsid w:val="3A3758E9"/>
    <w:rsid w:val="3B44206B"/>
    <w:rsid w:val="3C2123AD"/>
    <w:rsid w:val="3DBC05DF"/>
    <w:rsid w:val="3E0B50C2"/>
    <w:rsid w:val="3EDD6E27"/>
    <w:rsid w:val="3F3D74FE"/>
    <w:rsid w:val="3F9561C4"/>
    <w:rsid w:val="40494752"/>
    <w:rsid w:val="405C198A"/>
    <w:rsid w:val="40C94DC1"/>
    <w:rsid w:val="40D0614F"/>
    <w:rsid w:val="40D479EE"/>
    <w:rsid w:val="43BE4985"/>
    <w:rsid w:val="43C27FD1"/>
    <w:rsid w:val="43C875B2"/>
    <w:rsid w:val="449851D6"/>
    <w:rsid w:val="44A21BB1"/>
    <w:rsid w:val="45441FDC"/>
    <w:rsid w:val="45D63C50"/>
    <w:rsid w:val="46E110B6"/>
    <w:rsid w:val="46E464B1"/>
    <w:rsid w:val="47D93B3C"/>
    <w:rsid w:val="4876582E"/>
    <w:rsid w:val="48BF71D5"/>
    <w:rsid w:val="4A534079"/>
    <w:rsid w:val="4B321EE0"/>
    <w:rsid w:val="4B404E9B"/>
    <w:rsid w:val="4CBE2B4C"/>
    <w:rsid w:val="4E0D2791"/>
    <w:rsid w:val="4E173610"/>
    <w:rsid w:val="4E37780E"/>
    <w:rsid w:val="4E38580A"/>
    <w:rsid w:val="502F0840"/>
    <w:rsid w:val="50B67110"/>
    <w:rsid w:val="51695F30"/>
    <w:rsid w:val="51D13A82"/>
    <w:rsid w:val="52416EAD"/>
    <w:rsid w:val="531D3476"/>
    <w:rsid w:val="550B5550"/>
    <w:rsid w:val="57284198"/>
    <w:rsid w:val="57EC3417"/>
    <w:rsid w:val="58086E95"/>
    <w:rsid w:val="580F15D6"/>
    <w:rsid w:val="5A3A490E"/>
    <w:rsid w:val="5ADF7263"/>
    <w:rsid w:val="5C5510C9"/>
    <w:rsid w:val="5D1C654D"/>
    <w:rsid w:val="5D213E13"/>
    <w:rsid w:val="5D5C2DED"/>
    <w:rsid w:val="5D9407D9"/>
    <w:rsid w:val="5EAC7862"/>
    <w:rsid w:val="5FEB1924"/>
    <w:rsid w:val="5FEF7F48"/>
    <w:rsid w:val="6142054C"/>
    <w:rsid w:val="62DE42A4"/>
    <w:rsid w:val="62F34AE7"/>
    <w:rsid w:val="63224191"/>
    <w:rsid w:val="63E678B4"/>
    <w:rsid w:val="643876A0"/>
    <w:rsid w:val="66176972"/>
    <w:rsid w:val="6837248C"/>
    <w:rsid w:val="6908207B"/>
    <w:rsid w:val="692E55BC"/>
    <w:rsid w:val="69913185"/>
    <w:rsid w:val="6B016D82"/>
    <w:rsid w:val="6C1F3963"/>
    <w:rsid w:val="6D761CA9"/>
    <w:rsid w:val="6DE62A8C"/>
    <w:rsid w:val="6ECE341F"/>
    <w:rsid w:val="70F640AD"/>
    <w:rsid w:val="721F0523"/>
    <w:rsid w:val="73010267"/>
    <w:rsid w:val="7386251A"/>
    <w:rsid w:val="74393A30"/>
    <w:rsid w:val="747E1443"/>
    <w:rsid w:val="75956A44"/>
    <w:rsid w:val="764F753B"/>
    <w:rsid w:val="76F91D20"/>
    <w:rsid w:val="779C230C"/>
    <w:rsid w:val="77BF3353"/>
    <w:rsid w:val="7A97500D"/>
    <w:rsid w:val="7AB006D4"/>
    <w:rsid w:val="7B7D2F30"/>
    <w:rsid w:val="7C195991"/>
    <w:rsid w:val="7C5C0FC1"/>
    <w:rsid w:val="7C7750F6"/>
    <w:rsid w:val="7D8A2C07"/>
    <w:rsid w:val="7F34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uppressAutoHyphens/>
      <w:bidi w:val="0"/>
      <w:ind w:firstLine="420"/>
    </w:pPr>
    <w:rPr>
      <w:rFonts w:ascii="Calibri" w:hAnsi="Calibri" w:eastAsia="宋体" w:cs="Times New Roman"/>
      <w:color w:val="auto"/>
      <w:sz w:val="32"/>
      <w:szCs w:val="32"/>
    </w:r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qFormat/>
    <w:uiPriority w:val="0"/>
    <w:pPr>
      <w:suppressAutoHyphens/>
      <w:bidi w:val="0"/>
      <w:spacing w:before="240" w:after="60"/>
      <w:jc w:val="center"/>
      <w:textAlignment w:val="baseline"/>
    </w:pPr>
    <w:rPr>
      <w:rFonts w:ascii="Arial" w:hAnsi="Arial" w:eastAsia="宋体" w:cs="Times New Roman"/>
      <w:b/>
      <w:color w:val="auto"/>
      <w:sz w:val="32"/>
      <w:szCs w:val="32"/>
      <w:lang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1"/>
    <w:basedOn w:val="1"/>
    <w:next w:val="1"/>
    <w:qFormat/>
    <w:uiPriority w:val="0"/>
    <w:pPr>
      <w:spacing w:before="156" w:line="360" w:lineRule="auto"/>
      <w:ind w:firstLine="668" w:firstLineChars="257"/>
    </w:pPr>
    <w:rPr>
      <w:rFonts w:ascii="宋体" w:hAnsi="宋体"/>
      <w:lang w:eastAsia="en-US"/>
    </w:rPr>
  </w:style>
  <w:style w:type="character" w:customStyle="1" w:styleId="12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4701</Words>
  <Characters>4882</Characters>
  <Lines>0</Lines>
  <Paragraphs>0</Paragraphs>
  <TotalTime>1</TotalTime>
  <ScaleCrop>false</ScaleCrop>
  <LinksUpToDate>false</LinksUpToDate>
  <CharactersWithSpaces>4890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2023-06-26T03:53:00Z</dcterms:created>
  <dc:creator>chenna</dc:creator>
  <cp:lastModifiedBy>绿茶咖啡</cp:lastModifiedBy>
  <dcterms:modified xsi:type="dcterms:W3CDTF">2024-12-26T08:13:16Z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A0D47DC92CED4368AA22EBC5D906B421_13</vt:lpwstr>
  </property>
</Properties>
</file>