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397510</wp:posOffset>
                </wp:positionV>
                <wp:extent cx="5615940" cy="146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4605"/>
                        </a:xfrm>
                        <a:prstGeom prst="line">
                          <a:avLst/>
                        </a:prstGeom>
                        <a:ln w="27940" cap="flat" cmpd="sng">
                          <a:solidFill>
                            <a:srgbClr val="E60012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5pt;margin-top:31.3pt;height:1.15pt;width:442.2pt;z-index:-251656192;mso-width-relative:page;mso-height-relative:page;" filled="f" stroked="t" coordsize="21600,21600" o:gfxdata="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veze3YAAAABwEAAA8A&#10;AAAAAAAAAQAgAAAAIgAAAGRycy9kb3ducmV2LnhtbFBLAQIUABQAAAAIAIdO4kDyOm1j3gEAAJkD&#10;AAAOAAAAAAAAAAEAIAAAACcBAABkcnMvZTJvRG9jLnhtbFBLBQYAAAAABgAGAFkBAAB3BQAAAAA=&#10;">
                <v:fill on="f" focussize="0,0"/>
                <v:stroke weight="2.2pt" color="#E60012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乌职转办发〔202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乌审旗推进政府职能转变和“放管服”改革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协调小组办公室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关于印发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政务服务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“走流程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优服务、提效能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行动方案的通知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旗直各部门：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为深入贯彻落实自治区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市优化营商环境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工作的重要决策部署，加快转变政府职能，着力提升政务服务水平，更好地推动政务服务标准化、规范化、便利化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确保事项“能办、好办、快办”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，让群众有更直接、更实在的获得感、幸福感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旗推进政府职能转变和“放管服”改革领导小组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“走流程、优服务、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提效能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</w:t>
      </w:r>
      <w:r>
        <w:rPr>
          <w:rFonts w:hint="eastAsia" w:ascii="仿宋_GB2312" w:hAnsi="仿宋_GB2312" w:eastAsia="仿宋_GB2312" w:cs="仿宋_GB2312"/>
          <w:sz w:val="32"/>
          <w:szCs w:val="32"/>
        </w:rPr>
        <w:t>动，结合实际制定如下实施方案。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从企业和群众视角出发，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以打造一流政务服务环境为抓手，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加快推进政务服务标准化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规范化便利化建设，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全面诊断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事项办理过程存在的堵点难点痛点问题，按照“体验一个、解决一个、回头看一个”的原则，逐项破解检验，进一步优化办事流程、完善审批系统、丰富场景应用，着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力打造审批事项最简、办事效率最高、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服务态度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最优、企业群众获得感最强的政务服务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体验内容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办事便捷度。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旗政务服务中心“预约办、延时办、跨域办”政务服务事项，诊断预约渠道是否畅通，延时办理是否能及时收件，即办件是否当时能办结，跨域通办是否真正实现“数据多跑路，群众少跑腿”。针对信用+容缺受理、信用+告知承诺、信用+秒批秒办等事项进行体验办，诊断容缺受理、承诺告知事项运行是否顺畅。同时针对国务院13件、自治区10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高效办成一件事”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，诊断内蒙古政务服务网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“蒙速办”APP“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高效办成一件事</w:t>
      </w:r>
      <w:r>
        <w:rPr>
          <w:rFonts w:hint="eastAsia" w:ascii="仿宋_GB2312" w:hAnsi="仿宋_GB2312" w:eastAsia="仿宋_GB2312" w:cs="仿宋_GB2312"/>
          <w:sz w:val="32"/>
          <w:szCs w:val="32"/>
        </w:rPr>
        <w:t>”专区检索、查询服务精准度；“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一件事</w:t>
      </w:r>
      <w:r>
        <w:rPr>
          <w:rFonts w:hint="eastAsia" w:ascii="仿宋_GB2312" w:hAnsi="仿宋_GB2312" w:eastAsia="仿宋_GB2312" w:cs="仿宋_GB2312"/>
          <w:sz w:val="32"/>
          <w:szCs w:val="32"/>
        </w:rPr>
        <w:t>”专区线上预约、办事指南、材料提交、结果反馈等过程的易用性；线下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一体化政务服务平台高效办成一件事系统”进行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现场申报，诊断事项告知、材料提交、结果反馈的便捷度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）办事满意度。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主要体验减环节、减时间、减材料、减跑动的效果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针对进驻旗政务服务中心事项，诊断是否严格落实“三集中三到位”工作要求，是否存在“明进暗不进、群众多头跑”情况；</w:t>
      </w:r>
      <w:r>
        <w:rPr>
          <w:rFonts w:hint="eastAsia" w:ascii="仿宋_GB2312" w:hAnsi="仿宋_GB2312" w:eastAsia="仿宋_GB2312" w:cs="仿宋_GB2312"/>
          <w:sz w:val="32"/>
          <w:szCs w:val="32"/>
        </w:rPr>
        <w:t>诊断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线下办理时间、办理深度、材料提交数量和要求是否与线上公布办事指南内容一致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线上线下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电子证照应用以及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咨询投诉处理情况（包括好差评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（三）服务成熟度。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通过内蒙古政务服务网、蒙速办APP等线上办事渠道，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主要诊断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可网办事项网上办理成熟度，包括服务事项网上可办率、全程网办率、即办件比率、最多跑一次事项比率、可容缺办理率等系统数据的精准度，以及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阻碍全程网办的堵点难点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产生电子监察红黄牌数据原因等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（四）系统易用度。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内蒙古一体化政务服务平台综合一窗受理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内蒙古一体化政务服务平台高效办成一件事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“一件事一次办审批管理平台”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政务百事通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APP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等业务系统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使用情况，是否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错链断链、跳转错误、使用不便捷等情况。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三、体验人员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旗人民政府分管副旗长、旗直各部门主要负责人、旗人大代表、政协委员、旗营商环境体验官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针对各行业领域进驻政务服务事项、牵头的“</w:t>
      </w:r>
      <w:r>
        <w:rPr>
          <w:rFonts w:hint="eastAsia" w:ascii="仿宋_GB2312" w:hAnsi="仿宋_GB2312" w:eastAsia="仿宋_GB2312" w:cs="仿宋_GB2312"/>
          <w:sz w:val="32"/>
          <w:szCs w:val="32"/>
        </w:rPr>
        <w:t>一件事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进行全程办理体验。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四、体验时间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自本方案印发之日起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各行业领域政务服务部门按照具体时间安排（详见附件2），邀请分管副旗长</w:t>
      </w:r>
      <w:r>
        <w:rPr>
          <w:rFonts w:hint="eastAsia" w:ascii="仿宋_GB2312" w:hAnsi="仿宋_GB2312" w:eastAsia="仿宋_GB2312" w:cs="仿宋_GB2312"/>
          <w:sz w:val="32"/>
          <w:szCs w:val="32"/>
        </w:rPr>
        <w:t>至少开展1次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政务服务事项和“高效办成一件事”</w:t>
      </w:r>
      <w:r>
        <w:rPr>
          <w:rFonts w:hint="eastAsia" w:ascii="仿宋_GB2312" w:hAnsi="仿宋_GB2312" w:eastAsia="仿宋_GB2312" w:cs="仿宋_GB2312"/>
          <w:sz w:val="32"/>
          <w:szCs w:val="32"/>
        </w:rPr>
        <w:t>体验办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行业领域政务服务部门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要常态化推进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政务服务标准化、规范化、便利化建设，针对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高效办成</w:t>
      </w:r>
      <w:r>
        <w:rPr>
          <w:rFonts w:hint="eastAsia" w:ascii="仿宋_GB2312" w:hAnsi="仿宋_GB2312" w:eastAsia="仿宋_GB2312" w:cs="仿宋_GB2312"/>
          <w:sz w:val="32"/>
          <w:szCs w:val="32"/>
        </w:rPr>
        <w:t>一件事”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表格整合、流程优化、系统运行等工作，确保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五、体验形式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（一）亲身办。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以自己为申请人，全流程参与线上线下办事过程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亲自办理具体事项，体验企业和群众办事感受。对于没有具体办事需求的，可以虚拟事项，进行模拟体验，并完成整个办事流程。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（二）帮代办。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收集了解企业和群众待办事项，经授权委托，代表企业或群众办理具体事项。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（三）陪同办。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与企业办事人员或群众一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，全程参与查看办事指南、准备材料、填写表格、窗口办理等环节，观察、听取企业办事人员和群众的意见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（四）线上办。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登录内蒙古政务服务网乌审旗站点、“蒙速办”APP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等相关线上申报渠道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开展网上（掌上）体验式办理。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下沉办。</w:t>
      </w:r>
      <w:r>
        <w:rPr>
          <w:rFonts w:hint="eastAsia" w:ascii="仿宋_GB2312" w:hAnsi="仿宋_GB2312" w:eastAsia="仿宋_GB2312" w:cs="仿宋_GB2312"/>
          <w:sz w:val="32"/>
          <w:szCs w:val="32"/>
        </w:rPr>
        <w:t>体验人员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苏木镇便民服务中心、嘎查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便民服务站了解政务服务向基层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延伸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工作开展情况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通过下沉服务的方式，体验</w:t>
      </w:r>
      <w:r>
        <w:rPr>
          <w:rFonts w:hint="eastAsia" w:ascii="仿宋_GB2312" w:hAnsi="仿宋_GB2312" w:eastAsia="仿宋_GB2312" w:cs="仿宋_GB2312"/>
          <w:sz w:val="32"/>
          <w:szCs w:val="32"/>
        </w:rPr>
        <w:t>苏木镇、嘎查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帮办代办工作。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坚持问题导向。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政务服务“走流程、优服务、提效能”行动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要坚持问题导向、目标导向和结果导向，找准企业、群众“办事难”要害问题，对发现的问题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责令相关部门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立行立改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不能马上整改的，要建立整改台账，明确落实整改责任和整改时限，从制度机制层面彻底解决问题，并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开展整改“回头看”，避免“蜻蜓点水”“走过场”，确保本次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）形成体验报告。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各体验人员在体验办理过程中，需要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及时记录“走”的时间、体验的事项、发现的问题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旗直各相关部门要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及时准确撰写体验报告，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针对存在问题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制定问题整改清单，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明确整改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整改时限，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形成“一事一报告一清单”（附件3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经主要负责同志签字并加盖单位公章后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于体验行动结束后5个工作日内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连同体验照片等资料一并反馈至乌审旗推进政府职能转变和“放管服”改革领导小组办公室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）抓好工作落实。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针对问题整改清单，改革领导小组办公室将持续开展调度和推进，确保存在的堵点、难点问题得到有效解决。同时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将政务服务“走流程、优服务、提效能”行动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纳入全旗“放管服”改革实绩考核，各部门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以发现和解决问题为导向，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、系统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升级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效能提升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，切实落实好主体责任，发挥好牵头作用，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推进全旗政务服务水平不断提升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联系人：王雪艳、代拖玲，联系电话：0477-7581978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邮箱：wsqzwfwzx@163.com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国务院、自治区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高效办成</w:t>
      </w:r>
      <w:r>
        <w:rPr>
          <w:rFonts w:hint="eastAsia" w:ascii="仿宋_GB2312" w:hAnsi="仿宋_GB2312" w:eastAsia="仿宋_GB2312" w:cs="仿宋_GB2312"/>
          <w:sz w:val="32"/>
          <w:szCs w:val="32"/>
        </w:rPr>
        <w:t>一件事”事项清单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2.乌审旗政务服务“走流程、优服务、提效能”行动时间安排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乌审旗××局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走流程体验报告（模板）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260"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乌审旗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政务服务体验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问题整改清单（样表）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乌审旗推进政府职能转变和“放管服”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1280"/>
        <w:jc w:val="right"/>
        <w:textAlignment w:val="auto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改革协调小组办公室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9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国务院、自治区“高效办成一件事”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事项清单</w:t>
      </w:r>
    </w:p>
    <w:tbl>
      <w:tblPr>
        <w:tblStyle w:val="12"/>
        <w:tblW w:w="9217" w:type="dxa"/>
        <w:tblInd w:w="-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497"/>
        <w:gridCol w:w="1677"/>
        <w:gridCol w:w="2724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“高效办成一件事”名称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牵头部门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配合部门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文件来源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企业信息变更“一件事”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旗市场监督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管理局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公安、人民银行、税务、   人社、公积金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开办餐饮店“一件事”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企业准营一件事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住建、消防部门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国务院、自治区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企业注销登记“一件事”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税务、人社、人民银行、   公安部门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开办运输企业“一件事”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交通运输局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水电气网联合报装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住建局、自然资源局、交通 运输局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能源、供电、供气、供水、通信管理部门及网络     运营商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信用修复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旗发改委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市场监管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及设列严重失信主体名单的有关部门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企业破产信息核查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旗政务服务局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公安、自然资源、人社、税务、市场监管、医保、公积金部门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企业上市合法合规信息核查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乌审旗暂时不涉及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新生儿出生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卫生健康  委员会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疾控、公安、人社、医保   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教育入学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局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公安、自然资源、人社部门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社会保障卡居民服务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人力资源和社会保障局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医保、交通、文旅部门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退休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企业职工退休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医保、公积金、卫健、公安部门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国务院、自治区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公民身后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民政、公安、医保、公积金、退役军人事务部门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员工录用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医保、公积金部门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灵活就业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医保、税务部门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残疾人服务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扶残助困“一件事”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旗残疾人联合委员会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民政、医保、人社部门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国务院、自治区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公民婚育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旗民政局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公安、卫健部门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二手房转移登记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旗自然资源局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住建、税务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二手房水电气暖联动  过户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供水、供电、供气、供暖   公司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军人退役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“一件事”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旗退役军人   事务局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公安、人社、医保部门</w:t>
            </w:r>
          </w:p>
        </w:tc>
        <w:tc>
          <w:tcPr>
            <w:tcW w:w="1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自治区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乌审旗政务服务“走流程、优服务、提效能”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行动时间安排</w:t>
      </w:r>
    </w:p>
    <w:tbl>
      <w:tblPr>
        <w:tblStyle w:val="12"/>
        <w:tblW w:w="83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95"/>
        <w:gridCol w:w="3700"/>
        <w:gridCol w:w="1276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分管副旗长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分管领域部门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体验时间</w:t>
            </w:r>
          </w:p>
        </w:tc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马亚栋、楚鲁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旗发改委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5月20日－5月24日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旗财政局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旗应急管理局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旗政务服务局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国家税务总局乌审旗税务局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阿拉腾朝鲁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旗民族事务委员会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5月27日－ 5月31日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人力资源和社会保障局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旗水利局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旗农牧局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旗林草局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乌审旗气象局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越振荣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交通运输局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6月3日－  6月7日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旗市场监督管理局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旗退役军人事务局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旗民政局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康锐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旗工信和科技局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6月11日－ 6月14日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旗能源局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市生态环境局乌审旗分局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常玉君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旗公安局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6月17日－ 6月21日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旗司法局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市公安局交通管理支队乌审旗大队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1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范春慧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旗文化和旅游局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6月24日－ 6月28日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教体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卫生健康委员会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旗医保局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旗残疾人联合委员会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旗新闻出版广电局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8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沙健、王猛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旗自然资源局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7月1日-   7月5日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住房和城乡建设局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8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市住房公积金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管理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中心乌审旗服务部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</w:tbl>
    <w:p>
      <w:pPr>
        <w:spacing w:line="579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乌审旗××局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领导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走流程</w:t>
      </w: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体验报告（模板）</w:t>
      </w:r>
    </w:p>
    <w:p>
      <w:pPr>
        <w:spacing w:line="579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2"/>
        </w:numPr>
        <w:spacing w:line="579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体验内容</w:t>
      </w:r>
    </w:p>
    <w:p>
      <w:pPr>
        <w:numPr>
          <w:ilvl w:val="0"/>
          <w:numId w:val="3"/>
        </w:num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三集中三到位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”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体验情况。</w:t>
      </w:r>
    </w:p>
    <w:p>
      <w:pPr>
        <w:numPr>
          <w:ilvl w:val="0"/>
          <w:numId w:val="0"/>
        </w:numPr>
        <w:spacing w:line="579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与窗口首席代表XXX签订的《授权委托书》共涉及？项事项，其中？项委托受理、审核环节，？项委托受理、审核、决定、办结环节，经实际体验办理，？项事项均进驻政务服务中心“一站式”办理，不存在“明进暗不进、群众多头跑”情况/本单位与窗口首席代表XXX签订的《授权委托书》共涉及？项事项，其中？项委托受理、审核环节，？项委托受理、审核、决定、办结环节，经实际体验办理，？项事项进驻政务服务中心“一站式”办理，？项未真正进驻，原因是……。</w:t>
      </w:r>
    </w:p>
    <w:p>
      <w:pPr>
        <w:numPr>
          <w:ilvl w:val="0"/>
          <w:numId w:val="3"/>
        </w:num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体验</w:t>
      </w:r>
      <w:r>
        <w:rPr>
          <w:rFonts w:hint="eastAsia" w:ascii="楷体_GB2312" w:hAnsi="楷体_GB2312" w:eastAsia="楷体_GB2312" w:cs="楷体_GB2312"/>
          <w:sz w:val="32"/>
          <w:szCs w:val="32"/>
        </w:rPr>
        <w:t>事项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办理。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事项名称（注明政务服务事项编码）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高效办成一件事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（1）……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（2）……</w:t>
      </w:r>
    </w:p>
    <w:p>
      <w:pPr>
        <w:spacing w:line="579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二、体验人员及体验方式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</w:t>
      </w:r>
    </w:p>
    <w:p>
      <w:pPr>
        <w:spacing w:line="579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三、事项办理全过程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……（详细描述）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四、堵点难点问题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1.……（详细描述）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2.……</w:t>
      </w:r>
    </w:p>
    <w:p>
      <w:pPr>
        <w:spacing w:line="579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</w:t>
      </w:r>
      <w:r>
        <w:rPr>
          <w:rFonts w:hint="eastAsia" w:ascii="黑体" w:hAnsi="黑体" w:eastAsia="黑体" w:cs="黑体"/>
          <w:sz w:val="32"/>
          <w:szCs w:val="32"/>
        </w:rPr>
        <w:t>优化措施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1.……（详细描述）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2.……</w:t>
      </w:r>
    </w:p>
    <w:p>
      <w:pPr>
        <w:spacing w:line="579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六、工作建议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1.……（详细描述）</w:t>
      </w:r>
    </w:p>
    <w:p>
      <w:pPr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2.……</w:t>
      </w: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乌审旗政务服务体验问题整改清单（样表）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tbl>
      <w:tblPr>
        <w:tblStyle w:val="12"/>
        <w:tblW w:w="9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26"/>
        <w:gridCol w:w="2004"/>
        <w:gridCol w:w="1870"/>
        <w:gridCol w:w="1210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体验政务服务领域（包括三集中三到位、政务服务事项办理、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“一件事”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开展等）</w:t>
            </w:r>
          </w:p>
        </w:tc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81" w:hanging="211" w:hangingChars="100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存在问题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11" w:firstLineChars="100"/>
              <w:textAlignment w:val="auto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具体整改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举措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整改时限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是否整改完成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2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04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6" w:type="dxa"/>
          </w:tcPr>
          <w:p>
            <w:pPr>
              <w:spacing w:line="579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9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jc w:val="both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2if+fUAAAACAEAAA8AAAAAAAAA&#10;AQAgAAAAIgAAAGRycy9kb3ducmV2LnhtbFBLAQIUABQAAAAIAIdO4kCNxeOVFQIAABU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41D158"/>
    <w:multiLevelType w:val="singleLevel"/>
    <w:tmpl w:val="DA41D15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0271D5"/>
    <w:multiLevelType w:val="singleLevel"/>
    <w:tmpl w:val="0A0271D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5287D9F"/>
    <w:multiLevelType w:val="singleLevel"/>
    <w:tmpl w:val="55287D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jk5OWY4Y2Y2NDNlYjI2NWE1OGU2MTk0NWJjOTUifQ=="/>
  </w:docVars>
  <w:rsids>
    <w:rsidRoot w:val="00000000"/>
    <w:rsid w:val="03B64756"/>
    <w:rsid w:val="04EE73B1"/>
    <w:rsid w:val="08666DA8"/>
    <w:rsid w:val="0DD24F46"/>
    <w:rsid w:val="11545B69"/>
    <w:rsid w:val="119D2E2A"/>
    <w:rsid w:val="1213088E"/>
    <w:rsid w:val="125A0757"/>
    <w:rsid w:val="12E63E80"/>
    <w:rsid w:val="13413707"/>
    <w:rsid w:val="13820344"/>
    <w:rsid w:val="16FF0B97"/>
    <w:rsid w:val="19807A8E"/>
    <w:rsid w:val="1A2C53CF"/>
    <w:rsid w:val="1D7F78F1"/>
    <w:rsid w:val="1EB6316B"/>
    <w:rsid w:val="1FE738D0"/>
    <w:rsid w:val="29C01FC0"/>
    <w:rsid w:val="2D95098F"/>
    <w:rsid w:val="30F93E1F"/>
    <w:rsid w:val="31AC3BD9"/>
    <w:rsid w:val="32D178C9"/>
    <w:rsid w:val="33B32074"/>
    <w:rsid w:val="34A2779E"/>
    <w:rsid w:val="35D970BA"/>
    <w:rsid w:val="372C689E"/>
    <w:rsid w:val="37887291"/>
    <w:rsid w:val="3B6F1FC7"/>
    <w:rsid w:val="46930F3D"/>
    <w:rsid w:val="481258F7"/>
    <w:rsid w:val="4BE23238"/>
    <w:rsid w:val="4EFF3227"/>
    <w:rsid w:val="55985036"/>
    <w:rsid w:val="55FC3608"/>
    <w:rsid w:val="56085B21"/>
    <w:rsid w:val="58382EF1"/>
    <w:rsid w:val="59A3044D"/>
    <w:rsid w:val="6025396A"/>
    <w:rsid w:val="603161B4"/>
    <w:rsid w:val="627821ED"/>
    <w:rsid w:val="6305360E"/>
    <w:rsid w:val="67B55CA0"/>
    <w:rsid w:val="681C0339"/>
    <w:rsid w:val="68975E68"/>
    <w:rsid w:val="6A9C0CCD"/>
    <w:rsid w:val="6D945A34"/>
    <w:rsid w:val="6EB676FD"/>
    <w:rsid w:val="6FEA24DA"/>
    <w:rsid w:val="70707395"/>
    <w:rsid w:val="70EA4A25"/>
    <w:rsid w:val="72284235"/>
    <w:rsid w:val="77605B99"/>
    <w:rsid w:val="776959CB"/>
    <w:rsid w:val="7B592F84"/>
    <w:rsid w:val="7D2E4E50"/>
    <w:rsid w:val="7D490DDB"/>
    <w:rsid w:val="7D7B51DE"/>
    <w:rsid w:val="7DF95F9A"/>
    <w:rsid w:val="7F4718B0"/>
    <w:rsid w:val="7FA6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4016</Words>
  <Characters>4122</Characters>
  <Lines>0</Lines>
  <Paragraphs>0</Paragraphs>
  <TotalTime>5</TotalTime>
  <ScaleCrop>false</ScaleCrop>
  <LinksUpToDate>false</LinksUpToDate>
  <CharactersWithSpaces>4243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2023-06-01T02:32:00Z</dcterms:created>
  <dc:creator>Lenovo</dc:creator>
  <cp:lastModifiedBy>万吉伟</cp:lastModifiedBy>
  <dcterms:modified xsi:type="dcterms:W3CDTF">2024-11-04T09:57:11Z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C2C7329D2B044C04A7C430CA8D0AFE39</vt:lpwstr>
  </property>
</Properties>
</file>