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pStyle w:val="9"/>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ind w:left="0" w:leftChars="0" w:right="0" w:rightChars="0" w:firstLine="0" w:firstLineChars="0"/>
        <w:jc w:val="both"/>
        <w:rPr>
          <w:rFonts w:hint="eastAsia" w:eastAsia="宋体"/>
          <w:sz w:val="32"/>
          <w:szCs w:val="32"/>
          <w:lang w:eastAsia="zh-CN"/>
        </w:rPr>
      </w:pPr>
    </w:p>
    <w:p>
      <w:pPr>
        <w:ind w:left="0" w:leftChars="0" w:right="0" w:rightChars="0" w:firstLine="0" w:firstLineChars="0"/>
        <w:jc w:val="cente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乌卫</w:t>
      </w:r>
      <w:r>
        <w:rPr>
          <w:rFonts w:hint="eastAsia" w:ascii="仿宋_GB2312" w:hAnsi="仿宋_GB2312" w:eastAsia="仿宋_GB2312" w:cs="仿宋_GB2312"/>
          <w:color w:val="auto"/>
          <w:sz w:val="32"/>
          <w:szCs w:val="32"/>
          <w:lang w:eastAsia="zh-CN"/>
        </w:rPr>
        <w:t>健</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176</w:t>
      </w:r>
      <w:r>
        <w:rPr>
          <w:rFonts w:hint="eastAsia" w:ascii="仿宋_GB2312" w:hAnsi="仿宋_GB2312" w:eastAsia="仿宋_GB2312" w:cs="仿宋_GB2312"/>
          <w:color w:val="auto"/>
          <w:sz w:val="32"/>
          <w:szCs w:val="32"/>
        </w:rPr>
        <w:t>号</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r>
        <w:rPr>
          <w:rFonts w:hint="eastAsia" w:ascii="方正小标宋_GBK" w:hAnsi="方正小标宋_GBK" w:eastAsia="方正小标宋_GBK" w:cs="方正小标宋_GBK"/>
          <w:bCs/>
          <w:spacing w:val="-11"/>
          <w:kern w:val="2"/>
          <w:sz w:val="44"/>
          <w:szCs w:val="44"/>
          <w:lang w:val="en-US" w:eastAsia="zh-CN" w:bidi="ar-SA"/>
        </w:rPr>
        <w:t>关于转发《鄂尔多斯市卫生健康委员会关于</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kern w:val="2"/>
          <w:sz w:val="44"/>
          <w:szCs w:val="44"/>
          <w:lang w:val="en-US" w:eastAsia="zh-CN" w:bidi="ar-SA"/>
        </w:rPr>
      </w:pPr>
      <w:r>
        <w:rPr>
          <w:rFonts w:hint="eastAsia" w:ascii="方正小标宋_GBK" w:hAnsi="方正小标宋_GBK" w:eastAsia="方正小标宋_GBK" w:cs="方正小标宋_GBK"/>
          <w:bCs/>
          <w:spacing w:val="-11"/>
          <w:kern w:val="2"/>
          <w:sz w:val="44"/>
          <w:szCs w:val="44"/>
          <w:lang w:val="en-US" w:eastAsia="zh-CN" w:bidi="ar-SA"/>
        </w:rPr>
        <w:t>转发</w:t>
      </w:r>
      <w:r>
        <w:rPr>
          <w:rFonts w:hint="eastAsia" w:ascii="方正小标宋_GBK" w:hAnsi="方正小标宋_GBK" w:eastAsia="方正小标宋_GBK" w:cs="方正小标宋_GBK"/>
          <w:bCs/>
          <w:kern w:val="2"/>
          <w:sz w:val="44"/>
          <w:szCs w:val="44"/>
          <w:lang w:val="en-US" w:eastAsia="zh-CN" w:bidi="ar-SA"/>
        </w:rPr>
        <w:t>〈内蒙古自治区2024年基本公共</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6"/>
          <w:kern w:val="2"/>
          <w:sz w:val="44"/>
          <w:szCs w:val="44"/>
          <w:lang w:val="en-US" w:eastAsia="zh-CN" w:bidi="ar-SA"/>
        </w:rPr>
      </w:pPr>
      <w:r>
        <w:rPr>
          <w:rFonts w:hint="eastAsia" w:ascii="方正小标宋_GBK" w:hAnsi="方正小标宋_GBK" w:eastAsia="方正小标宋_GBK" w:cs="方正小标宋_GBK"/>
          <w:bCs/>
          <w:spacing w:val="6"/>
          <w:kern w:val="2"/>
          <w:sz w:val="44"/>
          <w:szCs w:val="44"/>
          <w:lang w:val="en-US" w:eastAsia="zh-CN" w:bidi="ar-SA"/>
        </w:rPr>
        <w:t>卫生服务项目实施方案〉的通知》的通知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各基层医疗卫生机构、旗直属医疗卫生机构、委机关股室：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现将〈关于转发《内蒙古自治区2024年基本公共卫生服务项目实施方案》的通知〉（鄂卫健发〔2024〕361号）转发给你们，并提出如下工作要求，请结合实际，抓好贯彻落实。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一、全面加强居民电子健康档案规范化建设，打好普及应用基础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居民电子健康档案是记录城乡居民全生命周期数字化健康管理服务的主要载体，对推动构建线上线下一体化服务新模式，提升医疗卫生资源供给效率，改善群众就医体验具有重要意义，各基层医疗卫生机构要全面加强居民电子健康档案规范化建设，切实筑牢居民电子健康档案普及应用基础。</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提升居民电子健康档案建档率。2024年，各苏木镇居民电子健康档案建档率要达到90%及以上，优先覆盖老年人、孕产妇、0—6岁儿童以及高血压、糖尿病、肺结核、严重精神障碍、慢阻肺等患者，继续保持脱贫人口、乡村振兴重点监测对象健康档案全覆盖。</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加大居民电子健康档案核查力度。各苏木镇要严格按照《开展电子健康档案数据治理专项行动工作方案》（鄂卫健发〔2024〕117号）要求，在既有基础上，继续开展电子健康档案数据治理专项行动，严格对照电子健康档案数据库标准规范要求上传数据，有效提升全旗基本公共卫生数据接入数量和质量，旗疾控中心、旗妇幼保健院等部门要定期开展监测与评价。</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实现居民电子健康档案向本人开放。以保障数据安全、完整、准确为前提，以操作便捷、方便调阅为基础，有序推进居民电子健康档案向个人开放，2024年，各苏木镇居民电子健康档案向本人开放占比达50%。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二、融合推进民生实事项目，提升结直肠癌、肺癌、肝癌患者健康管理质效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基层医疗卫生机构组织家庭医生签约团队，结合基本公共卫生服务项目，做好结直肠癌、肺癌、肝癌高风险人群跟踪随访，规范提供健康咨询、健康教育和合理用药指导等健康管理服务，有效降低全市结直肠癌、肺癌、肝癌患者死亡率和未来发病率，全面提高患者生存率和生活质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三、明确新增项目任务分工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2024年，基本公共卫生服务项目增加组织开展慢性阻塞性肺炎疾病患者健康服务项目，为提升新增项目质效，由旗疾控中心担任项目技术指导机构，做好专家团队组建，加强对基层医疗卫生机构的技术培训、指导和质量控制。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1918" w:leftChars="304" w:hanging="1280" w:hangingChars="4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附件：1.《鄂尔多斯市卫生健康委员会关于转发〈内蒙古自治区2024年基本公共卫生服务项目实施方案〉的通知》（鄂卫健发〔2024〕361号）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600" w:firstLineChars="5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2.2024年乌审旗各苏木镇慢性病患者管理任务表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eastAsia" w:ascii="仿宋_GB2312" w:hAnsi="仿宋_GB2312" w:eastAsia="仿宋_GB2312" w:cs="仿宋_GB2312"/>
          <w:kern w:val="2"/>
          <w:sz w:val="32"/>
          <w:szCs w:val="32"/>
          <w:lang w:val="en-US" w:eastAsia="zh-CN" w:bidi="ar-SA"/>
        </w:rPr>
        <w:sectPr>
          <w:footerReference r:id="rId3" w:type="default"/>
          <w:pgSz w:w="11906" w:h="16838"/>
          <w:pgMar w:top="2098" w:right="1472" w:bottom="1984" w:left="1587" w:header="708" w:footer="708" w:gutter="0"/>
          <w:pgNumType w:fmt="decimal"/>
          <w:cols w:space="720" w:num="1"/>
          <w:docGrid w:linePitch="360" w:charSpace="0"/>
        </w:sectPr>
      </w:pPr>
      <w:r>
        <w:rPr>
          <w:rFonts w:hint="eastAsia" w:ascii="仿宋_GB2312" w:hAnsi="仿宋_GB2312" w:eastAsia="仿宋_GB2312" w:cs="仿宋_GB2312"/>
          <w:sz w:val="32"/>
          <w:szCs w:val="32"/>
          <w:lang w:val="en-US" w:eastAsia="zh-CN"/>
        </w:rPr>
        <w:t>2024年11月26日</w:t>
      </w:r>
    </w:p>
    <w:p>
      <w:pPr>
        <w:keepNext w:val="0"/>
        <w:keepLines w:val="0"/>
        <w:widowControl/>
        <w:suppressLineNumbers w:val="0"/>
        <w:jc w:val="both"/>
        <w:textAlignment w:val="center"/>
        <w:rPr>
          <w:rFonts w:hint="eastAsia" w:ascii="黑体" w:hAnsi="黑体" w:eastAsia="黑体" w:cs="黑体"/>
          <w:i w:val="0"/>
          <w:iCs w:val="0"/>
          <w:color w:val="000000"/>
          <w:spacing w:val="-6"/>
          <w:sz w:val="32"/>
          <w:szCs w:val="32"/>
          <w:u w:val="none"/>
          <w:lang w:val="en-US" w:eastAsia="zh-CN"/>
        </w:rPr>
      </w:pPr>
      <w:r>
        <w:rPr>
          <w:rFonts w:hint="eastAsia" w:ascii="黑体" w:hAnsi="黑体" w:eastAsia="黑体" w:cs="黑体"/>
          <w:i w:val="0"/>
          <w:iCs w:val="0"/>
          <w:color w:val="000000"/>
          <w:spacing w:val="-6"/>
          <w:sz w:val="32"/>
          <w:szCs w:val="32"/>
          <w:u w:val="none"/>
          <w:lang w:val="en-US" w:eastAsia="zh-CN"/>
        </w:rPr>
        <w:t>附件2</w:t>
      </w:r>
    </w:p>
    <w:p>
      <w:pPr>
        <w:keepNext w:val="0"/>
        <w:keepLines w:val="0"/>
        <w:widowControl/>
        <w:suppressLineNumbers w:val="0"/>
        <w:jc w:val="both"/>
        <w:textAlignment w:val="center"/>
        <w:rPr>
          <w:rFonts w:hint="eastAsia" w:ascii="黑体" w:hAnsi="黑体" w:eastAsia="黑体" w:cs="黑体"/>
          <w:i w:val="0"/>
          <w:iCs w:val="0"/>
          <w:color w:val="000000"/>
          <w:spacing w:val="-6"/>
          <w:sz w:val="32"/>
          <w:szCs w:val="32"/>
          <w:u w:val="none"/>
          <w:lang w:val="en-US" w:eastAsia="zh-CN"/>
        </w:rPr>
      </w:pPr>
    </w:p>
    <w:tbl>
      <w:tblPr>
        <w:tblStyle w:val="14"/>
        <w:tblW w:w="10900"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633"/>
        <w:gridCol w:w="1467"/>
        <w:gridCol w:w="1433"/>
        <w:gridCol w:w="1217"/>
        <w:gridCol w:w="1183"/>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9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2024年乌审旗各苏木镇慢性病患者管理任务表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3633"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机构名称</w:t>
            </w:r>
          </w:p>
        </w:tc>
        <w:tc>
          <w:tcPr>
            <w:tcW w:w="14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辖区常住人口数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65岁及以上老年人管理任务数（人）</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高血压患者管理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任务数（人）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2型糖尿病患者管理任务数（人）</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慢阻肺患者管理任务数（人）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无定河镇中心卫生院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8820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河南中心卫生院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12380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苏力德苏木中心卫生院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6126</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陶利卫生院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5450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乌兰陶勒盖镇中心卫生院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11050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乌审召镇中心卫生院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9480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图克镇中心卫生院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12890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呼吉尔特卫生院</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6058</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嘎鲁图镇社区卫生服务中心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91046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6917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 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163300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3596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r>
    </w:tbl>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p>
    <w:p>
      <w:pPr>
        <w:keepNext w:val="0"/>
        <w:keepLines w:val="0"/>
        <w:widowControl/>
        <w:suppressLineNumbers w:val="0"/>
        <w:jc w:val="both"/>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p>
    <w:p>
      <w:pPr>
        <w:pStyle w:val="8"/>
        <w:ind w:left="0" w:leftChars="0" w:firstLine="0" w:firstLineChars="0"/>
        <w:rPr>
          <w:rFonts w:hint="eastAsia"/>
          <w:lang w:val="en-US" w:eastAsia="zh-CN"/>
        </w:rPr>
      </w:pPr>
    </w:p>
    <w:p>
      <w:pPr>
        <w:pStyle w:val="8"/>
        <w:ind w:left="0" w:leftChars="0" w:firstLine="0" w:firstLineChars="0"/>
        <w:rPr>
          <w:rFonts w:hint="eastAsia"/>
          <w:lang w:val="en-US" w:eastAsia="zh-CN"/>
        </w:rPr>
      </w:pPr>
    </w:p>
    <w:p>
      <w:pPr>
        <w:jc w:val="both"/>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366395</wp:posOffset>
                </wp:positionV>
                <wp:extent cx="56007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75pt;margin-top:28.85pt;height:0pt;width:441pt;z-index:251660288;mso-width-relative:page;mso-height-relative:page;" filled="f" stroked="t" coordsize="21600,21600" o:gfxdata="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dmYb7VAAAACAEAAA8AAAAAAAAAAQAgAAAAIgAAAGRycy9kb3ducmV2LnhtbFBL&#10;AQIUABQAAAAIAIdO4kCPtwxk+QEAAPIDAAAOAAAAAAAAAAEAIAAAACQBAABkcnMvZTJvRG9jLnht&#10;bFBLBQYAAAAABgAGAFkBAACP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5080</wp:posOffset>
                </wp:positionV>
                <wp:extent cx="5609590" cy="10160"/>
                <wp:effectExtent l="0" t="4445" r="10160" b="13970"/>
                <wp:wrapNone/>
                <wp:docPr id="10" name="直接连接符 10"/>
                <wp:cNvGraphicFramePr/>
                <a:graphic xmlns:a="http://schemas.openxmlformats.org/drawingml/2006/main">
                  <a:graphicData uri="http://schemas.microsoft.com/office/word/2010/wordprocessingShape">
                    <wps:wsp>
                      <wps:cNvCnPr/>
                      <wps:spPr>
                        <a:xfrm>
                          <a:off x="0" y="0"/>
                          <a:ext cx="5609590" cy="1016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75pt;margin-top:0.4pt;height:0.8pt;width:441.7pt;z-index:251661312;mso-width-relative:page;mso-height-relative:page;" filled="f" stroked="t" coordsize="21600,21600" o:gfxdata="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dkvdNQAAAAFAQAADwAAAAAAAAABACAAAAAiAAAAZHJzL2Rvd25yZXYu&#10;eG1sUEsBAhQAFAAAAAgAh07iQI9MdRH/AQAA+AMAAA4AAAAAAAAAAQAgAAAAIwEAAGRycy9lMm9E&#10;b2MueG1sUEsFBgAAAAAGAAYAWQEAAJQ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乌审旗卫生</w:t>
      </w:r>
      <w:r>
        <w:rPr>
          <w:rFonts w:hint="eastAsia" w:ascii="仿宋_GB2312" w:hAnsi="仿宋_GB2312" w:eastAsia="仿宋_GB2312" w:cs="仿宋_GB2312"/>
          <w:spacing w:val="0"/>
          <w:w w:val="100"/>
          <w:sz w:val="32"/>
          <w:szCs w:val="32"/>
          <w:lang w:eastAsia="zh-CN"/>
        </w:rPr>
        <w:t>健康委员会</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20</w:t>
      </w:r>
      <w:r>
        <w:rPr>
          <w:rFonts w:hint="eastAsia" w:ascii="仿宋_GB2312" w:hAnsi="仿宋_GB2312" w:eastAsia="仿宋_GB2312" w:cs="仿宋_GB2312"/>
          <w:spacing w:val="0"/>
          <w:w w:val="100"/>
          <w:sz w:val="32"/>
          <w:szCs w:val="32"/>
          <w:lang w:val="en-US" w:eastAsia="zh-CN"/>
        </w:rPr>
        <w:t>24</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11</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26</w:t>
      </w:r>
      <w:r>
        <w:rPr>
          <w:rFonts w:hint="eastAsia" w:ascii="仿宋_GB2312" w:hAnsi="仿宋_GB2312" w:eastAsia="仿宋_GB2312" w:cs="仿宋_GB2312"/>
          <w:spacing w:val="0"/>
          <w:w w:val="100"/>
          <w:sz w:val="32"/>
          <w:szCs w:val="32"/>
        </w:rPr>
        <w:t>日印发</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w:t>
      </w:r>
    </w:p>
    <w:sectPr>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MzAzZTA4NzgxZmNjODU4NjM2ODY4NGM4OTkxNTI1MWQifQ=="/>
  </w:docVars>
  <w:rsids>
    <w:rsidRoot w:val="00000000"/>
    <w:rsid w:val="02A46180"/>
    <w:rsid w:val="1343135F"/>
    <w:rsid w:val="16AC0704"/>
    <w:rsid w:val="207D3C77"/>
    <w:rsid w:val="340D26DB"/>
    <w:rsid w:val="3CB81017"/>
    <w:rsid w:val="4AC146B9"/>
    <w:rsid w:val="5A0D490B"/>
    <w:rsid w:val="5CFD14F7"/>
    <w:rsid w:val="7A533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rPr>
      <w:rFonts w:asciiTheme="minorHAnsi" w:hAnsiTheme="minorHAnsi" w:eastAsiaTheme="minorEastAsia" w:cstheme="minorBidi"/>
      <w:color w:val="2E74B5"/>
      <w:sz w:val="32"/>
      <w:szCs w:val="32"/>
    </w:rPr>
  </w:style>
  <w:style w:type="paragraph" w:styleId="3">
    <w:name w:val="heading 2"/>
    <w:next w:val="1"/>
    <w:qFormat/>
    <w:uiPriority w:val="0"/>
    <w:rPr>
      <w:rFonts w:asciiTheme="minorHAnsi" w:hAnsiTheme="minorHAnsi" w:eastAsiaTheme="minorEastAsia" w:cstheme="minorBidi"/>
      <w:color w:val="2E74B5"/>
      <w:sz w:val="26"/>
      <w:szCs w:val="26"/>
    </w:rPr>
  </w:style>
  <w:style w:type="paragraph" w:styleId="4">
    <w:name w:val="heading 3"/>
    <w:next w:val="1"/>
    <w:qFormat/>
    <w:uiPriority w:val="0"/>
    <w:rPr>
      <w:rFonts w:asciiTheme="minorHAnsi" w:hAnsiTheme="minorHAnsi" w:eastAsiaTheme="minorEastAsia" w:cstheme="minorBidi"/>
      <w:color w:val="1F4D78"/>
      <w:sz w:val="24"/>
      <w:szCs w:val="24"/>
    </w:rPr>
  </w:style>
  <w:style w:type="paragraph" w:styleId="5">
    <w:name w:val="heading 4"/>
    <w:next w:val="1"/>
    <w:qFormat/>
    <w:uiPriority w:val="0"/>
    <w:rPr>
      <w:rFonts w:asciiTheme="minorHAnsi" w:hAnsiTheme="minorHAnsi" w:eastAsiaTheme="minorEastAsia" w:cstheme="minorBidi"/>
      <w:i/>
      <w:iCs/>
      <w:color w:val="2E74B5"/>
      <w:sz w:val="21"/>
      <w:szCs w:val="22"/>
    </w:rPr>
  </w:style>
  <w:style w:type="paragraph" w:styleId="6">
    <w:name w:val="heading 5"/>
    <w:next w:val="1"/>
    <w:qFormat/>
    <w:uiPriority w:val="0"/>
    <w:rPr>
      <w:rFonts w:asciiTheme="minorHAnsi" w:hAnsiTheme="minorHAnsi" w:eastAsiaTheme="minorEastAsia" w:cstheme="minorBidi"/>
      <w:color w:val="2E74B5"/>
      <w:sz w:val="21"/>
      <w:szCs w:val="22"/>
    </w:rPr>
  </w:style>
  <w:style w:type="paragraph" w:styleId="7">
    <w:name w:val="heading 6"/>
    <w:next w:val="1"/>
    <w:qFormat/>
    <w:uiPriority w:val="0"/>
    <w:rPr>
      <w:rFonts w:asciiTheme="minorHAnsi" w:hAnsiTheme="minorHAnsi" w:eastAsiaTheme="minorEastAsia" w:cstheme="minorBidi"/>
      <w:color w:val="1F4D78"/>
      <w:sz w:val="21"/>
      <w:szCs w:val="2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567"/>
    </w:pPr>
  </w:style>
  <w:style w:type="paragraph" w:styleId="9">
    <w:name w:val="Body Text Indent"/>
    <w:basedOn w:val="1"/>
    <w:qFormat/>
    <w:uiPriority w:val="0"/>
    <w:pPr>
      <w:spacing w:after="120" w:afterLines="0" w:afterAutospacing="0"/>
      <w:ind w:left="420" w:leftChars="200"/>
    </w:p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link w:val="20"/>
    <w:semiHidden/>
    <w:unhideWhenUsed/>
    <w:qFormat/>
    <w:uiPriority w:val="99"/>
    <w:pPr>
      <w:spacing w:after="0" w:line="240" w:lineRule="auto"/>
    </w:pPr>
    <w:rPr>
      <w:rFonts w:asciiTheme="minorHAnsi" w:hAnsiTheme="minorHAnsi" w:eastAsiaTheme="minorEastAsia" w:cstheme="minorBidi"/>
      <w:sz w:val="20"/>
      <w:szCs w:val="20"/>
    </w:rPr>
  </w:style>
  <w:style w:type="paragraph" w:styleId="13">
    <w:name w:val="Title"/>
    <w:qFormat/>
    <w:uiPriority w:val="0"/>
    <w:rPr>
      <w:rFonts w:asciiTheme="minorHAnsi" w:hAnsiTheme="minorHAnsi" w:eastAsiaTheme="minorEastAsia" w:cstheme="minorBidi"/>
      <w:sz w:val="56"/>
      <w:szCs w:val="56"/>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563C1"/>
      <w:u w:val="single"/>
    </w:rPr>
  </w:style>
  <w:style w:type="character" w:styleId="18">
    <w:name w:val="footnote reference"/>
    <w:semiHidden/>
    <w:unhideWhenUsed/>
    <w:qFormat/>
    <w:uiPriority w:val="99"/>
    <w:rPr>
      <w:vertAlign w:val="superscript"/>
    </w:rPr>
  </w:style>
  <w:style w:type="paragraph" w:styleId="19">
    <w:name w:val="List Paragraph"/>
    <w:qFormat/>
    <w:uiPriority w:val="0"/>
    <w:rPr>
      <w:rFonts w:asciiTheme="minorHAnsi" w:hAnsiTheme="minorHAnsi" w:eastAsiaTheme="minorEastAsia" w:cstheme="minorBidi"/>
      <w:sz w:val="21"/>
      <w:szCs w:val="22"/>
    </w:rPr>
  </w:style>
  <w:style w:type="character" w:customStyle="1" w:styleId="20">
    <w:name w:val="Footnote Text Char"/>
    <w:link w:val="12"/>
    <w:semiHidden/>
    <w:unhideWhenUsed/>
    <w:qFormat/>
    <w:uiPriority w:val="99"/>
    <w:rPr>
      <w:sz w:val="20"/>
      <w:szCs w:val="20"/>
    </w:rPr>
  </w:style>
  <w:style w:type="character" w:customStyle="1" w:styleId="21">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1298</Words>
  <Characters>1479</Characters>
  <TotalTime>17</TotalTime>
  <ScaleCrop>false</ScaleCrop>
  <LinksUpToDate>false</LinksUpToDate>
  <CharactersWithSpaces>1540</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2024-11-25T03:38:00Z</dcterms:created>
  <dc:creator>Un-named</dc:creator>
  <cp:lastModifiedBy>Administrator</cp:lastModifiedBy>
  <cp:lastPrinted>2024-11-28T01:15:00Z</cp:lastPrinted>
  <dcterms:modified xsi:type="dcterms:W3CDTF">2025-01-07T01:39:31Z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C6514E0592074CAA90819D52EE125933_13</vt:lpwstr>
  </property>
</Properties>
</file>