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乌审旗卫生健康委员会关于印发《2024年</w:t>
      </w:r>
      <w:r>
        <w:rPr>
          <w:rFonts w:hint="eastAsia" w:ascii="方正小标宋_GBK" w:hAnsi="方正小标宋_GBK" w:eastAsia="方正小标宋_GBK" w:cs="方正小标宋_GBK"/>
          <w:sz w:val="44"/>
          <w:szCs w:val="44"/>
          <w:lang w:eastAsia="zh-CN"/>
        </w:rPr>
        <w:t>游泳场所专项整治工作方案</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旗疾病预防控制中心、卫生健康综合行政执法大队：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现将《2024年游泳场所专项整治工作方案》印发给你们，请按照方案要求，认真贯彻落实。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val="0"/>
        <w:spacing w:line="560" w:lineRule="exact"/>
        <w:ind w:firstLine="880" w:firstLineChars="200"/>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2024年游泳场所专项整治工作方案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val="0"/>
        <w:spacing w:line="560" w:lineRule="exact"/>
        <w:ind w:firstLine="880" w:firstLineChars="200"/>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了营造安全、健康的游泳环境，根据《鄂尔多斯市卫生健康委员会关于开展2024年游泳场所专项整治工作方案》（鄂卫健发〔2024〕72号）的方案通知，提高我旗游泳场所卫生安全水平，规范场所经营行为。现根据《公共场所卫生管理条例》及其实施细则，《公共场所卫生规范》《游泳场所卫生规范》和《公共场所卫生管理规范》等法律法规和卫生规范标准，我委决定组织开展2024年度游泳场所专项整治监督检查工作，现将具体工作部署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一、整治范围及对象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乌审旗辖区内所有游泳场所。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二、整治时间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2024年4月1日-2024年6月8日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三、检查检测内容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（一）对照《游泳场所卫生监督量化评分》（附件2）的内容，按照属地管理原则重点检查游泳池</w:t>
      </w:r>
      <w:r>
        <w:rPr>
          <w:rFonts w:hint="eastAsia" w:ascii="仿宋_GB2312" w:hAnsi="仿宋_GB2312" w:eastAsia="仿宋_GB2312" w:cs="仿宋_GB2312"/>
          <w:color w:val="auto"/>
          <w:sz w:val="32"/>
          <w:szCs w:val="32"/>
          <w:lang w:val="en-US" w:eastAsia="zh-CN"/>
        </w:rPr>
        <w:t>水处理设施正常运转、水质消毒与检测、新水补充、从业人员健康检查、公共用品用具清洗消毒、强制通过式浸脚消毒池规范设置、集中空调通风系统、卫生管理信息公示等是否</w:t>
      </w:r>
      <w:r>
        <w:rPr>
          <w:rFonts w:hint="eastAsia" w:ascii="仿宋_GB2312" w:hAnsi="仿宋_GB2312" w:eastAsia="仿宋_GB2312" w:cs="仿宋_GB2312"/>
          <w:color w:val="000000"/>
          <w:sz w:val="32"/>
          <w:szCs w:val="32"/>
          <w:lang w:val="en-US" w:eastAsia="zh-CN"/>
        </w:rPr>
        <w:t>符合卫生规范要求。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抽取</w:t>
      </w:r>
      <w:r>
        <w:rPr>
          <w:rFonts w:hint="eastAsia" w:ascii="仿宋_GB2312" w:hAnsi="仿宋_GB2312" w:eastAsia="仿宋_GB2312" w:cs="仿宋_GB2312"/>
          <w:i w:val="0"/>
          <w:iCs w:val="0"/>
          <w:caps w:val="0"/>
          <w:color w:val="000000"/>
          <w:spacing w:val="0"/>
          <w:sz w:val="32"/>
          <w:szCs w:val="32"/>
          <w:shd w:val="clear" w:color="auto" w:fill="FFFFFF"/>
        </w:rPr>
        <w:t>水质检测项目包括温度、池水浑浊度、PH值、游离性余氯、化合性余氯、浸脚池游离性余氯、尿素、菌落总数、大肠菌群、臭氧（使用臭氧消毒时）、氧化还原电位（采用氯和臭氧消毒时）、氯尿酸（使用相应消毒剂时）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四、工作目标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要求游泳场所（馆）监管覆盖率100%，水质达标率100%，办理卫生许可证健康证100%，通过专项整治，促使我旗游泳场（馆）卫生管理水平得到进一步提高。在完成专项整治后要对专项整治中发现的亮点和创新工作方法进行总结提炼，对检查发现的问题认真分析研判成因与风险，提出意见和建议。7月4日前，旗疾病预防控制中心、卫生健康综合行政执法大队将</w:t>
      </w:r>
      <w:r>
        <w:rPr>
          <w:rFonts w:hint="eastAsia" w:ascii="仿宋_GB2312" w:hAnsi="仿宋_GB2312" w:eastAsia="仿宋_GB2312" w:cs="仿宋_GB2312"/>
          <w:color w:val="000000"/>
          <w:sz w:val="32"/>
          <w:szCs w:val="32"/>
        </w:rPr>
        <w:t>工作总结、相关图片、报道信息及检查汇总表(见附件)等材料</w:t>
      </w:r>
      <w:r>
        <w:rPr>
          <w:rFonts w:hint="eastAsia" w:ascii="仿宋_GB2312" w:hAnsi="仿宋_GB2312" w:eastAsia="仿宋_GB2312" w:cs="仿宋_GB2312"/>
          <w:color w:val="000000"/>
          <w:sz w:val="32"/>
          <w:szCs w:val="32"/>
          <w:lang w:val="en-US" w:eastAsia="zh-CN"/>
        </w:rPr>
        <w:t>报送至旗卫健委334室</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一是加强领导，周密部署。</w:t>
      </w:r>
      <w:r>
        <w:rPr>
          <w:rFonts w:hint="eastAsia" w:ascii="仿宋_GB2312" w:hAnsi="仿宋_GB2312" w:eastAsia="仿宋_GB2312" w:cs="仿宋_GB2312"/>
          <w:color w:val="000000"/>
          <w:sz w:val="32"/>
          <w:szCs w:val="32"/>
          <w:lang w:val="en-US" w:eastAsia="zh-CN"/>
        </w:rPr>
        <w:t>要高度重视，认真研究，及时召开工作部署会，确保游泳场所专项整治工作顺利开展。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二是严格监督，确保落实。</w:t>
      </w:r>
      <w:r>
        <w:rPr>
          <w:rFonts w:hint="eastAsia" w:ascii="仿宋_GB2312" w:hAnsi="仿宋_GB2312" w:eastAsia="仿宋_GB2312" w:cs="仿宋_GB2312"/>
          <w:color w:val="000000"/>
          <w:sz w:val="32"/>
          <w:szCs w:val="32"/>
          <w:lang w:val="en-US" w:eastAsia="zh-CN"/>
        </w:rPr>
        <w:t>对现场检查中发现的违法违规行为,要依法依规严肃查处,并督促落实到位；对监督抽检不合格的单位要依法依规予以公示；对具备安装条件却未按要求安装水质在线监控装置的,要强化督促,引导经营管理者及时安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三是加大宣传，营造氛围。</w:t>
      </w:r>
      <w:r>
        <w:rPr>
          <w:rFonts w:hint="eastAsia" w:ascii="仿宋_GB2312" w:hAnsi="仿宋_GB2312" w:eastAsia="仿宋_GB2312" w:cs="仿宋_GB2312"/>
          <w:color w:val="000000"/>
          <w:sz w:val="32"/>
          <w:szCs w:val="32"/>
          <w:lang w:val="en-US" w:eastAsia="zh-CN"/>
        </w:rPr>
        <w:t>联合新闻媒体宣传报道游泳场所专项监督检查工作,加大对符合标准的游泳场所的正面宣传力度，同时要畅通投诉举报途经,对群众举报的游泳场所卫生问题要及时处理,妥善做好答复工作。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lang w:val="en-US" w:eastAsia="zh-CN"/>
        </w:rPr>
        <w:t xml:space="preserve"> 杨静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联系电话：0</w:t>
      </w:r>
      <w:r>
        <w:rPr>
          <w:rFonts w:hint="eastAsia" w:ascii="仿宋_GB2312" w:hAnsi="仿宋_GB2312" w:eastAsia="仿宋_GB2312" w:cs="仿宋_GB2312"/>
          <w:color w:val="000000"/>
          <w:sz w:val="32"/>
          <w:szCs w:val="32"/>
          <w:lang w:val="en-US" w:eastAsia="zh-CN"/>
        </w:rPr>
        <w:t>477-7581723</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lang w:val="en-US" w:eastAsia="zh-CN"/>
        </w:rPr>
        <w:t>QQ邮箱</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fldChar w:fldCharType="begin"/>
      </w:r>
      <w:r>
        <w:rPr>
          <w:rFonts w:hint="eastAsia" w:ascii="仿宋_GB2312" w:hAnsi="仿宋_GB2312" w:eastAsia="仿宋_GB2312" w:cs="仿宋_GB2312"/>
          <w:color w:val="000000"/>
          <w:sz w:val="32"/>
          <w:szCs w:val="32"/>
          <w:u w:val="none"/>
        </w:rPr>
        <w:instrText xml:space="preserve"> HYPERLINK "mailto:wsjd8395393@163.com" </w:instrText>
      </w:r>
      <w:r>
        <w:rPr>
          <w:rFonts w:hint="eastAsia" w:ascii="仿宋_GB2312" w:hAnsi="仿宋_GB2312" w:eastAsia="仿宋_GB2312" w:cs="仿宋_GB2312"/>
          <w:color w:val="000000"/>
          <w:sz w:val="32"/>
          <w:szCs w:val="32"/>
          <w:u w:val="none"/>
        </w:rPr>
        <w:fldChar w:fldCharType="separate"/>
      </w:r>
      <w:r>
        <w:rPr>
          <w:rStyle w:val="8"/>
          <w:rFonts w:hint="eastAsia" w:ascii="仿宋_GB2312" w:hAnsi="仿宋_GB2312" w:eastAsia="仿宋_GB2312" w:cs="仿宋_GB2312"/>
          <w:color w:val="000000"/>
          <w:sz w:val="32"/>
          <w:szCs w:val="32"/>
          <w:u w:val="none"/>
          <w:lang w:val="en-US" w:eastAsia="zh-CN"/>
        </w:rPr>
        <w:t>593605482</w:t>
      </w:r>
      <w:r>
        <w:rPr>
          <w:rStyle w:val="8"/>
          <w:rFonts w:hint="eastAsia" w:ascii="仿宋_GB2312" w:hAnsi="仿宋_GB2312" w:eastAsia="仿宋_GB2312" w:cs="仿宋_GB2312"/>
          <w:color w:val="000000"/>
          <w:sz w:val="32"/>
          <w:szCs w:val="32"/>
          <w:u w:val="none"/>
        </w:rPr>
        <w:t>@</w:t>
      </w:r>
      <w:r>
        <w:rPr>
          <w:rStyle w:val="8"/>
          <w:rFonts w:hint="eastAsia" w:ascii="仿宋_GB2312" w:hAnsi="仿宋_GB2312" w:eastAsia="仿宋_GB2312" w:cs="仿宋_GB2312"/>
          <w:color w:val="000000"/>
          <w:sz w:val="32"/>
          <w:szCs w:val="32"/>
          <w:u w:val="none"/>
          <w:lang w:val="en-US" w:eastAsia="zh-CN"/>
        </w:rPr>
        <w:t>QQ</w:t>
      </w:r>
      <w:r>
        <w:rPr>
          <w:rStyle w:val="8"/>
          <w:rFonts w:hint="eastAsia" w:ascii="仿宋_GB2312" w:hAnsi="仿宋_GB2312" w:eastAsia="仿宋_GB2312" w:cs="仿宋_GB2312"/>
          <w:color w:val="000000"/>
          <w:sz w:val="32"/>
          <w:szCs w:val="32"/>
          <w:u w:val="none"/>
        </w:rPr>
        <w:t>.com</w:t>
      </w:r>
      <w:r>
        <w:rPr>
          <w:rFonts w:hint="eastAsia" w:ascii="仿宋_GB2312" w:hAnsi="仿宋_GB2312" w:eastAsia="仿宋_GB2312" w:cs="仿宋_GB2312"/>
          <w:color w:val="000000"/>
          <w:sz w:val="32"/>
          <w:szCs w:val="32"/>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卫生健康综合行政执法大队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 系 人：奇小刚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联系电话：0477-7581368</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附件：1.</w:t>
      </w:r>
      <w:r>
        <w:rPr>
          <w:rFonts w:hint="eastAsia" w:ascii="仿宋_GB2312" w:hAnsi="仿宋_GB2312" w:eastAsia="仿宋_GB2312" w:cs="仿宋_GB2312"/>
          <w:color w:val="000000"/>
          <w:sz w:val="32"/>
          <w:szCs w:val="32"/>
        </w:rPr>
        <w:t>游泳场所专项监督检查汇总表</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1760" w:leftChars="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游泳场所卫生监督量化分级评分表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bidi w:val="0"/>
        <w:spacing w:line="579" w:lineRule="exact"/>
      </w:pPr>
    </w:p>
    <w:p>
      <w:pPr>
        <w:pStyle w:val="4"/>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32"/>
          <w:szCs w:val="32"/>
        </w:rPr>
      </w:pPr>
      <w:r>
        <w:rPr>
          <w:rFonts w:hint="eastAsia" w:ascii="黑体" w:hAnsi="黑体" w:eastAsia="黑体"/>
          <w:sz w:val="32"/>
          <w:szCs w:val="32"/>
        </w:rPr>
        <w:t>附件1</w:t>
      </w:r>
    </w:p>
    <w:p>
      <w:pPr>
        <w:rPr>
          <w:rFonts w:ascii="黑体" w:hAnsi="黑体" w:eastAsia="黑体"/>
          <w:sz w:val="32"/>
          <w:szCs w:val="32"/>
        </w:rPr>
      </w:pPr>
    </w:p>
    <w:p>
      <w:pPr>
        <w:rPr>
          <w:rFonts w:hint="eastAsia" w:ascii="方正小标宋简体" w:hAnsi="方正小标宋简体" w:eastAsia="方正小标宋简体" w:cs="方正小标宋简体"/>
          <w:bCs/>
          <w:kern w:val="0"/>
          <w:sz w:val="44"/>
          <w:szCs w:val="44"/>
          <w:lang w:val="en-US" w:eastAsia="zh-CN"/>
        </w:rPr>
      </w:pPr>
      <w:r>
        <w:rPr>
          <w:rFonts w:ascii="仿宋" w:hAnsi="仿宋" w:eastAsia="仿宋"/>
          <w:sz w:val="32"/>
          <w:szCs w:val="32"/>
        </w:rPr>
        <w:t xml:space="preserve"> </w:t>
      </w:r>
      <w:r>
        <w:rPr>
          <w:rFonts w:hint="eastAsia" w:ascii="宋体" w:hAnsi="宋体"/>
          <w:sz w:val="36"/>
          <w:szCs w:val="36"/>
        </w:rPr>
        <w:t xml:space="preserve"> </w:t>
      </w:r>
      <w:r>
        <w:rPr>
          <w:rFonts w:ascii="宋体" w:hAnsi="宋体"/>
          <w:sz w:val="36"/>
          <w:szCs w:val="36"/>
        </w:rPr>
        <w:t xml:space="preserve">    </w:t>
      </w:r>
      <w:r>
        <w:rPr>
          <w:rFonts w:hint="eastAsia" w:ascii="宋体" w:hAnsi="宋体"/>
          <w:sz w:val="36"/>
          <w:szCs w:val="36"/>
        </w:rPr>
        <w:t xml:space="preserve">   </w:t>
      </w:r>
      <w:r>
        <w:rPr>
          <w:rFonts w:ascii="宋体" w:hAnsi="宋体"/>
          <w:sz w:val="36"/>
          <w:szCs w:val="36"/>
          <w:u w:val="single"/>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方正小标宋简体" w:hAnsi="方正小标宋简体" w:eastAsia="方正小标宋简体" w:cs="方正小标宋简体"/>
          <w:bCs/>
          <w:kern w:val="0"/>
          <w:sz w:val="44"/>
          <w:szCs w:val="44"/>
          <w:lang w:val="en-US" w:eastAsia="zh-CN"/>
        </w:rPr>
        <w:t>辖区游泳场所专项监督检查汇总表</w:t>
      </w:r>
    </w:p>
    <w:p>
      <w:pPr>
        <w:rPr>
          <w:rFonts w:hint="eastAsia" w:ascii="方正小标宋_GBK" w:hAnsi="仿宋" w:eastAsia="方正小标宋_GBK"/>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11"/>
        <w:gridCol w:w="1601"/>
        <w:gridCol w:w="1470"/>
        <w:gridCol w:w="1601"/>
        <w:gridCol w:w="1679"/>
        <w:gridCol w:w="1275"/>
        <w:gridCol w:w="12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游泳</w:t>
            </w:r>
            <w:r>
              <w:rPr>
                <w:rFonts w:ascii="黑体" w:hAnsi="黑体" w:eastAsia="黑体"/>
                <w:kern w:val="0"/>
                <w:sz w:val="28"/>
                <w:szCs w:val="28"/>
              </w:rPr>
              <w:t>场所</w:t>
            </w:r>
          </w:p>
          <w:p>
            <w:pPr>
              <w:spacing w:line="0" w:lineRule="atLeast"/>
              <w:jc w:val="center"/>
              <w:rPr>
                <w:rFonts w:ascii="黑体" w:hAnsi="黑体" w:eastAsia="黑体"/>
                <w:kern w:val="0"/>
                <w:sz w:val="28"/>
                <w:szCs w:val="28"/>
              </w:rPr>
            </w:pPr>
            <w:r>
              <w:rPr>
                <w:rFonts w:ascii="黑体" w:hAnsi="黑体" w:eastAsia="黑体"/>
                <w:kern w:val="0"/>
                <w:sz w:val="28"/>
                <w:szCs w:val="28"/>
              </w:rPr>
              <w:t>类别</w:t>
            </w:r>
          </w:p>
        </w:tc>
        <w:tc>
          <w:tcPr>
            <w:tcW w:w="1211"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辖区内</w:t>
            </w:r>
          </w:p>
          <w:p>
            <w:pPr>
              <w:spacing w:line="0" w:lineRule="atLeast"/>
              <w:jc w:val="center"/>
              <w:rPr>
                <w:rFonts w:ascii="黑体" w:hAnsi="黑体" w:eastAsia="黑体"/>
                <w:kern w:val="0"/>
                <w:sz w:val="28"/>
                <w:szCs w:val="28"/>
              </w:rPr>
            </w:pPr>
            <w:r>
              <w:rPr>
                <w:rFonts w:ascii="黑体" w:hAnsi="黑体" w:eastAsia="黑体"/>
                <w:kern w:val="0"/>
                <w:sz w:val="28"/>
                <w:szCs w:val="28"/>
              </w:rPr>
              <w:t>总数</w:t>
            </w:r>
          </w:p>
        </w:tc>
        <w:tc>
          <w:tcPr>
            <w:tcW w:w="1601"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监督</w:t>
            </w:r>
            <w:r>
              <w:rPr>
                <w:rFonts w:ascii="黑体" w:hAnsi="黑体" w:eastAsia="黑体"/>
                <w:kern w:val="0"/>
                <w:sz w:val="28"/>
                <w:szCs w:val="28"/>
              </w:rPr>
              <w:t>检查</w:t>
            </w:r>
          </w:p>
          <w:p>
            <w:pPr>
              <w:spacing w:line="0" w:lineRule="atLeast"/>
              <w:jc w:val="center"/>
              <w:rPr>
                <w:rFonts w:ascii="黑体" w:hAnsi="黑体" w:eastAsia="黑体"/>
                <w:kern w:val="0"/>
                <w:sz w:val="28"/>
                <w:szCs w:val="28"/>
              </w:rPr>
            </w:pPr>
            <w:r>
              <w:rPr>
                <w:rFonts w:ascii="黑体" w:hAnsi="黑体" w:eastAsia="黑体"/>
                <w:kern w:val="0"/>
                <w:sz w:val="28"/>
                <w:szCs w:val="28"/>
              </w:rPr>
              <w:t>总数</w:t>
            </w:r>
          </w:p>
        </w:tc>
        <w:tc>
          <w:tcPr>
            <w:tcW w:w="1470"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取得</w:t>
            </w:r>
            <w:r>
              <w:rPr>
                <w:rFonts w:ascii="黑体" w:hAnsi="黑体" w:eastAsia="黑体"/>
                <w:kern w:val="0"/>
                <w:sz w:val="28"/>
                <w:szCs w:val="28"/>
              </w:rPr>
              <w:t>卫生许可</w:t>
            </w:r>
            <w:r>
              <w:rPr>
                <w:rFonts w:hint="eastAsia" w:ascii="黑体" w:hAnsi="黑体" w:eastAsia="黑体"/>
                <w:kern w:val="0"/>
                <w:sz w:val="28"/>
                <w:szCs w:val="28"/>
              </w:rPr>
              <w:t>数</w:t>
            </w:r>
          </w:p>
        </w:tc>
        <w:tc>
          <w:tcPr>
            <w:tcW w:w="1601"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实施量化</w:t>
            </w:r>
          </w:p>
          <w:p>
            <w:pPr>
              <w:spacing w:line="0" w:lineRule="atLeast"/>
              <w:jc w:val="center"/>
              <w:rPr>
                <w:rFonts w:ascii="黑体" w:hAnsi="黑体" w:eastAsia="黑体"/>
                <w:kern w:val="0"/>
                <w:sz w:val="28"/>
                <w:szCs w:val="28"/>
              </w:rPr>
            </w:pPr>
            <w:r>
              <w:rPr>
                <w:rFonts w:ascii="黑体" w:hAnsi="黑体" w:eastAsia="黑体"/>
                <w:kern w:val="0"/>
                <w:sz w:val="28"/>
                <w:szCs w:val="28"/>
              </w:rPr>
              <w:t>分级</w:t>
            </w:r>
            <w:r>
              <w:rPr>
                <w:rFonts w:hint="eastAsia" w:ascii="黑体" w:hAnsi="黑体" w:eastAsia="黑体"/>
                <w:kern w:val="0"/>
                <w:sz w:val="28"/>
                <w:szCs w:val="28"/>
              </w:rPr>
              <w:t>数</w:t>
            </w:r>
          </w:p>
        </w:tc>
        <w:tc>
          <w:tcPr>
            <w:tcW w:w="1679"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游泳池</w:t>
            </w:r>
          </w:p>
          <w:p>
            <w:pPr>
              <w:spacing w:line="0" w:lineRule="atLeast"/>
              <w:jc w:val="center"/>
              <w:rPr>
                <w:rFonts w:hint="eastAsia" w:ascii="黑体" w:hAnsi="黑体" w:eastAsia="黑体"/>
                <w:kern w:val="0"/>
                <w:sz w:val="28"/>
                <w:szCs w:val="28"/>
                <w:lang w:eastAsia="zh-CN"/>
              </w:rPr>
            </w:pPr>
            <w:r>
              <w:rPr>
                <w:rFonts w:hint="eastAsia" w:ascii="黑体" w:hAnsi="黑体" w:eastAsia="黑体"/>
                <w:kern w:val="0"/>
                <w:sz w:val="28"/>
                <w:szCs w:val="28"/>
              </w:rPr>
              <w:t>水质</w:t>
            </w:r>
            <w:r>
              <w:rPr>
                <w:rFonts w:ascii="黑体" w:hAnsi="黑体" w:eastAsia="黑体"/>
                <w:kern w:val="0"/>
                <w:sz w:val="28"/>
                <w:szCs w:val="28"/>
              </w:rPr>
              <w:t>检测</w:t>
            </w:r>
            <w:r>
              <w:rPr>
                <w:rFonts w:hint="eastAsia" w:ascii="黑体" w:hAnsi="黑体" w:eastAsia="黑体"/>
                <w:kern w:val="0"/>
                <w:sz w:val="28"/>
                <w:szCs w:val="28"/>
                <w:lang w:eastAsia="zh-CN"/>
              </w:rPr>
              <w:t>数</w:t>
            </w:r>
          </w:p>
        </w:tc>
        <w:tc>
          <w:tcPr>
            <w:tcW w:w="1275"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责令</w:t>
            </w:r>
          </w:p>
          <w:p>
            <w:pPr>
              <w:spacing w:line="0" w:lineRule="atLeast"/>
              <w:jc w:val="center"/>
              <w:rPr>
                <w:rFonts w:ascii="黑体" w:hAnsi="黑体" w:eastAsia="黑体"/>
                <w:kern w:val="0"/>
                <w:sz w:val="28"/>
                <w:szCs w:val="28"/>
              </w:rPr>
            </w:pPr>
            <w:r>
              <w:rPr>
                <w:rFonts w:ascii="黑体" w:hAnsi="黑体" w:eastAsia="黑体"/>
                <w:kern w:val="0"/>
                <w:sz w:val="28"/>
                <w:szCs w:val="28"/>
              </w:rPr>
              <w:t>整改数</w:t>
            </w:r>
          </w:p>
        </w:tc>
        <w:tc>
          <w:tcPr>
            <w:tcW w:w="1260"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立案</w:t>
            </w:r>
          </w:p>
          <w:p>
            <w:pPr>
              <w:spacing w:line="0" w:lineRule="atLeast"/>
              <w:jc w:val="center"/>
              <w:rPr>
                <w:rFonts w:hint="eastAsia" w:ascii="黑体" w:hAnsi="黑体" w:eastAsia="黑体"/>
                <w:kern w:val="0"/>
                <w:sz w:val="28"/>
                <w:szCs w:val="28"/>
                <w:lang w:eastAsia="zh-CN"/>
              </w:rPr>
            </w:pPr>
            <w:r>
              <w:rPr>
                <w:rFonts w:ascii="黑体" w:hAnsi="黑体" w:eastAsia="黑体"/>
                <w:kern w:val="0"/>
                <w:sz w:val="28"/>
                <w:szCs w:val="28"/>
              </w:rPr>
              <w:t>处罚</w:t>
            </w:r>
            <w:r>
              <w:rPr>
                <w:rFonts w:hint="eastAsia" w:ascii="黑体" w:hAnsi="黑体" w:eastAsia="黑体"/>
                <w:kern w:val="0"/>
                <w:sz w:val="28"/>
                <w:szCs w:val="28"/>
              </w:rPr>
              <w:t>数</w:t>
            </w:r>
            <w:r>
              <w:rPr>
                <w:rFonts w:hint="eastAsia" w:ascii="黑体" w:hAnsi="黑体" w:eastAsia="黑体"/>
                <w:kern w:val="0"/>
                <w:sz w:val="28"/>
                <w:szCs w:val="28"/>
                <w:lang w:eastAsia="zh-CN"/>
              </w:rPr>
              <w:t>（例）</w:t>
            </w:r>
          </w:p>
        </w:tc>
        <w:tc>
          <w:tcPr>
            <w:tcW w:w="1350" w:type="dxa"/>
            <w:noWrap w:val="0"/>
            <w:vAlign w:val="top"/>
          </w:tcPr>
          <w:p>
            <w:pPr>
              <w:spacing w:line="0" w:lineRule="atLeast"/>
              <w:jc w:val="center"/>
              <w:rPr>
                <w:rFonts w:ascii="黑体" w:hAnsi="黑体" w:eastAsia="黑体"/>
                <w:kern w:val="0"/>
                <w:sz w:val="28"/>
                <w:szCs w:val="28"/>
              </w:rPr>
            </w:pPr>
            <w:r>
              <w:rPr>
                <w:rFonts w:hint="eastAsia" w:ascii="黑体" w:hAnsi="黑体" w:eastAsia="黑体"/>
                <w:kern w:val="0"/>
                <w:sz w:val="28"/>
                <w:szCs w:val="28"/>
              </w:rPr>
              <w:t>处罚</w:t>
            </w:r>
          </w:p>
          <w:p>
            <w:pPr>
              <w:spacing w:line="0" w:lineRule="atLeast"/>
              <w:jc w:val="center"/>
              <w:rPr>
                <w:rFonts w:ascii="黑体" w:hAnsi="黑体" w:eastAsia="黑体"/>
                <w:kern w:val="0"/>
                <w:sz w:val="28"/>
                <w:szCs w:val="28"/>
              </w:rPr>
            </w:pPr>
            <w:r>
              <w:rPr>
                <w:rFonts w:ascii="黑体" w:hAnsi="黑体" w:eastAsia="黑体"/>
                <w:kern w:val="0"/>
                <w:sz w:val="28"/>
                <w:szCs w:val="28"/>
              </w:rPr>
              <w:t>金额</w:t>
            </w:r>
          </w:p>
          <w:p>
            <w:pPr>
              <w:spacing w:line="0" w:lineRule="atLeast"/>
              <w:jc w:val="center"/>
              <w:rPr>
                <w:rFonts w:hint="eastAsia" w:ascii="黑体" w:hAnsi="黑体" w:eastAsia="黑体"/>
                <w:kern w:val="0"/>
                <w:sz w:val="28"/>
                <w:szCs w:val="28"/>
                <w:lang w:eastAsia="zh-CN"/>
              </w:rPr>
            </w:pPr>
            <w:r>
              <w:rPr>
                <w:rFonts w:hint="eastAsia" w:ascii="黑体" w:hAnsi="黑体" w:eastAsia="黑体"/>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115" w:type="dxa"/>
            <w:noWrap w:val="0"/>
            <w:vAlign w:val="top"/>
          </w:tcPr>
          <w:p>
            <w:pPr>
              <w:spacing w:before="144" w:beforeLines="50" w:line="500" w:lineRule="exact"/>
              <w:jc w:val="center"/>
              <w:rPr>
                <w:rFonts w:ascii="宋体" w:hAnsi="宋体"/>
                <w:kern w:val="0"/>
                <w:sz w:val="28"/>
                <w:szCs w:val="28"/>
              </w:rPr>
            </w:pPr>
            <w:r>
              <w:rPr>
                <w:rFonts w:hint="eastAsia" w:ascii="宋体" w:hAnsi="宋体"/>
                <w:kern w:val="0"/>
                <w:sz w:val="28"/>
                <w:szCs w:val="28"/>
              </w:rPr>
              <w:t>室内</w:t>
            </w:r>
            <w:r>
              <w:rPr>
                <w:rFonts w:ascii="宋体" w:hAnsi="宋体"/>
                <w:kern w:val="0"/>
                <w:sz w:val="28"/>
                <w:szCs w:val="28"/>
              </w:rPr>
              <w:t>游泳场馆</w:t>
            </w:r>
          </w:p>
        </w:tc>
        <w:tc>
          <w:tcPr>
            <w:tcW w:w="1211" w:type="dxa"/>
            <w:noWrap w:val="0"/>
            <w:vAlign w:val="top"/>
          </w:tcPr>
          <w:p>
            <w:pPr>
              <w:spacing w:line="500" w:lineRule="exact"/>
              <w:rPr>
                <w:rFonts w:ascii="宋体" w:hAnsi="宋体"/>
                <w:kern w:val="0"/>
                <w:sz w:val="28"/>
                <w:szCs w:val="28"/>
              </w:rPr>
            </w:pPr>
          </w:p>
        </w:tc>
        <w:tc>
          <w:tcPr>
            <w:tcW w:w="1601" w:type="dxa"/>
            <w:noWrap w:val="0"/>
            <w:vAlign w:val="top"/>
          </w:tcPr>
          <w:p>
            <w:pPr>
              <w:spacing w:line="500" w:lineRule="exact"/>
              <w:rPr>
                <w:rFonts w:ascii="宋体" w:hAnsi="宋体"/>
                <w:kern w:val="0"/>
                <w:sz w:val="28"/>
                <w:szCs w:val="28"/>
              </w:rPr>
            </w:pPr>
          </w:p>
        </w:tc>
        <w:tc>
          <w:tcPr>
            <w:tcW w:w="1470" w:type="dxa"/>
            <w:noWrap w:val="0"/>
            <w:vAlign w:val="top"/>
          </w:tcPr>
          <w:p>
            <w:pPr>
              <w:spacing w:line="500" w:lineRule="exact"/>
              <w:rPr>
                <w:rFonts w:ascii="宋体" w:hAnsi="宋体"/>
                <w:kern w:val="0"/>
                <w:sz w:val="28"/>
                <w:szCs w:val="28"/>
              </w:rPr>
            </w:pPr>
          </w:p>
        </w:tc>
        <w:tc>
          <w:tcPr>
            <w:tcW w:w="1601" w:type="dxa"/>
            <w:noWrap w:val="0"/>
            <w:vAlign w:val="top"/>
          </w:tcPr>
          <w:p>
            <w:pPr>
              <w:spacing w:line="500" w:lineRule="exact"/>
              <w:rPr>
                <w:rFonts w:ascii="宋体" w:hAnsi="宋体"/>
                <w:kern w:val="0"/>
                <w:sz w:val="28"/>
                <w:szCs w:val="28"/>
              </w:rPr>
            </w:pPr>
          </w:p>
        </w:tc>
        <w:tc>
          <w:tcPr>
            <w:tcW w:w="1679" w:type="dxa"/>
            <w:noWrap w:val="0"/>
            <w:vAlign w:val="top"/>
          </w:tcPr>
          <w:p>
            <w:pPr>
              <w:spacing w:line="500" w:lineRule="exact"/>
              <w:rPr>
                <w:rFonts w:ascii="宋体" w:hAnsi="宋体"/>
                <w:kern w:val="0"/>
                <w:sz w:val="28"/>
                <w:szCs w:val="28"/>
              </w:rPr>
            </w:pPr>
          </w:p>
        </w:tc>
        <w:tc>
          <w:tcPr>
            <w:tcW w:w="1275" w:type="dxa"/>
            <w:noWrap w:val="0"/>
            <w:vAlign w:val="top"/>
          </w:tcPr>
          <w:p>
            <w:pPr>
              <w:spacing w:line="500" w:lineRule="exact"/>
              <w:rPr>
                <w:rFonts w:ascii="宋体" w:hAnsi="宋体"/>
                <w:kern w:val="0"/>
                <w:sz w:val="28"/>
                <w:szCs w:val="28"/>
              </w:rPr>
            </w:pPr>
          </w:p>
        </w:tc>
        <w:tc>
          <w:tcPr>
            <w:tcW w:w="1260" w:type="dxa"/>
            <w:noWrap w:val="0"/>
            <w:vAlign w:val="top"/>
          </w:tcPr>
          <w:p>
            <w:pPr>
              <w:spacing w:line="500" w:lineRule="exact"/>
              <w:rPr>
                <w:rFonts w:ascii="宋体" w:hAnsi="宋体"/>
                <w:kern w:val="0"/>
                <w:sz w:val="28"/>
                <w:szCs w:val="28"/>
              </w:rPr>
            </w:pPr>
          </w:p>
        </w:tc>
        <w:tc>
          <w:tcPr>
            <w:tcW w:w="1350" w:type="dxa"/>
            <w:noWrap w:val="0"/>
            <w:vAlign w:val="top"/>
          </w:tcPr>
          <w:p>
            <w:pPr>
              <w:spacing w:line="500" w:lineRule="exac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115" w:type="dxa"/>
            <w:noWrap w:val="0"/>
            <w:vAlign w:val="top"/>
          </w:tcPr>
          <w:p>
            <w:pPr>
              <w:spacing w:before="144" w:beforeLines="50" w:line="500" w:lineRule="exact"/>
              <w:jc w:val="center"/>
              <w:rPr>
                <w:rFonts w:ascii="宋体" w:hAnsi="宋体"/>
                <w:kern w:val="0"/>
                <w:sz w:val="28"/>
                <w:szCs w:val="28"/>
              </w:rPr>
            </w:pPr>
            <w:r>
              <w:rPr>
                <w:rFonts w:hint="eastAsia" w:ascii="宋体" w:hAnsi="宋体"/>
                <w:kern w:val="0"/>
                <w:sz w:val="28"/>
                <w:szCs w:val="28"/>
              </w:rPr>
              <w:t>室外</w:t>
            </w:r>
            <w:r>
              <w:rPr>
                <w:rFonts w:ascii="宋体" w:hAnsi="宋体"/>
                <w:kern w:val="0"/>
                <w:sz w:val="28"/>
                <w:szCs w:val="28"/>
              </w:rPr>
              <w:t>游泳场</w:t>
            </w:r>
          </w:p>
        </w:tc>
        <w:tc>
          <w:tcPr>
            <w:tcW w:w="1211" w:type="dxa"/>
            <w:noWrap w:val="0"/>
            <w:vAlign w:val="top"/>
          </w:tcPr>
          <w:p>
            <w:pPr>
              <w:spacing w:line="500" w:lineRule="exact"/>
              <w:rPr>
                <w:rFonts w:ascii="宋体" w:hAnsi="宋体"/>
                <w:kern w:val="0"/>
                <w:sz w:val="28"/>
                <w:szCs w:val="28"/>
              </w:rPr>
            </w:pPr>
          </w:p>
        </w:tc>
        <w:tc>
          <w:tcPr>
            <w:tcW w:w="1601" w:type="dxa"/>
            <w:noWrap w:val="0"/>
            <w:vAlign w:val="top"/>
          </w:tcPr>
          <w:p>
            <w:pPr>
              <w:spacing w:line="500" w:lineRule="exact"/>
              <w:rPr>
                <w:rFonts w:ascii="宋体" w:hAnsi="宋体"/>
                <w:kern w:val="0"/>
                <w:sz w:val="28"/>
                <w:szCs w:val="28"/>
              </w:rPr>
            </w:pPr>
          </w:p>
        </w:tc>
        <w:tc>
          <w:tcPr>
            <w:tcW w:w="1470" w:type="dxa"/>
            <w:noWrap w:val="0"/>
            <w:vAlign w:val="top"/>
          </w:tcPr>
          <w:p>
            <w:pPr>
              <w:spacing w:line="500" w:lineRule="exact"/>
              <w:rPr>
                <w:rFonts w:ascii="宋体" w:hAnsi="宋体"/>
                <w:kern w:val="0"/>
                <w:sz w:val="28"/>
                <w:szCs w:val="28"/>
              </w:rPr>
            </w:pPr>
          </w:p>
        </w:tc>
        <w:tc>
          <w:tcPr>
            <w:tcW w:w="1601" w:type="dxa"/>
            <w:noWrap w:val="0"/>
            <w:vAlign w:val="top"/>
          </w:tcPr>
          <w:p>
            <w:pPr>
              <w:spacing w:line="500" w:lineRule="exact"/>
              <w:rPr>
                <w:rFonts w:ascii="宋体" w:hAnsi="宋体"/>
                <w:kern w:val="0"/>
                <w:sz w:val="28"/>
                <w:szCs w:val="28"/>
              </w:rPr>
            </w:pPr>
          </w:p>
        </w:tc>
        <w:tc>
          <w:tcPr>
            <w:tcW w:w="1679" w:type="dxa"/>
            <w:noWrap w:val="0"/>
            <w:vAlign w:val="top"/>
          </w:tcPr>
          <w:p>
            <w:pPr>
              <w:spacing w:line="500" w:lineRule="exact"/>
              <w:rPr>
                <w:rFonts w:ascii="宋体" w:hAnsi="宋体"/>
                <w:kern w:val="0"/>
                <w:sz w:val="28"/>
                <w:szCs w:val="28"/>
              </w:rPr>
            </w:pPr>
          </w:p>
        </w:tc>
        <w:tc>
          <w:tcPr>
            <w:tcW w:w="1275" w:type="dxa"/>
            <w:noWrap w:val="0"/>
            <w:vAlign w:val="top"/>
          </w:tcPr>
          <w:p>
            <w:pPr>
              <w:spacing w:line="500" w:lineRule="exact"/>
              <w:rPr>
                <w:rFonts w:ascii="宋体" w:hAnsi="宋体"/>
                <w:kern w:val="0"/>
                <w:sz w:val="28"/>
                <w:szCs w:val="28"/>
              </w:rPr>
            </w:pPr>
          </w:p>
        </w:tc>
        <w:tc>
          <w:tcPr>
            <w:tcW w:w="1260" w:type="dxa"/>
            <w:noWrap w:val="0"/>
            <w:vAlign w:val="top"/>
          </w:tcPr>
          <w:p>
            <w:pPr>
              <w:spacing w:line="500" w:lineRule="exact"/>
              <w:rPr>
                <w:rFonts w:ascii="宋体" w:hAnsi="宋体"/>
                <w:kern w:val="0"/>
                <w:sz w:val="28"/>
                <w:szCs w:val="28"/>
              </w:rPr>
            </w:pPr>
          </w:p>
        </w:tc>
        <w:tc>
          <w:tcPr>
            <w:tcW w:w="1350" w:type="dxa"/>
            <w:noWrap w:val="0"/>
            <w:vAlign w:val="top"/>
          </w:tcPr>
          <w:p>
            <w:pPr>
              <w:spacing w:line="500" w:lineRule="exact"/>
              <w:rPr>
                <w:rFonts w:ascii="宋体" w:hAnsi="宋体"/>
                <w:kern w:val="0"/>
                <w:sz w:val="28"/>
                <w:szCs w:val="28"/>
              </w:rPr>
            </w:pPr>
          </w:p>
        </w:tc>
      </w:tr>
    </w:tbl>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备注：监督检查总数为检查总户数，数量应小于或等于辖区内总数。</w:t>
      </w:r>
    </w:p>
    <w:p>
      <w:pPr>
        <w:ind w:firstLine="640" w:firstLineChars="200"/>
        <w:rPr>
          <w:rFonts w:hint="eastAsia" w:ascii="仿宋" w:hAnsi="仿宋" w:eastAsia="仿宋"/>
          <w:sz w:val="32"/>
          <w:szCs w:val="32"/>
          <w:lang w:eastAsia="zh-CN"/>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填报人： </w:t>
      </w:r>
      <w:r>
        <w:rPr>
          <w:rFonts w:ascii="仿宋" w:hAnsi="仿宋" w:eastAsia="仿宋"/>
          <w:sz w:val="32"/>
          <w:szCs w:val="32"/>
        </w:rPr>
        <w:t xml:space="preserve">                   </w:t>
      </w:r>
      <w:r>
        <w:rPr>
          <w:rFonts w:hint="eastAsia" w:ascii="仿宋" w:hAnsi="仿宋" w:eastAsia="仿宋"/>
          <w:sz w:val="32"/>
          <w:szCs w:val="32"/>
        </w:rPr>
        <w:t>联系电话：</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hint="eastAsia" w:ascii="方正小标宋_GBK" w:hAnsi="方正小标宋_GBK" w:eastAsia="方正小标宋_GBK" w:cs="方正小标宋_GBK"/>
          <w:sz w:val="44"/>
          <w:szCs w:val="44"/>
          <w:lang w:val="en-US" w:eastAsia="zh-CN"/>
        </w:rPr>
      </w:pPr>
      <w:r>
        <w:rPr>
          <w:rFonts w:hint="eastAsia" w:ascii="黑体" w:hAnsi="黑体" w:eastAsia="黑体" w:cs="黑体"/>
          <w:sz w:val="32"/>
          <w:szCs w:val="32"/>
          <w:lang w:val="en-US" w:eastAsia="zh-CN"/>
        </w:rPr>
        <w:t>附件2</w:t>
      </w:r>
    </w:p>
    <w:p>
      <w:pPr>
        <w:bidi w:val="0"/>
        <w:ind w:right="84"/>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游泳场所卫生监督量化分级评分表</w:t>
      </w:r>
    </w:p>
    <w:p>
      <w:pPr>
        <w:bidi w:val="0"/>
        <w:ind w:right="450"/>
        <w:jc w:val="right"/>
        <w:rPr>
          <w:rFonts w:hint="eastAsia"/>
          <w:bCs/>
          <w:color w:val="000000"/>
          <w:sz w:val="28"/>
          <w:szCs w:val="28"/>
        </w:rPr>
      </w:pPr>
      <w:r>
        <w:rPr>
          <w:rFonts w:hint="eastAsia"/>
          <w:bCs/>
          <w:color w:val="000000"/>
          <w:sz w:val="28"/>
          <w:szCs w:val="28"/>
        </w:rPr>
        <w:t>总得分：</w:t>
      </w:r>
      <w:r>
        <w:rPr>
          <w:bCs/>
          <w:color w:val="000000"/>
          <w:sz w:val="28"/>
          <w:szCs w:val="28"/>
          <w:u w:val="single"/>
        </w:rPr>
        <w:t xml:space="preserve">     </w:t>
      </w:r>
      <w:r>
        <w:rPr>
          <w:bCs/>
          <w:color w:val="000000"/>
          <w:sz w:val="28"/>
          <w:szCs w:val="28"/>
        </w:rPr>
        <w:t xml:space="preserve"> </w:t>
      </w:r>
      <w:r>
        <w:rPr>
          <w:rFonts w:hint="eastAsia"/>
          <w:bCs/>
          <w:color w:val="000000"/>
          <w:sz w:val="28"/>
          <w:szCs w:val="28"/>
        </w:rPr>
        <w:t>标化分：</w:t>
      </w:r>
      <w:r>
        <w:rPr>
          <w:bCs/>
          <w:color w:val="000000"/>
          <w:sz w:val="28"/>
          <w:szCs w:val="28"/>
          <w:u w:val="single"/>
        </w:rPr>
        <w:t xml:space="preserve">      </w:t>
      </w:r>
      <w:r>
        <w:rPr>
          <w:bCs/>
          <w:color w:val="000000"/>
          <w:sz w:val="28"/>
          <w:szCs w:val="28"/>
        </w:rPr>
        <w:t xml:space="preserve"> </w:t>
      </w:r>
      <w:r>
        <w:rPr>
          <w:rFonts w:hint="eastAsia"/>
          <w:bCs/>
          <w:color w:val="000000"/>
          <w:sz w:val="28"/>
          <w:szCs w:val="28"/>
        </w:rPr>
        <w:t>核定等级：</w:t>
      </w:r>
    </w:p>
    <w:tbl>
      <w:tblPr>
        <w:tblStyle w:val="6"/>
        <w:tblW w:w="13355"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9"/>
        <w:gridCol w:w="2772"/>
        <w:gridCol w:w="434"/>
        <w:gridCol w:w="2201"/>
        <w:gridCol w:w="5232"/>
        <w:gridCol w:w="783"/>
        <w:gridCol w:w="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6606" w:type="dxa"/>
            <w:gridSpan w:val="4"/>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单位名称：</w:t>
            </w:r>
          </w:p>
        </w:tc>
        <w:tc>
          <w:tcPr>
            <w:tcW w:w="6749" w:type="dxa"/>
            <w:gridSpan w:val="3"/>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负责人：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6606" w:type="dxa"/>
            <w:gridSpan w:val="4"/>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p>
        </w:tc>
        <w:tc>
          <w:tcPr>
            <w:tcW w:w="6749" w:type="dxa"/>
            <w:gridSpan w:val="3"/>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3355" w:type="dxa"/>
            <w:gridSpan w:val="7"/>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卫生许可证编号：             </w:t>
            </w:r>
            <w:r>
              <w:rPr>
                <w:rFonts w:hint="eastAsia" w:ascii="宋体" w:hAnsi="宋体" w:eastAsia="宋体" w:cs="宋体"/>
                <w:color w:val="000000"/>
                <w:sz w:val="24"/>
                <w:szCs w:val="24"/>
              </w:rPr>
              <w:t>第           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2772"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评查内容</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c>
          <w:tcPr>
            <w:tcW w:w="7433" w:type="dxa"/>
            <w:gridSpan w:val="2"/>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c>
          <w:tcPr>
            <w:tcW w:w="783"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7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卫生管理</w:t>
            </w: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1.卫生许可证 </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有过期、伪造、涂改、转让、倒卖现象；不予评定等级。</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2.亮证经营</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卫生许可证未悬挂在大厅、入口等醒目处；扣2分。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3.卫生信誉度</w:t>
            </w:r>
          </w:p>
          <w:p>
            <w:pPr>
              <w:widowControl/>
              <w:bidi w:val="0"/>
              <w:spacing w:line="240" w:lineRule="exact"/>
              <w:ind w:firstLine="1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等级公示</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公共场所卫生信誉度等级标识未悬挂在大厅、入口等醒目处；扣2分。</w:t>
            </w:r>
          </w:p>
        </w:tc>
        <w:tc>
          <w:tcPr>
            <w:tcW w:w="783" w:type="dxa"/>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4.卫生管理制度</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卫生管理制度不齐全；扣2分。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卫生管理制度未置于相应岗位的墙上；扣2分。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5.应急处理预案</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bottom"/>
          </w:tcPr>
          <w:p>
            <w:pPr>
              <w:widowControl/>
              <w:bidi w:val="0"/>
              <w:spacing w:line="24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无突发公共卫生事件应急处理预案；扣4分。</w:t>
            </w:r>
          </w:p>
          <w:p>
            <w:pPr>
              <w:bidi w:val="0"/>
              <w:spacing w:line="240" w:lineRule="exact"/>
              <w:jc w:val="both"/>
              <w:rPr>
                <w:rFonts w:hint="eastAsia" w:ascii="宋体" w:hAnsi="宋体" w:eastAsia="宋体" w:cs="宋体"/>
                <w:color w:val="000000"/>
                <w:kern w:val="0"/>
                <w:sz w:val="24"/>
                <w:szCs w:val="24"/>
              </w:rPr>
            </w:pP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6.卫生管理及人员</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无健全的卫生管理体系；扣3分。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无专职或兼职的卫生管理人员； 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7.体检培训</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直接为顾客服务从业人员无有效体检、培训证明；缺一人扣2分，扣完为止。          </w:t>
            </w:r>
          </w:p>
        </w:tc>
        <w:tc>
          <w:tcPr>
            <w:tcW w:w="783" w:type="dxa"/>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 检测报告</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无有效公共场所卫生检测评价报告；扣4分。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9.开放期间水质报告</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无开放期间游泳池水质检测报告（当年至少一次）；扣4分。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10.禁游标志</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无禁游标志；扣4分。</w:t>
            </w:r>
          </w:p>
        </w:tc>
        <w:tc>
          <w:tcPr>
            <w:tcW w:w="783" w:type="dxa"/>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禁游标志未悬挂在大厅、入口等醒目处；扣2分。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11.水质公示</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未公示泳池室温、水温和有效氯、pH测定结果；扣6分。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公示项目不齐全 ；扣3分。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每日未按场次或定时公示；扣3分。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12.游泳衣裤出租</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出租游泳衣裤；扣6分。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restart"/>
            <w:noWrap w:val="0"/>
            <w:vAlign w:val="center"/>
          </w:tcPr>
          <w:p>
            <w:pPr>
              <w:widowControl/>
              <w:bidi w:val="0"/>
              <w:jc w:val="left"/>
              <w:rPr>
                <w:rFonts w:hint="eastAsia" w:ascii="宋体" w:hAnsi="宋体" w:eastAsia="宋体" w:cs="宋体"/>
                <w:color w:val="000000"/>
                <w:kern w:val="0"/>
                <w:sz w:val="24"/>
                <w:szCs w:val="24"/>
              </w:rPr>
            </w:pPr>
          </w:p>
          <w:p>
            <w:pPr>
              <w:widowControl/>
              <w:bidi w:val="0"/>
              <w:jc w:val="left"/>
              <w:rPr>
                <w:rFonts w:hint="eastAsia" w:ascii="宋体" w:hAnsi="宋体" w:eastAsia="宋体" w:cs="宋体"/>
                <w:color w:val="000000"/>
                <w:kern w:val="0"/>
                <w:sz w:val="24"/>
                <w:szCs w:val="24"/>
              </w:rPr>
            </w:pPr>
          </w:p>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功能区卫生要求</w:t>
            </w: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13.池水循环消毒设备</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无游泳池水循环消毒设备；不予评定等级。</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游泳池水循环消毒设备不能正常使用；不予评定等级。</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无补充新水系统；不予评定等级。</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14.浸脚池</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无强制通过式浸脚池；不予评定等级。</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15.布局</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更衣室、淋浴室和浸脚池、游泳池的布局不合理；扣4分。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16.儿童池与成人池</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儿童涉水池及其供水系统与成人池未隔离；扣2分。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 余氯检测</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无检测游泳池水质有效氯仪器；不予评定等级。</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18.消毒剂存放</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无独立消毒剂存放场所；扣4分。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消毒剂存放容器不密闭；扣4分。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19.池水循环操作及余氯自测记录</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无完整的游泳池水循环净化消毒操作记录；扣3分。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无完整的游泳池水质有效氯检测记录；扣3分。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ind w:left="270" w:hanging="27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20.浸脚消毒池水更换</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强制通过式浸脚消毒池水未做到每4小时更换一次；扣2分。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无完整强制通过式浸脚消毒池有效氯记录；扣2分。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ind w:left="540" w:hanging="5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21.更衣柜清洁</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更衣柜不清洁；扣4分。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未每日清洁更衣柜；扣2分。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无更衣柜清洁记录；扣2分。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22.液氯消毒安全措施</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液氯消毒的安全措施不符合要求；扣4分。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23.现场余氯检测</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现场检测游泳池水质有效氯含量；不合格扣6分。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24.浸脚消毒池水质检测</w:t>
            </w:r>
          </w:p>
        </w:tc>
        <w:tc>
          <w:tcPr>
            <w:tcW w:w="434" w:type="dxa"/>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现场检测强制通过式浸脚消毒池水质有效氯含量；不合格扣4分。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25.卫生间环境</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环境不整洁，有积水、异味、积粪；扣2分。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公共卫生间通风不好；扣2分。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公共用品卫生要求</w:t>
            </w:r>
          </w:p>
        </w:tc>
        <w:tc>
          <w:tcPr>
            <w:tcW w:w="2772" w:type="dxa"/>
            <w:vMerge w:val="restart"/>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26.消毒产品</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有过期产品；扣6分。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产品标签标注不齐全；扣3分。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center"/>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产品无卫生许可批件；扣3分。</w:t>
            </w:r>
          </w:p>
        </w:tc>
        <w:tc>
          <w:tcPr>
            <w:tcW w:w="783" w:type="dxa"/>
            <w:noWrap w:val="0"/>
            <w:vAlign w:val="center"/>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top"/>
          </w:tcPr>
          <w:p>
            <w:pPr>
              <w:widowControl/>
              <w:bidi w:val="0"/>
              <w:spacing w:line="240" w:lineRule="exact"/>
              <w:jc w:val="left"/>
              <w:rPr>
                <w:rFonts w:hint="eastAsia" w:ascii="宋体" w:hAnsi="宋体" w:eastAsia="宋体" w:cs="宋体"/>
                <w:color w:val="000000"/>
                <w:kern w:val="0"/>
                <w:sz w:val="24"/>
                <w:szCs w:val="24"/>
              </w:rPr>
            </w:pPr>
          </w:p>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27.一客一换 </w:t>
            </w:r>
          </w:p>
        </w:tc>
        <w:tc>
          <w:tcPr>
            <w:tcW w:w="434" w:type="dxa"/>
            <w:vMerge w:val="restart"/>
            <w:noWrap w:val="0"/>
            <w:vAlign w:val="top"/>
          </w:tcPr>
          <w:p>
            <w:pPr>
              <w:widowControl/>
              <w:bidi w:val="0"/>
              <w:spacing w:line="240" w:lineRule="exact"/>
              <w:jc w:val="center"/>
              <w:rPr>
                <w:rFonts w:hint="eastAsia" w:ascii="宋体" w:hAnsi="宋体" w:eastAsia="宋体" w:cs="宋体"/>
                <w:color w:val="000000"/>
                <w:kern w:val="0"/>
                <w:sz w:val="24"/>
                <w:szCs w:val="24"/>
              </w:rPr>
            </w:pPr>
          </w:p>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客用物品未做到一客一换；扣4分。</w:t>
            </w:r>
          </w:p>
        </w:tc>
        <w:tc>
          <w:tcPr>
            <w:tcW w:w="783" w:type="dxa"/>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top"/>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客用物品更换记录不齐全；扣2分。</w:t>
            </w:r>
          </w:p>
        </w:tc>
        <w:tc>
          <w:tcPr>
            <w:tcW w:w="783" w:type="dxa"/>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top"/>
          </w:tcPr>
          <w:p>
            <w:pPr>
              <w:widowControl/>
              <w:bidi w:val="0"/>
              <w:spacing w:line="240" w:lineRule="exact"/>
              <w:jc w:val="left"/>
              <w:rPr>
                <w:rFonts w:hint="eastAsia" w:ascii="宋体" w:hAnsi="宋体" w:eastAsia="宋体" w:cs="宋体"/>
                <w:color w:val="000000"/>
                <w:kern w:val="0"/>
                <w:sz w:val="24"/>
                <w:szCs w:val="24"/>
              </w:rPr>
            </w:pPr>
          </w:p>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28.非一次性拖鞋消毒</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无非一次性拖鞋专用清洗消毒池（桶）；扣2分。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无上下水设施；扣2分。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top"/>
          </w:tcPr>
          <w:p>
            <w:pPr>
              <w:bidi w:val="0"/>
              <w:spacing w:line="240" w:lineRule="exact"/>
              <w:jc w:val="left"/>
              <w:rPr>
                <w:rFonts w:hint="eastAsia" w:ascii="宋体" w:hAnsi="宋体" w:eastAsia="宋体" w:cs="宋体"/>
                <w:color w:val="000000"/>
                <w:kern w:val="0"/>
                <w:sz w:val="24"/>
                <w:szCs w:val="24"/>
              </w:rPr>
            </w:pPr>
          </w:p>
          <w:p>
            <w:pPr>
              <w:bidi w:val="0"/>
              <w:spacing w:line="240" w:lineRule="exact"/>
              <w:jc w:val="left"/>
              <w:rPr>
                <w:rFonts w:hint="eastAsia" w:ascii="宋体" w:hAnsi="宋体" w:eastAsia="宋体" w:cs="宋体"/>
                <w:color w:val="000000"/>
                <w:kern w:val="0"/>
                <w:sz w:val="24"/>
                <w:szCs w:val="24"/>
              </w:rPr>
            </w:pPr>
          </w:p>
          <w:p>
            <w:pPr>
              <w:bidi w:val="0"/>
              <w:spacing w:line="240" w:lineRule="exact"/>
              <w:jc w:val="left"/>
              <w:rPr>
                <w:rFonts w:hint="eastAsia" w:ascii="宋体" w:hAnsi="宋体" w:eastAsia="宋体" w:cs="宋体"/>
                <w:color w:val="000000"/>
                <w:kern w:val="0"/>
                <w:sz w:val="24"/>
                <w:szCs w:val="24"/>
              </w:rPr>
            </w:pPr>
          </w:p>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29.保洁设施 </w:t>
            </w:r>
          </w:p>
        </w:tc>
        <w:tc>
          <w:tcPr>
            <w:tcW w:w="434" w:type="dxa"/>
            <w:vMerge w:val="restart"/>
            <w:noWrap w:val="0"/>
            <w:vAlign w:val="top"/>
          </w:tcPr>
          <w:p>
            <w:pPr>
              <w:bidi w:val="0"/>
              <w:spacing w:line="240" w:lineRule="exact"/>
              <w:jc w:val="center"/>
              <w:rPr>
                <w:rFonts w:hint="eastAsia" w:ascii="宋体" w:hAnsi="宋体" w:eastAsia="宋体" w:cs="宋体"/>
                <w:color w:val="000000"/>
                <w:sz w:val="24"/>
                <w:szCs w:val="24"/>
              </w:rPr>
            </w:pPr>
          </w:p>
          <w:p>
            <w:pPr>
              <w:bidi w:val="0"/>
              <w:spacing w:line="240" w:lineRule="exact"/>
              <w:jc w:val="center"/>
              <w:rPr>
                <w:rFonts w:hint="eastAsia" w:ascii="宋体" w:hAnsi="宋体" w:eastAsia="宋体" w:cs="宋体"/>
                <w:color w:val="000000"/>
                <w:sz w:val="24"/>
                <w:szCs w:val="24"/>
              </w:rPr>
            </w:pPr>
          </w:p>
          <w:p>
            <w:pPr>
              <w:bidi w:val="0"/>
              <w:spacing w:line="240" w:lineRule="exact"/>
              <w:jc w:val="center"/>
              <w:rPr>
                <w:rFonts w:hint="eastAsia" w:ascii="宋体" w:hAnsi="宋体" w:eastAsia="宋体" w:cs="宋体"/>
                <w:color w:val="000000"/>
                <w:sz w:val="24"/>
                <w:szCs w:val="24"/>
              </w:rPr>
            </w:pPr>
          </w:p>
          <w:p>
            <w:pPr>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4</w:t>
            </w: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未设立公共饮具保洁柜或无明显标识；扣1分。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top"/>
          </w:tcPr>
          <w:p>
            <w:pPr>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未设立棉织品等布草保洁柜或无明显标识；扣1分。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top"/>
          </w:tcPr>
          <w:p>
            <w:pPr>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保洁柜存放杂物；扣1分。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top"/>
          </w:tcPr>
          <w:p>
            <w:pPr>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公共用品用具未密闭保洁存放； 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通风系统</w:t>
            </w:r>
          </w:p>
        </w:tc>
        <w:tc>
          <w:tcPr>
            <w:tcW w:w="2772" w:type="dxa"/>
            <w:vMerge w:val="restart"/>
            <w:noWrap w:val="0"/>
            <w:vAlign w:val="top"/>
          </w:tcPr>
          <w:p>
            <w:pPr>
              <w:widowControl/>
              <w:bidi w:val="0"/>
              <w:spacing w:line="240" w:lineRule="exact"/>
              <w:jc w:val="left"/>
              <w:rPr>
                <w:rFonts w:hint="eastAsia" w:ascii="宋体" w:hAnsi="宋体" w:eastAsia="宋体" w:cs="宋体"/>
                <w:color w:val="000000"/>
                <w:kern w:val="0"/>
                <w:sz w:val="24"/>
                <w:szCs w:val="24"/>
              </w:rPr>
            </w:pPr>
          </w:p>
          <w:p>
            <w:pPr>
              <w:widowControl/>
              <w:bidi w:val="0"/>
              <w:spacing w:line="240" w:lineRule="exact"/>
              <w:jc w:val="left"/>
              <w:rPr>
                <w:rFonts w:hint="eastAsia" w:ascii="宋体" w:hAnsi="宋体" w:eastAsia="宋体" w:cs="宋体"/>
                <w:color w:val="000000"/>
                <w:kern w:val="0"/>
                <w:sz w:val="24"/>
                <w:szCs w:val="24"/>
              </w:rPr>
            </w:pPr>
          </w:p>
          <w:p>
            <w:pPr>
              <w:widowControl/>
              <w:bidi w:val="0"/>
              <w:spacing w:line="240" w:lineRule="exact"/>
              <w:jc w:val="left"/>
              <w:rPr>
                <w:rFonts w:hint="eastAsia" w:ascii="宋体" w:hAnsi="宋体" w:eastAsia="宋体" w:cs="宋体"/>
                <w:color w:val="000000"/>
                <w:kern w:val="0"/>
                <w:sz w:val="24"/>
                <w:szCs w:val="24"/>
              </w:rPr>
            </w:pPr>
          </w:p>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30.集中空调档案               </w:t>
            </w:r>
          </w:p>
        </w:tc>
        <w:tc>
          <w:tcPr>
            <w:tcW w:w="434" w:type="dxa"/>
            <w:vMerge w:val="restart"/>
            <w:noWrap w:val="0"/>
            <w:vAlign w:val="center"/>
          </w:tcPr>
          <w:p>
            <w:pPr>
              <w:widowControl/>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无通风管道清洗资料；扣1分。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无空气过滤、冷凝盘管、加湿器等设备清洗、消毒记录；扣1分。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无开放式冷却塔清洗、消毒记录；扣1分。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center"/>
              <w:rPr>
                <w:rFonts w:hint="eastAsia" w:ascii="宋体" w:hAnsi="宋体" w:eastAsia="宋体" w:cs="宋体"/>
                <w:color w:val="000000"/>
                <w:kern w:val="0"/>
                <w:sz w:val="24"/>
                <w:szCs w:val="24"/>
              </w:rPr>
            </w:pP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无空调系统竣工图；扣1分。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restart"/>
            <w:noWrap w:val="0"/>
            <w:vAlign w:val="center"/>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 机械通风装置</w:t>
            </w:r>
          </w:p>
        </w:tc>
        <w:tc>
          <w:tcPr>
            <w:tcW w:w="434" w:type="dxa"/>
            <w:vMerge w:val="restart"/>
            <w:noWrap w:val="0"/>
            <w:vAlign w:val="center"/>
          </w:tcPr>
          <w:p>
            <w:pPr>
              <w:bidi w:val="0"/>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433" w:type="dxa"/>
            <w:gridSpan w:val="2"/>
            <w:noWrap w:val="0"/>
            <w:vAlign w:val="top"/>
          </w:tcPr>
          <w:p>
            <w:pPr>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过滤网、过滤器、机房等有积尘；扣1分。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restart"/>
            <w:noWrap w:val="0"/>
            <w:vAlign w:val="center"/>
          </w:tcPr>
          <w:p>
            <w:pPr>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冷却塔中冷却水消毒液浓度达标；扣1分。</w:t>
            </w:r>
          </w:p>
        </w:tc>
        <w:tc>
          <w:tcPr>
            <w:tcW w:w="783" w:type="dxa"/>
            <w:noWrap w:val="0"/>
            <w:vAlign w:val="top"/>
          </w:tcPr>
          <w:p>
            <w:pPr>
              <w:widowControl/>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开放式冷却塔未远离公众通道及设置有效隔挡设施；扣1分。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199" w:type="dxa"/>
            <w:vMerge w:val="continue"/>
            <w:noWrap w:val="0"/>
            <w:vAlign w:val="center"/>
          </w:tcPr>
          <w:p>
            <w:pPr>
              <w:widowControl/>
              <w:bidi w:val="0"/>
              <w:jc w:val="left"/>
              <w:rPr>
                <w:rFonts w:hint="eastAsia" w:ascii="宋体" w:hAnsi="宋体" w:eastAsia="宋体" w:cs="宋体"/>
                <w:color w:val="000000"/>
                <w:kern w:val="0"/>
                <w:sz w:val="24"/>
                <w:szCs w:val="24"/>
              </w:rPr>
            </w:pPr>
          </w:p>
        </w:tc>
        <w:tc>
          <w:tcPr>
            <w:tcW w:w="2772"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434" w:type="dxa"/>
            <w:vMerge w:val="continue"/>
            <w:noWrap w:val="0"/>
            <w:vAlign w:val="center"/>
          </w:tcPr>
          <w:p>
            <w:pPr>
              <w:widowControl/>
              <w:bidi w:val="0"/>
              <w:spacing w:line="240" w:lineRule="exact"/>
              <w:jc w:val="left"/>
              <w:rPr>
                <w:rFonts w:hint="eastAsia" w:ascii="宋体" w:hAnsi="宋体" w:eastAsia="宋体" w:cs="宋体"/>
                <w:color w:val="000000"/>
                <w:kern w:val="0"/>
                <w:sz w:val="24"/>
                <w:szCs w:val="24"/>
              </w:rPr>
            </w:pPr>
          </w:p>
        </w:tc>
        <w:tc>
          <w:tcPr>
            <w:tcW w:w="7433" w:type="dxa"/>
            <w:gridSpan w:val="2"/>
            <w:noWrap w:val="0"/>
            <w:vAlign w:val="top"/>
          </w:tcPr>
          <w:p>
            <w:pPr>
              <w:widowControl/>
              <w:bidi w:val="0"/>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新风取风口未远离污染源、开放式冷却塔、排风口；扣1分。</w:t>
            </w:r>
          </w:p>
        </w:tc>
        <w:tc>
          <w:tcPr>
            <w:tcW w:w="783" w:type="dxa"/>
            <w:noWrap w:val="0"/>
            <w:vAlign w:val="top"/>
          </w:tcPr>
          <w:p>
            <w:pPr>
              <w:bidi w:val="0"/>
              <w:spacing w:line="240" w:lineRule="exact"/>
              <w:jc w:val="left"/>
              <w:rPr>
                <w:rFonts w:hint="eastAsia" w:ascii="宋体" w:hAnsi="宋体" w:eastAsia="宋体" w:cs="宋体"/>
                <w:color w:val="000000"/>
                <w:kern w:val="0"/>
                <w:sz w:val="24"/>
                <w:szCs w:val="24"/>
              </w:rPr>
            </w:pPr>
          </w:p>
        </w:tc>
        <w:tc>
          <w:tcPr>
            <w:tcW w:w="734" w:type="dxa"/>
            <w:vMerge w:val="continue"/>
            <w:noWrap w:val="0"/>
            <w:vAlign w:val="center"/>
          </w:tcPr>
          <w:p>
            <w:pPr>
              <w:widowControl/>
              <w:bidi w:val="0"/>
              <w:jc w:val="left"/>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3355" w:type="dxa"/>
            <w:gridSpan w:val="7"/>
            <w:noWrap w:val="0"/>
            <w:vAlign w:val="top"/>
          </w:tcPr>
          <w:p>
            <w:pPr>
              <w:widowControl/>
              <w:bidi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总分116 分     合理缺项项目共______分    应得分共______分           </w:t>
            </w:r>
          </w:p>
        </w:tc>
      </w:tr>
    </w:tbl>
    <w:p>
      <w:pPr>
        <w:keepNext w:val="0"/>
        <w:keepLines w:val="0"/>
        <w:pageBreakBefore w:val="0"/>
        <w:widowControl w:val="0"/>
        <w:kinsoku/>
        <w:wordWrap/>
        <w:overflowPunct/>
        <w:topLinePunct w:val="0"/>
        <w:autoSpaceDE/>
        <w:autoSpaceDN/>
        <w:bidi w:val="0"/>
        <w:adjustRightInd/>
        <w:snapToGrid/>
        <w:spacing w:line="579" w:lineRule="exact"/>
        <w:ind w:right="-1052"/>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被监督单位陪同人（签字）：</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卫生监督人员（签字）：</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sectPr>
          <w:pgSz w:w="16838" w:h="11906" w:orient="landscape"/>
          <w:pgMar w:top="1587" w:right="2098" w:bottom="1474" w:left="1984" w:header="851" w:footer="992" w:gutter="0"/>
          <w:pgNumType w:fmt="decimal"/>
          <w:cols w:space="425" w:num="1"/>
          <w:docGrid w:type="lines" w:linePitch="312" w:charSpace="0"/>
        </w:sect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日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right="-1593"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right="-1593" w:firstLine="1400" w:firstLineChars="5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right="-1594"/>
        <w:textAlignment w:val="auto"/>
        <w:rPr>
          <w:rFonts w:hint="eastAsia" w:ascii="宋体" w:hAnsi="宋体" w:eastAsia="宋体" w:cs="宋体"/>
          <w:color w:val="000000"/>
          <w:sz w:val="28"/>
          <w:szCs w:val="28"/>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color w:val="000000"/>
          <w:sz w:val="28"/>
          <w:szCs w:val="28"/>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w:t>
      </w:r>
      <w:r>
        <w:rPr>
          <w:rFonts w:hint="eastAsia" w:ascii="仿宋_GB2312" w:hAnsi="仿宋_GB2312" w:eastAsia="仿宋_GB2312" w:cs="仿宋_GB2312"/>
          <w:color w:val="auto"/>
          <w:sz w:val="32"/>
          <w:szCs w:val="32"/>
          <w:lang w:val="en-US" w:eastAsia="zh-CN"/>
        </w:rPr>
        <w:t xml:space="preserve">会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日印</w:t>
      </w:r>
      <w:r>
        <w:rPr>
          <w:rFonts w:hint="eastAsia" w:ascii="仿宋_GB2312" w:hAnsi="仿宋_GB2312" w:eastAsia="仿宋_GB2312" w:cs="仿宋_GB2312"/>
          <w:color w:val="auto"/>
          <w:sz w:val="32"/>
          <w:szCs w:val="32"/>
          <w:lang w:val="en-US" w:eastAsia="zh-CN"/>
        </w:rPr>
        <w:t xml:space="preserve">发  </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F313B"/>
    <w:multiLevelType w:val="singleLevel"/>
    <w:tmpl w:val="F22F313B"/>
    <w:lvl w:ilvl="0" w:tentative="0">
      <w:start w:val="2"/>
      <w:numFmt w:val="decimal"/>
      <w:lvlText w:val="%1."/>
      <w:lvlJc w:val="left"/>
      <w:pPr>
        <w:tabs>
          <w:tab w:val="left" w:pos="312"/>
        </w:tabs>
        <w:ind w:left="1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2C6B1DB7"/>
    <w:rsid w:val="27E51E54"/>
    <w:rsid w:val="2C6B1DB7"/>
    <w:rsid w:val="744D2D4F"/>
    <w:rsid w:val="7CC7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2"/>
    <w:basedOn w:val="1"/>
    <w:qFormat/>
    <w:uiPriority w:val="0"/>
    <w:pPr>
      <w:spacing w:line="20" w:lineRule="atLeast"/>
    </w:pPr>
    <w:rPr>
      <w:rFonts w:eastAsia="仿宋_GB2312"/>
      <w:sz w:val="32"/>
      <w:szCs w:val="24"/>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2790</Words>
  <Characters>2943</Characters>
  <Lines>0</Lines>
  <Paragraphs>0</Paragraphs>
  <TotalTime>3</TotalTime>
  <ScaleCrop>false</ScaleCrop>
  <LinksUpToDate>false</LinksUpToDate>
  <CharactersWithSpaces>3308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2024-04-01T02:26:00Z</dcterms:created>
  <dc:creator>花溪</dc:creator>
  <cp:lastModifiedBy>Administrator</cp:lastModifiedBy>
  <cp:lastPrinted>2024-04-01T03:08:00Z</cp:lastPrinted>
  <dcterms:modified xsi:type="dcterms:W3CDTF">2024-05-27T03:20:11Z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79FA2854436B4EAB89B76A3053B4C278_11</vt:lpwstr>
  </property>
</Properties>
</file>