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乌审旗卫生健康委员会关于印发全方位建设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“模范自治区”工作任务清单的通知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委机关各股室、各卫生健康单位：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学习贯彻党的二十大精神，全面对标习近平总书记对内蒙古提出两件大事，不断丰富和拓展“模范自治区”的内涵和外延，突出重点、创新载体、实化抓手，埋头苦干、勇毅前行，努力把“模范”体现在各个领域各个方面。根据上级要求，现将《乌审旗卫健系统全方位建设“模范自治区”工作任务清单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hanging="1600" w:hanging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附件：乌审旗卫健系统全方位建设“模范自治区”工作任务清单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乌审旗卫生健康委员会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2023年4月4日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/>
        <w:textAlignment w:val="auto"/>
        <w:rPr>
          <w:rFonts w:hint="eastAsia"/>
          <w:lang w:val="en-US" w:eastAsia="zh-CN"/>
        </w:rPr>
      </w:pPr>
    </w:p>
    <w:tbl>
      <w:tblPr>
        <w:tblStyle w:val="10"/>
        <w:tblW w:w="14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50"/>
        <w:gridCol w:w="765"/>
        <w:gridCol w:w="5655"/>
        <w:gridCol w:w="870"/>
        <w:gridCol w:w="885"/>
        <w:gridCol w:w="780"/>
        <w:gridCol w:w="2055"/>
        <w:gridCol w:w="133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638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乌审旗卫健系统全方位建设“模范自治区”工作任务清单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8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把牢一条主线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牢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牢把握铸牢中华民族共同体意识这条主线，把铸牢中华民族共同体意识工作摆在“五位一体”总体布局和“四个全面”战略布局中统筹谋划。铸牢中华民族共同体意识是新时代党的民族工作的“纲”，所有工作要向此聚焦，只要是有利于铸牢中华民族共同体意识的工作就要多做，并且要做深做细做实，只要是不利于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铸牢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中华民族共同体意识的事情坚决不做，引导各族人民牢固树立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休戚与共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、荣辱与共、生死与共、命运与共的共同体理念，建设牢不可破的中华民族共同体。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卫健委党组、各卫生健康单位党支部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打造铸牢中华民族共同体意识实践教育阵地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各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卫生健康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单位要利用党员活动中心等阵地，打造铸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牢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中华民族共同体意识实践教育阵地。探索建立职工、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巾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帼、青年等专项铸牢中华民族共同体意识实践教育点，把民族团结“触角”延伸到各个基层角落。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卫健委党组、各卫生健康单位党支部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以“中华民族一家亲，同心共筑中国梦”为目标，深入实施干部教育，共建共享和依法治理工程</w:t>
            </w: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实施共建精神家园工程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加强干部教育。各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理论学习中心组每年组织铸牢中华民族共同体意识专题学习不少于 1次，党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书记专题讲铸牢中华民族共同体意识课程不少于 1次，开展主题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日活动不少于1次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让铸牢中华民族共同体意识教育贯穿干部教育全过程。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3月底前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实施共建共享现代化工程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健康乌审行动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。加强传统医药资源保护和开发利用。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6月底前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以“中华民族一家亲，同心共筑中国梦”为目标，深入实施干部教育，共建共享和依法治理工程</w:t>
            </w:r>
          </w:p>
        </w:tc>
        <w:tc>
          <w:tcPr>
            <w:tcW w:w="7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实施依法治理工程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一是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提高防范化解风险隐患能力。建立健全涉民族因素矛盾纠纷风险隐患排查化解机制，开展涉民族政策、项目的社会稳定风险评估，加强涉民族领域风险隐患，及时有效化解涉民族因素的矛盾纠纷，不断提高预防和处理涉民族因素矛盾纠纷的能力水平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1"/>
                <w:szCs w:val="21"/>
                <w:lang w:eastAsia="zh-CN"/>
              </w:rPr>
              <w:t>二是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做好全国民族团结进步示范旗复测复评工作，按规定评选表彰一批民族团结进步模范集体和个人。优化提升民族团结进步 “10+6+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N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” 创建体系，建强 10 个主阵地、主窗口，抓实6项活动载体，拓展多个重点行业和服务领域，推动民族团结进步创建工作</w:t>
            </w:r>
            <w:r>
              <w:rPr>
                <w:rFonts w:hint="eastAsia" w:ascii="新宋体" w:hAnsi="新宋体" w:eastAsia="新宋体" w:cs="新宋体"/>
                <w:w w:val="95"/>
                <w:sz w:val="21"/>
                <w:szCs w:val="21"/>
              </w:rPr>
              <w:t>提档升级，擦亮我旗“全国民族团结进步示范旗”的金</w:t>
            </w:r>
            <w:r>
              <w:rPr>
                <w:rFonts w:hint="eastAsia" w:ascii="新宋体" w:hAnsi="新宋体" w:eastAsia="新宋体" w:cs="新宋体"/>
                <w:w w:val="95"/>
                <w:sz w:val="21"/>
                <w:szCs w:val="21"/>
                <w:lang w:eastAsia="zh-CN"/>
              </w:rPr>
              <w:t>字</w:t>
            </w:r>
            <w:r>
              <w:rPr>
                <w:rFonts w:hint="eastAsia" w:ascii="新宋体" w:hAnsi="新宋体" w:eastAsia="新宋体" w:cs="新宋体"/>
                <w:w w:val="95"/>
                <w:sz w:val="21"/>
                <w:szCs w:val="21"/>
              </w:rPr>
              <w:t>招牌。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与党建、党风廉政、意识形态和业务同步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纳入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组重要议事日程。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党组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（党支部）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级铸牢中华民族共同体意识、落实全方位建设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模范自治区”任务的主体责任，将此项工作纳入议事日程常谋常抓，党组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（党支部）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书记作为铸牢中华民族共同体意识、落实全方位建设“模范自治区”任务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的第一责任人，定期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并解决问题，领导班子成员发挥好“关键少数”的示范和表率作用。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卫健委党组、各卫生健康单位党支部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党建工作责任制。党组要将铸牢中华民族共同体意识、落实全方位建设“模范自治区”任务纳入党建工作责任制，作为党建工作部署、落实、述职、评议、考核的重要内容，推动形成一级抓一级、层层抓落实的良好局面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卫健委党组、各卫生健康单位党支部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意识形态工作责任制。要将铸牢中华民族共同体意识、落实全方位建设“模范自治区”任务纳入年度意识形态工作重点，列入意识形态责任清单，落实主管和属地责任，常态化开展铸牢中华民族共同体意识工作专项检查和纠偏正向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  <w:t>与党建、党风廉政、意识形态和业务同步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纳入政治考察。各级党组织要将铸牢中华民族共同体意识、落实全方位建设“模范自治区”任务纳入政治考察，重点考察党员干部“维护党的集中统一领导态度是不是特别坚决、明辨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大是大非立场是不是特别清醒、铸牢中华民族共同体意识行动是不是特别坚定、热爱各族群众感情是不是特别真挚”，考察结果作为干部评比奖励、职级晋升、提拔任用的重要参考。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卫健委要纳入二级单位实绩考核。要将铸牢中华民族共同体意识、落实全方位建设“模范自治区”任务纳入卫生健康工作实绩考核重要内容，把考核结果与领导班子和领导干部年度考核、评选评优挂钩，激励在铸牢中华民族共同体意识工作中争先进位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5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具体任务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完成时限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工作任务推进措施及进展情况</w:t>
            </w: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联络员及联系电话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1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  <w:t>与党建、党风廉政、意识形态和业务同步</w:t>
            </w: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卫健工作计划。要将铸牢中华民族共同体意识、落实全方位建设“模范自治区”任务纳入卫健委工作规划，督促各卫生健康单位将铸牢中华民族共同体意识、落实全方位建设“模范自治区〞任务纳入单位工作计划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1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纳入卫生健康业务工作。委机关和各卫生健康单位主动认领铸牢中华民族共同体意识、落实全方位建设“模范自治区”任务，并纳入业务工作，做到年初有部署、年中有检查、年终有总结。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7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1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5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1"/>
                <w:szCs w:val="21"/>
                <w:lang w:val="en-US" w:eastAsia="zh-CN"/>
              </w:rPr>
              <w:t>纳入基层党组织重点工作。要将铸牢中华民族共同体意识、落实全方位建设“模范自治区”任务纳入基层党支部重点工作，卫健党工委负责督促基层党支部实施六大工程。各基层党支部要发挥先锋模范作用，主动承担责任，积极推动各项工作任务落地落实。</w:t>
            </w:r>
          </w:p>
        </w:tc>
        <w:tc>
          <w:tcPr>
            <w:tcW w:w="8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both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  <w:lang w:eastAsia="zh-CN"/>
              </w:rPr>
              <w:t>委</w:t>
            </w:r>
          </w:p>
        </w:tc>
        <w:tc>
          <w:tcPr>
            <w:tcW w:w="8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卫健委机关各股室、各卫生健康单位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2月底前，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eastAsia="zh-CN"/>
              </w:rPr>
              <w:t>常态化推进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26244798"/>
    <w:rsid w:val="13AF3A85"/>
    <w:rsid w:val="173C0681"/>
    <w:rsid w:val="26244798"/>
    <w:rsid w:val="377C40B4"/>
    <w:rsid w:val="486B6F49"/>
    <w:rsid w:val="763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line="20" w:lineRule="atLeast"/>
    </w:pPr>
    <w:rPr>
      <w:rFonts w:eastAsia="FangSong_GB2312"/>
      <w:sz w:val="32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21"/>
    <w:basedOn w:val="1"/>
    <w:qFormat/>
    <w:uiPriority w:val="0"/>
    <w:pPr>
      <w:spacing w:after="120" w:afterLines="0" w:afterAutospacing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2751</Words>
  <Characters>2772</Characters>
  <Lines>0</Lines>
  <Paragraphs>0</Paragraphs>
  <TotalTime>3</TotalTime>
  <ScaleCrop>false</ScaleCrop>
  <LinksUpToDate>false</LinksUpToDate>
  <CharactersWithSpaces>2828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2023-04-04T08:18:00Z</dcterms:created>
  <dc:creator>mishu</dc:creator>
  <cp:lastModifiedBy>绿茶咖啡</cp:lastModifiedBy>
  <cp:lastPrinted>2023-04-04T08:44:00Z</cp:lastPrinted>
  <dcterms:modified xsi:type="dcterms:W3CDTF">2023-09-18T01:45:56Z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AE69DA9506784D388B6ACA64CFA8E6D9_11</vt:lpwstr>
  </property>
</Properties>
</file>