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w w:val="10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培训课程安排</w:t>
      </w:r>
    </w:p>
    <w:p>
      <w:pPr>
        <w:pStyle w:val="2"/>
        <w:rPr>
          <w:rFonts w:hint="eastAsia"/>
          <w:lang w:val="en-US" w:eastAsia="zh-CN"/>
        </w:rPr>
      </w:pPr>
    </w:p>
    <w:tbl>
      <w:tblPr>
        <w:tblStyle w:val="5"/>
        <w:tblpPr w:leftFromText="180" w:rightFromText="180" w:vertAnchor="text" w:horzAnchor="page" w:tblpX="1741" w:tblpY="73"/>
        <w:tblOverlap w:val="never"/>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555"/>
        <w:gridCol w:w="1733"/>
        <w:gridCol w:w="1815"/>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楷体" w:hAnsi="楷体" w:eastAsia="楷体" w:cs="楷体"/>
                <w:b w:val="0"/>
                <w:bCs w:val="0"/>
                <w:sz w:val="28"/>
                <w:szCs w:val="28"/>
                <w:vertAlign w:val="baseline"/>
                <w:lang w:val="en-US" w:eastAsia="zh-CN"/>
              </w:rPr>
            </w:pPr>
            <w:r>
              <w:rPr>
                <w:rFonts w:hint="eastAsia" w:ascii="楷体" w:hAnsi="楷体" w:eastAsia="楷体" w:cs="楷体"/>
                <w:b w:val="0"/>
                <w:bCs w:val="0"/>
                <w:sz w:val="28"/>
                <w:szCs w:val="28"/>
                <w:vertAlign w:val="baseline"/>
                <w:lang w:val="en-US" w:eastAsia="zh-CN"/>
              </w:rPr>
              <w:t>日期</w:t>
            </w:r>
          </w:p>
        </w:tc>
        <w:tc>
          <w:tcPr>
            <w:tcW w:w="15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楷体" w:hAnsi="楷体" w:eastAsia="楷体" w:cs="楷体"/>
                <w:b w:val="0"/>
                <w:bCs w:val="0"/>
                <w:sz w:val="28"/>
                <w:szCs w:val="28"/>
                <w:vertAlign w:val="baseline"/>
                <w:lang w:val="en-US" w:eastAsia="zh-CN"/>
              </w:rPr>
            </w:pPr>
            <w:r>
              <w:rPr>
                <w:rFonts w:hint="eastAsia" w:ascii="楷体" w:hAnsi="楷体" w:eastAsia="楷体" w:cs="楷体"/>
                <w:b w:val="0"/>
                <w:bCs w:val="0"/>
                <w:sz w:val="28"/>
                <w:szCs w:val="28"/>
                <w:vertAlign w:val="baseline"/>
                <w:lang w:val="en-US" w:eastAsia="zh-CN"/>
              </w:rPr>
              <w:t>时间</w:t>
            </w:r>
          </w:p>
        </w:tc>
        <w:tc>
          <w:tcPr>
            <w:tcW w:w="17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楷体" w:hAnsi="楷体" w:eastAsia="楷体" w:cs="楷体"/>
                <w:b w:val="0"/>
                <w:bCs w:val="0"/>
                <w:sz w:val="28"/>
                <w:szCs w:val="28"/>
                <w:vertAlign w:val="baseline"/>
                <w:lang w:val="en-US" w:eastAsia="zh-CN"/>
              </w:rPr>
            </w:pPr>
            <w:r>
              <w:rPr>
                <w:rFonts w:hint="eastAsia" w:ascii="楷体" w:hAnsi="楷体" w:eastAsia="楷体" w:cs="楷体"/>
                <w:b w:val="0"/>
                <w:bCs w:val="0"/>
                <w:sz w:val="28"/>
                <w:szCs w:val="28"/>
                <w:vertAlign w:val="baseline"/>
                <w:lang w:val="en-US" w:eastAsia="zh-CN"/>
              </w:rPr>
              <w:t>授课内容</w:t>
            </w:r>
          </w:p>
        </w:tc>
        <w:tc>
          <w:tcPr>
            <w:tcW w:w="18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楷体" w:hAnsi="楷体" w:eastAsia="楷体" w:cs="楷体"/>
                <w:b w:val="0"/>
                <w:bCs w:val="0"/>
                <w:sz w:val="28"/>
                <w:szCs w:val="28"/>
                <w:vertAlign w:val="baseline"/>
                <w:lang w:val="en-US" w:eastAsia="zh-CN"/>
              </w:rPr>
            </w:pPr>
            <w:r>
              <w:rPr>
                <w:rFonts w:hint="eastAsia" w:ascii="楷体" w:hAnsi="楷体" w:eastAsia="楷体" w:cs="楷体"/>
                <w:b w:val="0"/>
                <w:bCs w:val="0"/>
                <w:sz w:val="28"/>
                <w:szCs w:val="28"/>
                <w:vertAlign w:val="baseline"/>
                <w:lang w:val="en-US" w:eastAsia="zh-CN"/>
              </w:rPr>
              <w:t>主讲人</w:t>
            </w: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楷体" w:hAnsi="楷体" w:eastAsia="楷体" w:cs="楷体"/>
                <w:b w:val="0"/>
                <w:bCs w:val="0"/>
                <w:sz w:val="28"/>
                <w:szCs w:val="28"/>
                <w:vertAlign w:val="baseline"/>
                <w:lang w:val="en-US" w:eastAsia="zh-CN"/>
              </w:rPr>
            </w:pPr>
            <w:r>
              <w:rPr>
                <w:rFonts w:hint="eastAsia" w:ascii="楷体" w:hAnsi="楷体" w:eastAsia="楷体" w:cs="楷体"/>
                <w:b w:val="0"/>
                <w:bCs w:val="0"/>
                <w:sz w:val="28"/>
                <w:szCs w:val="28"/>
                <w:vertAlign w:val="baseline"/>
                <w:lang w:val="en-US" w:eastAsia="zh-CN"/>
              </w:rPr>
              <w:t>参训范围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0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15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上午9:00-9:30</w:t>
            </w:r>
          </w:p>
        </w:tc>
        <w:tc>
          <w:tcPr>
            <w:tcW w:w="17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2"/>
                <w:szCs w:val="22"/>
                <w:lang w:val="en-US" w:eastAsia="zh-CN"/>
              </w:rPr>
              <w:t>培训</w:t>
            </w:r>
            <w:r>
              <w:rPr>
                <w:rFonts w:hint="eastAsia" w:ascii="仿宋" w:hAnsi="仿宋" w:eastAsia="仿宋" w:cs="仿宋"/>
                <w:sz w:val="22"/>
                <w:szCs w:val="22"/>
                <w:vertAlign w:val="baseline"/>
                <w:lang w:val="en-US" w:eastAsia="zh-CN"/>
              </w:rPr>
              <w:t>开班仪式</w:t>
            </w:r>
          </w:p>
        </w:tc>
        <w:tc>
          <w:tcPr>
            <w:tcW w:w="18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待定</w:t>
            </w:r>
          </w:p>
        </w:tc>
        <w:tc>
          <w:tcPr>
            <w:tcW w:w="268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2"/>
                <w:szCs w:val="22"/>
                <w:vertAlign w:val="baseline"/>
                <w:lang w:val="en-US" w:eastAsia="zh-CN"/>
              </w:rPr>
              <w:t xml:space="preserve"> 全旗各委托执法部门分管领导，旗行政执法单位分管领导、综合执法大队（局）、苏木镇综合执法局全体行政执法人员、各司法所工作人员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90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15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上午</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9:30-12:00</w:t>
            </w:r>
          </w:p>
        </w:tc>
        <w:tc>
          <w:tcPr>
            <w:tcW w:w="17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《行政处罚法》及《内蒙古自治区行政执法公示执法全过程记录重大执法决定法制审核办法》</w:t>
            </w:r>
          </w:p>
        </w:tc>
        <w:tc>
          <w:tcPr>
            <w:tcW w:w="18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平平，内蒙古师范大学副教授，法学博士，硕士生导师 </w:t>
            </w:r>
          </w:p>
        </w:tc>
        <w:tc>
          <w:tcPr>
            <w:tcW w:w="268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90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15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下午</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2:30-5:30</w:t>
            </w:r>
          </w:p>
        </w:tc>
        <w:tc>
          <w:tcPr>
            <w:tcW w:w="17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行政执法实务讲解、重大疑难行政执法案件讨论</w:t>
            </w:r>
          </w:p>
        </w:tc>
        <w:tc>
          <w:tcPr>
            <w:tcW w:w="18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平平，内蒙古师范大学副教授，法学博士，硕士生导师</w:t>
            </w:r>
          </w:p>
        </w:tc>
        <w:tc>
          <w:tcPr>
            <w:tcW w:w="268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90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日</w:t>
            </w:r>
          </w:p>
        </w:tc>
        <w:tc>
          <w:tcPr>
            <w:tcW w:w="15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上午</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8:30-12:00</w:t>
            </w:r>
          </w:p>
        </w:tc>
        <w:tc>
          <w:tcPr>
            <w:tcW w:w="17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《中华人民共和国行政许可法》《中华人民共和国行政强制法》</w:t>
            </w:r>
          </w:p>
        </w:tc>
        <w:tc>
          <w:tcPr>
            <w:tcW w:w="18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平平，内蒙古师范大学副教授，法学博士，硕士生导师</w:t>
            </w: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2"/>
                <w:szCs w:val="22"/>
                <w:vertAlign w:val="baseline"/>
                <w:lang w:val="en-US" w:eastAsia="zh-CN"/>
              </w:rPr>
              <w:t>2022年录入执法监督平台新增执法人员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90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8"/>
                <w:szCs w:val="28"/>
                <w:lang w:val="en-US" w:eastAsia="zh-CN"/>
              </w:rPr>
            </w:pPr>
          </w:p>
        </w:tc>
        <w:tc>
          <w:tcPr>
            <w:tcW w:w="15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下午</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2:30-5:30</w:t>
            </w:r>
          </w:p>
        </w:tc>
        <w:tc>
          <w:tcPr>
            <w:tcW w:w="17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《国务院办公厅关于进一步规范行政裁量权基准制定和管理工作的意见》、行政裁量权基准制定主体、制定职责权限、制定程序、监督管理等</w:t>
            </w:r>
          </w:p>
        </w:tc>
        <w:tc>
          <w:tcPr>
            <w:tcW w:w="18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平平，内蒙古师范大学副教授，法学博士，硕士生导师</w:t>
            </w: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各部门执法分管领导、指导员、监督人员以及其他参与制定、管理行政裁量权基准人员，</w:t>
            </w:r>
            <w:r>
              <w:rPr>
                <w:rFonts w:hint="eastAsia" w:ascii="仿宋" w:hAnsi="仿宋" w:eastAsia="仿宋" w:cs="仿宋"/>
                <w:sz w:val="22"/>
                <w:szCs w:val="22"/>
                <w:vertAlign w:val="baseline"/>
                <w:lang w:val="en-US" w:eastAsia="zh-CN"/>
              </w:rPr>
              <w:t>各司法所工作人员。</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bl>
    <w:p>
      <w:pPr>
        <w:keepNext w:val="0"/>
        <w:keepLines w:val="0"/>
        <w:pageBreakBefore w:val="0"/>
        <w:widowControl w:val="0"/>
        <w:kinsoku/>
        <w:overflowPunct/>
        <w:topLinePunct w:val="0"/>
        <w:bidi w:val="0"/>
        <w:adjustRightInd/>
        <w:spacing w:beforeAutospacing="0" w:afterAutospacing="0" w:line="52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rPr>
          <w:rFonts w:hint="eastAsia"/>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2022年度新增执法人员行政执法资格认证培训</w:t>
      </w:r>
    </w:p>
    <w:p>
      <w:pPr>
        <w:numPr>
          <w:ilvl w:val="0"/>
          <w:numId w:val="0"/>
        </w:numPr>
        <w:jc w:val="center"/>
        <w:rPr>
          <w:rFonts w:hint="eastAsia"/>
          <w:lang w:val="en-US" w:eastAsia="zh-CN"/>
        </w:rPr>
      </w:pPr>
      <w:r>
        <w:rPr>
          <w:rFonts w:hint="eastAsia" w:ascii="方正小标宋简体" w:hAnsi="方正小标宋简体" w:eastAsia="方正小标宋简体" w:cs="方正小标宋简体"/>
          <w:sz w:val="36"/>
          <w:szCs w:val="36"/>
          <w:lang w:val="en-US" w:eastAsia="zh-CN"/>
        </w:rPr>
        <w:t>参训人员报名回执单</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填表人员：                        联系电话（手机）：</w:t>
      </w:r>
    </w:p>
    <w:tbl>
      <w:tblPr>
        <w:tblStyle w:val="5"/>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3109"/>
        <w:gridCol w:w="262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工作单位及职务</w:t>
            </w: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bl>
    <w:p>
      <w:pPr>
        <w:keepNext w:val="0"/>
        <w:keepLines w:val="0"/>
        <w:pageBreakBefore w:val="0"/>
        <w:widowControl w:val="0"/>
        <w:kinsoku/>
        <w:overflowPunct/>
        <w:topLinePunct w:val="0"/>
        <w:bidi w:val="0"/>
        <w:adjustRightInd/>
        <w:spacing w:beforeAutospacing="0" w:afterAutospacing="0" w:line="52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bidi w:val="0"/>
        <w:adjustRightInd/>
        <w:spacing w:beforeAutospacing="0" w:afterAutospacing="0" w:line="52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overflowPunct/>
        <w:topLinePunct w:val="0"/>
        <w:bidi w:val="0"/>
        <w:adjustRightInd/>
        <w:spacing w:beforeAutospacing="0" w:afterAutospacing="0" w:line="52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rPr>
          <w:rFonts w:hint="eastAsia"/>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行政裁量权基准制定和管理工作培训</w:t>
      </w:r>
    </w:p>
    <w:p>
      <w:pPr>
        <w:numPr>
          <w:ilvl w:val="0"/>
          <w:numId w:val="0"/>
        </w:numPr>
        <w:jc w:val="center"/>
        <w:rPr>
          <w:rFonts w:hint="eastAsia"/>
          <w:lang w:val="en-US" w:eastAsia="zh-CN"/>
        </w:rPr>
      </w:pPr>
      <w:r>
        <w:rPr>
          <w:rFonts w:hint="eastAsia" w:ascii="方正小标宋简体" w:hAnsi="方正小标宋简体" w:eastAsia="方正小标宋简体" w:cs="方正小标宋简体"/>
          <w:sz w:val="36"/>
          <w:szCs w:val="36"/>
          <w:lang w:val="en-US" w:eastAsia="zh-CN"/>
        </w:rPr>
        <w:t>参训人员报名回执单</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填表人员：                        联系电话（手机）：</w:t>
      </w:r>
    </w:p>
    <w:tbl>
      <w:tblPr>
        <w:tblStyle w:val="5"/>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3109"/>
        <w:gridCol w:w="262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工作单位及职务</w:t>
            </w: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bl>
    <w:p>
      <w:pPr>
        <w:keepNext w:val="0"/>
        <w:keepLines w:val="0"/>
        <w:pageBreakBefore w:val="0"/>
        <w:widowControl w:val="0"/>
        <w:kinsoku/>
        <w:overflowPunct/>
        <w:topLinePunct w:val="0"/>
        <w:bidi w:val="0"/>
        <w:adjustRightInd/>
        <w:spacing w:beforeAutospacing="0" w:afterAutospacing="0" w:line="52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overflowPunct/>
        <w:topLinePunct w:val="0"/>
        <w:bidi w:val="0"/>
        <w:adjustRightInd/>
        <w:spacing w:beforeAutospacing="0" w:afterAutospacing="0" w:line="52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2"/>
        <w:rPr>
          <w:rFonts w:hint="eastAsia"/>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2023年全旗行政执法人员业务知识培训</w:t>
      </w:r>
    </w:p>
    <w:p>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参训人员报名回执单</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填表人员：                        联系电话（手机）：</w:t>
      </w:r>
    </w:p>
    <w:tbl>
      <w:tblPr>
        <w:tblStyle w:val="5"/>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3109"/>
        <w:gridCol w:w="262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工作单位及职务</w:t>
            </w: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3109"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262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c>
          <w:tcPr>
            <w:tcW w:w="1245" w:type="dxa"/>
            <w:noWrap w:val="0"/>
            <w:vAlign w:val="center"/>
          </w:tcPr>
          <w:p>
            <w:pPr>
              <w:numPr>
                <w:ilvl w:val="0"/>
                <w:numId w:val="0"/>
              </w:numPr>
              <w:jc w:val="center"/>
              <w:rPr>
                <w:rFonts w:hint="default" w:ascii="仿宋" w:hAnsi="仿宋" w:eastAsia="仿宋" w:cs="仿宋"/>
                <w:sz w:val="28"/>
                <w:szCs w:val="28"/>
                <w:vertAlign w:val="baseline"/>
                <w:lang w:val="en-US" w:eastAsia="zh-CN"/>
              </w:rPr>
            </w:pP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MTNkOGZhNjIyMDk0YjllMmU5NTlmZjk3NmE0ZTcifQ=="/>
  </w:docVars>
  <w:rsids>
    <w:rsidRoot w:val="6C602752"/>
    <w:rsid w:val="6C60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index 9"/>
    <w:next w:val="1"/>
    <w:qFormat/>
    <w:uiPriority w:val="0"/>
    <w:pPr>
      <w:widowControl w:val="0"/>
      <w:ind w:left="3360"/>
      <w:jc w:val="both"/>
    </w:pPr>
    <w:rPr>
      <w:rFonts w:ascii="Times New Roman" w:hAnsi="Times New Roman" w:eastAsia="宋体" w:cs="Times New Roman"/>
      <w:kern w:val="2"/>
      <w:sz w:val="21"/>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2023-04-17T09:11:00Z</dcterms:created>
  <dc:creator>Mint</dc:creator>
  <cp:lastModifiedBy>Mint</cp:lastModifiedBy>
  <dcterms:modified xsi:type="dcterms:W3CDTF">2023-04-17T09:12:04Z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96BF23D126B44E9FAC7BC8D6CD9AD864</vt:lpwstr>
  </property>
</Properties>
</file>