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B1123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乌教体发〔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00000" w:rsidRDefault="009B1123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9B11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乌审旗教育体育局关于切实做好岁末年初</w:t>
      </w:r>
    </w:p>
    <w:p w:rsidR="00000000" w:rsidRDefault="009B112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及寒假期间校园安全工作的通知</w:t>
      </w:r>
    </w:p>
    <w:p w:rsidR="00000000" w:rsidRDefault="009B112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00000" w:rsidRDefault="009B1123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各中小学、幼儿园：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为深入贯彻习近平总书记关于安全生产的重要指示精神，确保全旗教体系统岁末年初及寒假期间校园安全稳定，有效防范和化解各类安全风险，现就有关要求通知如下：</w:t>
      </w:r>
    </w:p>
    <w:p w:rsidR="00000000" w:rsidRDefault="009B1123">
      <w:pPr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加强组织领导，落实校园安全责任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sectPr w:rsidR="00000000">
          <w:footerReference w:type="default" r:id="rId7"/>
          <w:pgSz w:w="11906" w:h="16838"/>
          <w:pgMar w:top="6973" w:right="1474" w:bottom="1984" w:left="1587" w:header="850" w:footer="1984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岁末年初是事故易发期，</w:t>
      </w:r>
      <w:bookmarkStart w:id="1" w:name="OLE_LINK22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校</w:t>
      </w: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一是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要牢固树立风险意识和底线思维，深刻认识校园安全工作的重要性；二是要加强组织领导，严格落实“党政同责、一岗双责、齐抓共管、失职追责”的安</w:t>
      </w:r>
    </w:p>
    <w:p w:rsidR="00000000" w:rsidRDefault="009B1123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全责任体系；三是校园长要亲自抓、负总责，带头开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展校园安全隐患排查整治，确保各项安全措施落实到位。</w:t>
      </w:r>
    </w:p>
    <w:p w:rsidR="00000000" w:rsidRDefault="009B1123">
      <w:pPr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紧盯重点领域，严控各类安全风险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是要加强餐厅、实验室、校舍等重点领域的安全管理。在寒假前后，要对学生宿舍、餐厅、教室、锅炉房、图书馆、实验室、实训基地、配电室、体育场馆、学校老旧房屋等区域和人员密集场所，开展一次全方位、无死角、全覆盖安全排查，聚焦薄弱环节，建立问题台账，制定整改措施，明确责任人和完成时限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特别是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机房、配电室、监控室、消防控制室等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位置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要设置重点巡查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部位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定时开展巡查，做到巡查有记录、有签字；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二是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做好食材管理。学校食堂的食材放假前要全部退货清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理，及时更换，严防出现过期、变质食品进入库房。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是对暂时无法整改的问题，要采取防护措施，设置警示标志，严防发生安全事件。重大风险落实专人盯守，不留死角；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是要利用寒假加快校园建筑改造，进一步优化校园安全防护条件。要加强日常巡查检查，及时发现和消除隐患，严防各类安全事故发生。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五是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做好放假期间的防火和安全用电工作，教师离校前要求关闭办公室内所有用电设备，清理杂物，保持整洁。特别是对校内电动自行车充电的管理，严禁校园内电动车飞线充电。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六是放假前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对全体教职工进行一次假期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居家、外出、交通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安全教育，确认全体教职工联系方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式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及备用联系方式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保持联络畅通。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七是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开展关心关爱特殊儿童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留守儿童、离异家庭、隔代抚养、单亲家庭等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活动，加强与特殊儿童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监护人沟通，进行一次家访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严防假期特殊家庭孩子发生安全事件。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八是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加强假期外来人员的登记管理，特别是施工人员的进出校门，加强学校内施工工地的管理，严防施工人员、施工工地发生安全事件。</w:t>
      </w:r>
    </w:p>
    <w:p w:rsidR="00000000" w:rsidRDefault="009B1123">
      <w:pPr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加强安全教育，增强安全防范意识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一是要认真落实“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1530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”安全教育制度，在学生集中离校、返校前后，通过安全教育课、班级群等，线上线下多渠道开展假期交通安全、防火、防盗、防触电、防诈骗、防煤气中毒、禁毒、冬季防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溺水、防沉迷网络等方面的安全知识教育，提高学生安全防范意识和自救互救能力；二是通过印发致家长的一封信等形式，加强家校沟通，及时告知家长考试、放假及离校时间，防止学生处于无人监护状态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；</w:t>
      </w:r>
      <w:bookmarkStart w:id="2" w:name="OLE_LINK26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三是定期向学生和家长推送安全教育和安全技能科普知识，提醒家长履行好放假期间的监管责任，严防出现学生监管盲区和真空地带；四是建立家校、师生信息联络机制，家长做到假期孩子安全“四知道”（去往何处、与谁同行、所为何事及归家时间），家校配合共同保障假期安全；五是做好期末学生考试的心理疏导，严防因考试成绩等引发安全事件；六是摸底登记离校学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生，及时了解学生动态，跟进未及时返校的学生情况，加强留校学生安全教育，提供有温度、有质量的后勤服务保障。</w:t>
      </w:r>
      <w:bookmarkEnd w:id="2"/>
    </w:p>
    <w:p w:rsidR="00000000" w:rsidRDefault="009B1123">
      <w:pPr>
        <w:numPr>
          <w:ilvl w:val="0"/>
          <w:numId w:val="1"/>
        </w:num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常态化管理校园安全，保障寒假托管学生安全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开设寒假托管服务的学校，一是要加强校园安全管理，压实压紧各级校园安全管理责任，严格落实“一岗双责”；二是要严把校门入口关，加强外来人员及车辆审查，确保托管服务期间师生在校安全；三是要加强食品安全检查和活动场地安全隐患排查整治工作，确保寒假托管服务期间师生在校安全。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五、完善应急预案，强化寒假应急值守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一是要高度重视岁末年初及寒假期间安全工作，压紧压实各级责任，建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立健全突发事件应急工作机制和信息报送机制；二是要严格落实领导带班值班制度，确保出现重大突发状况时能够及时按要求向教体局报告并妥善处置。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各中小学、幼儿园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需在放寒假前将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假期值班表和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校园安全隐患排查台账报送至教体局安全办邮箱（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wsjyaq@163.com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），教体局将不定期进行督导检查。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0477-7586975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。</w:t>
      </w: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:rsidR="00000000" w:rsidRDefault="009B1123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附件：乌审旗校园安全隐患排查整治工作统计表</w:t>
      </w:r>
    </w:p>
    <w:p w:rsidR="00000000" w:rsidRDefault="009B112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000000" w:rsidRDefault="009B1123">
      <w:pPr>
        <w:spacing w:line="56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乌审旗教育体育局</w:t>
      </w:r>
    </w:p>
    <w:p w:rsidR="00000000" w:rsidRDefault="009B1123">
      <w:pPr>
        <w:spacing w:line="560" w:lineRule="exact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</w:p>
    <w:p w:rsidR="00000000" w:rsidRDefault="009B112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:rsidR="00000000" w:rsidRDefault="009B1123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:rsidR="00000000" w:rsidRDefault="009B1123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p w:rsidR="00000000" w:rsidRDefault="005B7D9C">
      <w:pPr>
        <w:widowControl w:val="0"/>
        <w:kinsoku/>
        <w:autoSpaceDE/>
        <w:autoSpaceDN/>
        <w:adjustRightInd/>
        <w:snapToGrid/>
        <w:spacing w:line="560" w:lineRule="exact"/>
        <w:textAlignment w:val="auto"/>
        <w:rPr>
          <w:rFonts w:ascii="黑体" w:eastAsia="仿宋_GB2312" w:hAnsi="黑体" w:cs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351790</wp:posOffset>
                </wp:positionV>
                <wp:extent cx="5760085" cy="0"/>
                <wp:effectExtent l="7620" t="12065" r="13970" b="6985"/>
                <wp:wrapNone/>
                <wp:docPr id="3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8C32" id="直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27.7pt" to="449.8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" strokeweight="1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760085" cy="0"/>
                <wp:effectExtent l="7620" t="12700" r="13970" b="6350"/>
                <wp:wrapNone/>
                <wp:docPr id="2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239D9" id="直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pt" to="450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" strokeweight="1pt"/>
            </w:pict>
          </mc:Fallback>
        </mc:AlternateContent>
      </w:r>
      <w:r w:rsidR="009B1123">
        <w:rPr>
          <w:rFonts w:ascii="仿宋_GB2312" w:eastAsia="仿宋_GB2312" w:hint="eastAsia"/>
          <w:sz w:val="28"/>
          <w:szCs w:val="28"/>
        </w:rPr>
        <w:t xml:space="preserve">乌审旗教育体育局办公室　　</w:t>
      </w:r>
      <w:r w:rsidR="009B1123">
        <w:rPr>
          <w:rFonts w:ascii="仿宋_GB2312" w:eastAsia="仿宋_GB2312" w:hint="eastAsia"/>
          <w:sz w:val="28"/>
          <w:szCs w:val="28"/>
        </w:rPr>
        <w:t xml:space="preserve">               </w:t>
      </w:r>
      <w:r w:rsidR="009B1123">
        <w:rPr>
          <w:rFonts w:ascii="仿宋_GB2312" w:eastAsia="仿宋_GB2312" w:hint="eastAsia"/>
          <w:sz w:val="28"/>
          <w:szCs w:val="28"/>
          <w:lang w:eastAsia="zh-CN"/>
        </w:rPr>
        <w:t xml:space="preserve">    </w:t>
      </w:r>
      <w:r w:rsidR="009B1123">
        <w:rPr>
          <w:rFonts w:ascii="仿宋_GB2312" w:eastAsia="仿宋_GB2312" w:hint="eastAsia"/>
          <w:sz w:val="28"/>
          <w:szCs w:val="28"/>
        </w:rPr>
        <w:t>202</w:t>
      </w:r>
      <w:r w:rsidR="009B1123">
        <w:rPr>
          <w:rFonts w:ascii="仿宋_GB2312" w:eastAsia="仿宋_GB2312" w:hint="eastAsia"/>
          <w:sz w:val="28"/>
          <w:szCs w:val="28"/>
          <w:lang w:eastAsia="zh-CN"/>
        </w:rPr>
        <w:t>5</w:t>
      </w:r>
      <w:r w:rsidR="009B1123">
        <w:rPr>
          <w:rFonts w:ascii="仿宋_GB2312" w:eastAsia="仿宋_GB2312" w:hint="eastAsia"/>
          <w:sz w:val="28"/>
          <w:szCs w:val="28"/>
        </w:rPr>
        <w:t>年</w:t>
      </w:r>
      <w:r w:rsidR="009B1123">
        <w:rPr>
          <w:rFonts w:ascii="仿宋_GB2312" w:eastAsia="仿宋_GB2312" w:hint="eastAsia"/>
          <w:sz w:val="28"/>
          <w:szCs w:val="28"/>
          <w:lang w:eastAsia="zh-CN"/>
        </w:rPr>
        <w:t>1</w:t>
      </w:r>
      <w:r w:rsidR="009B1123">
        <w:rPr>
          <w:rFonts w:ascii="仿宋_GB2312" w:eastAsia="仿宋_GB2312" w:hint="eastAsia"/>
          <w:sz w:val="28"/>
          <w:szCs w:val="28"/>
        </w:rPr>
        <w:t>月</w:t>
      </w:r>
      <w:r w:rsidR="009B1123">
        <w:rPr>
          <w:rFonts w:ascii="仿宋_GB2312" w:eastAsia="仿宋_GB2312" w:hint="eastAsia"/>
          <w:sz w:val="28"/>
          <w:szCs w:val="28"/>
          <w:lang w:eastAsia="zh-CN"/>
        </w:rPr>
        <w:t>2</w:t>
      </w:r>
      <w:r w:rsidR="009B1123">
        <w:rPr>
          <w:rFonts w:ascii="仿宋_GB2312" w:eastAsia="仿宋_GB2312" w:hint="eastAsia"/>
          <w:sz w:val="28"/>
          <w:szCs w:val="28"/>
        </w:rPr>
        <w:t>日印发</w:t>
      </w:r>
    </w:p>
    <w:p w:rsidR="00000000" w:rsidRDefault="009B1123">
      <w:pPr>
        <w:spacing w:line="579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sectPr w:rsidR="00000000">
          <w:pgSz w:w="11906" w:h="16838"/>
          <w:pgMar w:top="2097" w:right="1474" w:bottom="1984" w:left="1587" w:header="851" w:footer="1984" w:gutter="0"/>
          <w:cols w:space="720"/>
          <w:docGrid w:type="lines" w:linePitch="319"/>
        </w:sectPr>
      </w:pPr>
    </w:p>
    <w:p w:rsidR="00000000" w:rsidRDefault="009B1123">
      <w:pPr>
        <w:rPr>
          <w:rFonts w:hint="eastAsia"/>
          <w:lang w:eastAsia="zh-CN"/>
        </w:rPr>
      </w:pPr>
    </w:p>
    <w:p w:rsidR="00000000" w:rsidRDefault="009B1123">
      <w:pPr>
        <w:tabs>
          <w:tab w:val="left" w:pos="495"/>
        </w:tabs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7"/>
          <w:sz w:val="32"/>
          <w:szCs w:val="32"/>
          <w:lang w:eastAsia="zh-CN"/>
        </w:rPr>
        <w:t>附件</w:t>
      </w:r>
    </w:p>
    <w:p w:rsidR="00000000" w:rsidRDefault="009B1123">
      <w:pPr>
        <w:spacing w:before="56" w:line="217" w:lineRule="auto"/>
        <w:jc w:val="center"/>
        <w:rPr>
          <w:rFonts w:ascii="宋体" w:eastAsia="宋体" w:hAnsi="宋体" w:cs="宋体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  <w:lang w:eastAsia="zh-CN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  <w:lang w:eastAsia="zh-CN"/>
        </w:rPr>
        <w:t>乌审旗校园安全隐患排查整治工作统计表</w:t>
      </w:r>
      <w:r>
        <w:rPr>
          <w:rFonts w:ascii="方正小标宋简体" w:eastAsia="方正小标宋简体" w:hAnsi="方正小标宋简体" w:cs="方正小标宋简体" w:hint="eastAsia"/>
          <w:spacing w:val="16"/>
          <w:sz w:val="44"/>
          <w:szCs w:val="44"/>
          <w:lang w:eastAsia="zh-CN"/>
        </w:rPr>
        <w:t xml:space="preserve">  </w:t>
      </w:r>
      <w:r>
        <w:rPr>
          <w:rFonts w:ascii="宋体" w:eastAsia="宋体" w:hAnsi="宋体" w:cs="宋体"/>
          <w:spacing w:val="16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3"/>
          <w:position w:val="-1"/>
          <w:sz w:val="32"/>
          <w:szCs w:val="32"/>
          <w:lang w:eastAsia="zh-CN"/>
        </w:rPr>
        <w:t>学校名称：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855"/>
        <w:gridCol w:w="4038"/>
        <w:gridCol w:w="1079"/>
        <w:gridCol w:w="799"/>
        <w:gridCol w:w="1009"/>
        <w:gridCol w:w="1309"/>
        <w:gridCol w:w="2898"/>
        <w:gridCol w:w="760"/>
        <w:gridCol w:w="815"/>
      </w:tblGrid>
      <w:tr w:rsidR="00000000">
        <w:trPr>
          <w:trHeight w:val="225"/>
        </w:trPr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类别</w:t>
            </w:r>
          </w:p>
        </w:tc>
        <w:tc>
          <w:tcPr>
            <w:tcW w:w="403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排查内容</w:t>
            </w:r>
          </w:p>
        </w:tc>
        <w:tc>
          <w:tcPr>
            <w:tcW w:w="4196" w:type="dxa"/>
            <w:gridSpan w:val="4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89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整改措施</w:t>
            </w:r>
          </w:p>
        </w:tc>
        <w:tc>
          <w:tcPr>
            <w:tcW w:w="1575" w:type="dxa"/>
            <w:gridSpan w:val="2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责任清单</w:t>
            </w:r>
          </w:p>
        </w:tc>
      </w:tr>
      <w:tr w:rsidR="00000000">
        <w:trPr>
          <w:trHeight w:val="295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038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发现隐患数</w:t>
            </w:r>
          </w:p>
        </w:tc>
        <w:tc>
          <w:tcPr>
            <w:tcW w:w="79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立行立改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0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长期整改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30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需长期整改隐患的整改时限</w:t>
            </w:r>
          </w:p>
        </w:tc>
        <w:tc>
          <w:tcPr>
            <w:tcW w:w="2898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60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责任人</w:t>
            </w:r>
          </w:p>
        </w:tc>
        <w:tc>
          <w:tcPr>
            <w:tcW w:w="81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</w:t>
            </w: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领导</w:t>
            </w:r>
          </w:p>
        </w:tc>
      </w:tr>
      <w:tr w:rsidR="00000000">
        <w:trPr>
          <w:trHeight w:val="389"/>
        </w:trPr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消防安全隐患排查（重点围绕师生宿舍、办公室区域）</w:t>
            </w: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乱拉电源、随意接线等不规范用电行为排查情况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380"/>
        </w:trPr>
        <w:tc>
          <w:tcPr>
            <w:tcW w:w="458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消防未验收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学校校舍（烟感、消防水池、喷淋、卷帘门、通道、火自报、排风、消防水带）排查情况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390"/>
        </w:trPr>
        <w:tc>
          <w:tcPr>
            <w:tcW w:w="458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用电线路及设备设施、燃气管道、网络机房排查情况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389"/>
        </w:trPr>
        <w:tc>
          <w:tcPr>
            <w:tcW w:w="458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4.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电动车在室内、走廊和楼梯间停放、充电排查情况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935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5.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学生宿舍、食堂、多媒体教室、实验室、活动中心、图书馆（阅览室）堵塞安全出口、占用消防通道排查情况：</w:t>
            </w:r>
          </w:p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是否配备灭火器，且在保质期内，师生是否熟悉灭火器操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作方式：配有水泵的学校要进行定期检查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389"/>
        </w:trPr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号检察建议落实情况排查</w:t>
            </w: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6.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开展防性侵宣传教育情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390"/>
        </w:trPr>
        <w:tc>
          <w:tcPr>
            <w:tcW w:w="458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7.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男女生宿舍物理隔离情况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380"/>
        </w:trPr>
        <w:tc>
          <w:tcPr>
            <w:tcW w:w="458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8.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教职工及校内从业人员入职审查要求落实情况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600"/>
        </w:trPr>
        <w:tc>
          <w:tcPr>
            <w:tcW w:w="458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85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教师心理问题隐患排查</w:t>
            </w: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9.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教师心理健康排查情况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660"/>
        </w:trPr>
        <w:tc>
          <w:tcPr>
            <w:tcW w:w="458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85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防范校园欺凌隐患排查</w:t>
            </w: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10.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校园欺凌隐患苗头、学生矛盾纠纷隐患排查情况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1340"/>
        </w:trPr>
        <w:tc>
          <w:tcPr>
            <w:tcW w:w="458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85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重点学生隐患排查</w:t>
            </w: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11.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特殊学生（学困生、困境儿童、孤儿、留守儿童、父母离异或单亲、患抑郁症性格偏激学生）排查情况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490"/>
        </w:trPr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交通安全隐患排查</w:t>
            </w: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12.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通过致家长一封信等形式提醒师生遵守交通法规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575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13.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校车使用、校车车况及驾乘人员状态排查情况：学校周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边是否配备红绿灯等交通指示信号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695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14.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超员、超速、饮酒驾驶等不符合安全标准车辆搭载学生行为排查情况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710"/>
        </w:trPr>
        <w:tc>
          <w:tcPr>
            <w:tcW w:w="458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15.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农村学校低速载货汽车、三轮汽车及“黑校车”等接送学生排查情况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745"/>
        </w:trPr>
        <w:tc>
          <w:tcPr>
            <w:tcW w:w="458" w:type="dxa"/>
            <w:vMerge/>
            <w:tcBorders>
              <w:top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16.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检查校内及校门口周边交通安全标志、标线是否按有关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规定设置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640"/>
        </w:trPr>
        <w:tc>
          <w:tcPr>
            <w:tcW w:w="45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校内安全隐患排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查</w:t>
            </w: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17.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老旧校舍、建筑设施、体育器材、供气管道老化排查情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  <w:tr w:rsidR="00000000">
        <w:trPr>
          <w:trHeight w:val="384"/>
        </w:trPr>
        <w:tc>
          <w:tcPr>
            <w:tcW w:w="458" w:type="dxa"/>
            <w:vMerge/>
            <w:tcBorders>
              <w:top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038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18.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校内体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育设施设备排查情况</w:t>
            </w:r>
          </w:p>
        </w:tc>
        <w:tc>
          <w:tcPr>
            <w:tcW w:w="107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2898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760" w:type="dxa"/>
          </w:tcPr>
          <w:p w:rsidR="00000000" w:rsidRDefault="009B1123">
            <w:pPr>
              <w:rPr>
                <w:lang w:eastAsia="zh-CN"/>
              </w:rPr>
            </w:pPr>
          </w:p>
        </w:tc>
        <w:tc>
          <w:tcPr>
            <w:tcW w:w="815" w:type="dxa"/>
          </w:tcPr>
          <w:p w:rsidR="00000000" w:rsidRDefault="009B1123">
            <w:pPr>
              <w:rPr>
                <w:lang w:eastAsia="zh-CN"/>
              </w:rPr>
            </w:pPr>
          </w:p>
        </w:tc>
      </w:tr>
    </w:tbl>
    <w:p w:rsidR="00000000" w:rsidRDefault="009B1123">
      <w:pPr>
        <w:rPr>
          <w:lang w:eastAsia="zh-CN"/>
        </w:rPr>
        <w:sectPr w:rsidR="00000000">
          <w:pgSz w:w="16838" w:h="11906" w:orient="landscape"/>
          <w:pgMar w:top="1587" w:right="2097" w:bottom="1474" w:left="1984" w:header="851" w:footer="1984" w:gutter="0"/>
          <w:cols w:space="720"/>
          <w:docGrid w:type="lines" w:linePitch="319"/>
        </w:sectPr>
      </w:pPr>
    </w:p>
    <w:p w:rsidR="00000000" w:rsidRDefault="009B1123">
      <w:pPr>
        <w:spacing w:before="62" w:line="224" w:lineRule="auto"/>
        <w:ind w:left="15"/>
        <w:rPr>
          <w:rFonts w:ascii="方正小标宋简体" w:eastAsia="方正小标宋简体" w:hAnsi="方正小标宋简体" w:cs="方正小标宋简体" w:hint="eastAsia"/>
          <w:spacing w:val="7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pacing w:val="7"/>
          <w:sz w:val="32"/>
          <w:szCs w:val="32"/>
          <w:lang w:eastAsia="zh-CN"/>
        </w:rPr>
        <w:lastRenderedPageBreak/>
        <w:t>附件</w:t>
      </w:r>
    </w:p>
    <w:p w:rsidR="00000000" w:rsidRDefault="009B1123">
      <w:pPr>
        <w:spacing w:before="62" w:line="224" w:lineRule="auto"/>
        <w:ind w:left="15"/>
        <w:jc w:val="center"/>
        <w:rPr>
          <w:rFonts w:ascii="宋体" w:eastAsia="宋体" w:hAnsi="宋体" w:cs="宋体"/>
          <w:spacing w:val="1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乌审旗校园安全隐患排查整治工作统计表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>
        <w:rPr>
          <w:rFonts w:ascii="宋体" w:eastAsia="宋体" w:hAnsi="宋体" w:cs="宋体" w:hint="eastAsia"/>
          <w:sz w:val="16"/>
          <w:szCs w:val="16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  <w:lang w:eastAsia="zh-CN"/>
        </w:rPr>
        <w:t>学校名称：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991"/>
        <w:gridCol w:w="4231"/>
        <w:gridCol w:w="690"/>
        <w:gridCol w:w="799"/>
        <w:gridCol w:w="1019"/>
        <w:gridCol w:w="1299"/>
        <w:gridCol w:w="2918"/>
        <w:gridCol w:w="759"/>
        <w:gridCol w:w="784"/>
      </w:tblGrid>
      <w:tr w:rsidR="00000000">
        <w:trPr>
          <w:trHeight w:val="225"/>
        </w:trPr>
        <w:tc>
          <w:tcPr>
            <w:tcW w:w="519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类别</w:t>
            </w:r>
          </w:p>
        </w:tc>
        <w:tc>
          <w:tcPr>
            <w:tcW w:w="4231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排查内容</w:t>
            </w:r>
          </w:p>
        </w:tc>
        <w:tc>
          <w:tcPr>
            <w:tcW w:w="3807" w:type="dxa"/>
            <w:gridSpan w:val="4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91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整改措施</w:t>
            </w:r>
          </w:p>
        </w:tc>
        <w:tc>
          <w:tcPr>
            <w:tcW w:w="1543" w:type="dxa"/>
            <w:gridSpan w:val="2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责任清单</w:t>
            </w:r>
          </w:p>
        </w:tc>
      </w:tr>
      <w:tr w:rsidR="00000000">
        <w:trPr>
          <w:trHeight w:val="310"/>
        </w:trPr>
        <w:tc>
          <w:tcPr>
            <w:tcW w:w="519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231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发现隐患数</w:t>
            </w:r>
          </w:p>
        </w:tc>
        <w:tc>
          <w:tcPr>
            <w:tcW w:w="79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立行立改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01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长期整改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29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需长期整改隐患的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整改时限</w:t>
            </w:r>
          </w:p>
        </w:tc>
        <w:tc>
          <w:tcPr>
            <w:tcW w:w="2918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责任人</w:t>
            </w:r>
          </w:p>
        </w:tc>
        <w:tc>
          <w:tcPr>
            <w:tcW w:w="784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责任领导</w:t>
            </w:r>
          </w:p>
        </w:tc>
      </w:tr>
      <w:tr w:rsidR="00000000">
        <w:trPr>
          <w:trHeight w:val="255"/>
        </w:trPr>
        <w:tc>
          <w:tcPr>
            <w:tcW w:w="519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19.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室外悬挂物松动排查情况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162"/>
        </w:trPr>
        <w:tc>
          <w:tcPr>
            <w:tcW w:w="519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20.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债务纠纷、干群关系、师生关系及防电信诈骗排查情况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239"/>
        </w:trPr>
        <w:tc>
          <w:tcPr>
            <w:tcW w:w="519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食品安全隐患排查</w:t>
            </w: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21.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学校食品安全校长负责制排查情况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15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22.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防范群体食源性疾病和传染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病排查情况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164"/>
        </w:trPr>
        <w:tc>
          <w:tcPr>
            <w:tcW w:w="519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23.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农村学校饮用水消毒与检测工作排查情况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285"/>
        </w:trPr>
        <w:tc>
          <w:tcPr>
            <w:tcW w:w="519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9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校园周边安全隐患排查</w:t>
            </w: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24.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校园周边重点部位和重点场所行业排查情况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79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25.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危害青少年身心健康的各类非法出版物排查情况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255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26.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校园周边社会不良人员、入校滋事隐患排查情况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89"/>
        </w:trPr>
        <w:tc>
          <w:tcPr>
            <w:tcW w:w="519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27.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校园及周边文化娱乐场所、交通安全、食品安全、出租屋、小旅馆、流动商贩整治排查情况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30"/>
        </w:trPr>
        <w:tc>
          <w:tcPr>
            <w:tcW w:w="519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10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防溺水教育隐患排查</w:t>
            </w: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28.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致家长的一封信回执收集情况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69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29.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属地内各水域封闭情况和安全警示牌设置情况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290"/>
        </w:trPr>
        <w:tc>
          <w:tcPr>
            <w:tcW w:w="519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30.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节假日防溺水安全提示落实情况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89"/>
        </w:trPr>
        <w:tc>
          <w:tcPr>
            <w:tcW w:w="519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11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紧急避险和应急演练隐患排查</w:t>
            </w: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31.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应急预案修订完善情况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99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32.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按规定开展应急演练情况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215"/>
        </w:trPr>
        <w:tc>
          <w:tcPr>
            <w:tcW w:w="519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33.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紧急避险工作落实情况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289"/>
        </w:trPr>
        <w:tc>
          <w:tcPr>
            <w:tcW w:w="519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12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四个百分百落实情况隐患排查</w:t>
            </w: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34.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专职保安配备情况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00000">
        <w:trPr>
          <w:trHeight w:val="255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35.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一键报警和视频监控设备配备及正常使用情况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34"/>
        </w:trPr>
        <w:tc>
          <w:tcPr>
            <w:tcW w:w="519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  <w:bottom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36.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校园封闭化管理落实情况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85"/>
        </w:trPr>
        <w:tc>
          <w:tcPr>
            <w:tcW w:w="519" w:type="dxa"/>
            <w:vMerge/>
            <w:tcBorders>
              <w:top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4231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37.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护学岗落实情况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1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29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91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8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</w:tbl>
    <w:p w:rsidR="00000000" w:rsidRDefault="009B1123">
      <w:pPr>
        <w:rPr>
          <w:rFonts w:ascii="宋体" w:eastAsia="宋体" w:hAnsi="宋体" w:cs="宋体"/>
          <w:sz w:val="16"/>
          <w:szCs w:val="16"/>
        </w:rPr>
      </w:pPr>
    </w:p>
    <w:p w:rsidR="00000000" w:rsidRDefault="009B1123">
      <w:pPr>
        <w:rPr>
          <w:rFonts w:ascii="宋体" w:eastAsia="宋体" w:hAnsi="宋体" w:cs="宋体"/>
          <w:sz w:val="16"/>
          <w:szCs w:val="16"/>
        </w:rPr>
        <w:sectPr w:rsidR="00000000">
          <w:pgSz w:w="16838" w:h="11906" w:orient="landscape"/>
          <w:pgMar w:top="1587" w:right="2097" w:bottom="1474" w:left="1984" w:header="851" w:footer="1984" w:gutter="0"/>
          <w:cols w:space="720"/>
          <w:docGrid w:type="lines" w:linePitch="319"/>
        </w:sectPr>
      </w:pPr>
    </w:p>
    <w:p w:rsidR="00000000" w:rsidRDefault="009B1123">
      <w:pPr>
        <w:spacing w:before="62" w:line="224" w:lineRule="auto"/>
        <w:ind w:left="15"/>
        <w:jc w:val="both"/>
        <w:rPr>
          <w:rFonts w:ascii="黑体" w:eastAsia="黑体" w:hAnsi="黑体" w:cs="黑体" w:hint="eastAsia"/>
          <w:spacing w:val="7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7"/>
          <w:sz w:val="32"/>
          <w:szCs w:val="32"/>
          <w:lang w:eastAsia="zh-CN"/>
        </w:rPr>
        <w:lastRenderedPageBreak/>
        <w:t>附件</w:t>
      </w:r>
    </w:p>
    <w:p w:rsidR="00000000" w:rsidRDefault="009B1123">
      <w:pPr>
        <w:spacing w:before="62" w:line="224" w:lineRule="auto"/>
        <w:ind w:left="15"/>
        <w:jc w:val="both"/>
        <w:rPr>
          <w:rFonts w:ascii="宋体" w:eastAsia="宋体" w:hAnsi="宋体" w:cs="宋体"/>
          <w:spacing w:val="16"/>
          <w:lang w:eastAsia="zh-CN"/>
        </w:rPr>
      </w:pPr>
      <w:r>
        <w:rPr>
          <w:rFonts w:ascii="黑体" w:eastAsia="黑体" w:hAnsi="黑体" w:cs="黑体" w:hint="eastAsia"/>
          <w:spacing w:val="7"/>
          <w:sz w:val="32"/>
          <w:szCs w:val="32"/>
          <w:lang w:eastAsia="zh-CN"/>
        </w:rPr>
        <w:t xml:space="preserve"> </w:t>
      </w:r>
      <w:r>
        <w:rPr>
          <w:rFonts w:ascii="黑体" w:eastAsia="黑体" w:hAnsi="黑体" w:cs="黑体" w:hint="eastAsia"/>
          <w:spacing w:val="7"/>
          <w:sz w:val="19"/>
          <w:szCs w:val="19"/>
          <w:lang w:eastAsia="zh-CN"/>
        </w:rPr>
        <w:t xml:space="preserve">  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乌审旗校园安全隐患排查整治工作统计表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 xml:space="preserve">    </w:t>
      </w:r>
      <w:r>
        <w:rPr>
          <w:rFonts w:ascii="宋体" w:eastAsia="宋体" w:hAnsi="宋体" w:cs="宋体" w:hint="eastAsia"/>
          <w:sz w:val="16"/>
          <w:szCs w:val="16"/>
          <w:lang w:eastAsia="zh-CN"/>
        </w:rPr>
        <w:t xml:space="preserve">     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  <w:lang w:eastAsia="zh-CN"/>
        </w:rPr>
        <w:t>学校名称：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149"/>
        <w:gridCol w:w="3997"/>
        <w:gridCol w:w="690"/>
        <w:gridCol w:w="809"/>
        <w:gridCol w:w="1009"/>
        <w:gridCol w:w="1309"/>
        <w:gridCol w:w="2908"/>
        <w:gridCol w:w="759"/>
        <w:gridCol w:w="794"/>
      </w:tblGrid>
      <w:tr w:rsidR="00000000">
        <w:trPr>
          <w:trHeight w:val="225"/>
        </w:trPr>
        <w:tc>
          <w:tcPr>
            <w:tcW w:w="59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序号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类别</w:t>
            </w:r>
          </w:p>
        </w:tc>
        <w:tc>
          <w:tcPr>
            <w:tcW w:w="3997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排查内容</w:t>
            </w:r>
          </w:p>
        </w:tc>
        <w:tc>
          <w:tcPr>
            <w:tcW w:w="3817" w:type="dxa"/>
            <w:gridSpan w:val="4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908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整改措施</w:t>
            </w:r>
          </w:p>
        </w:tc>
        <w:tc>
          <w:tcPr>
            <w:tcW w:w="1553" w:type="dxa"/>
            <w:gridSpan w:val="2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责任清单</w:t>
            </w:r>
          </w:p>
        </w:tc>
      </w:tr>
      <w:tr w:rsidR="00000000">
        <w:trPr>
          <w:trHeight w:val="924"/>
        </w:trPr>
        <w:tc>
          <w:tcPr>
            <w:tcW w:w="595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3997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90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发现隐患数</w:t>
            </w:r>
          </w:p>
        </w:tc>
        <w:tc>
          <w:tcPr>
            <w:tcW w:w="80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立行立改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(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)</w:t>
            </w:r>
          </w:p>
        </w:tc>
        <w:tc>
          <w:tcPr>
            <w:tcW w:w="100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长期整改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一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个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)</w:t>
            </w:r>
          </w:p>
        </w:tc>
        <w:tc>
          <w:tcPr>
            <w:tcW w:w="130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需长期整改隐患的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整改时限</w:t>
            </w:r>
          </w:p>
        </w:tc>
        <w:tc>
          <w:tcPr>
            <w:tcW w:w="2908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责任人</w:t>
            </w:r>
          </w:p>
        </w:tc>
        <w:tc>
          <w:tcPr>
            <w:tcW w:w="794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责任领导</w:t>
            </w:r>
          </w:p>
        </w:tc>
      </w:tr>
      <w:tr w:rsidR="00000000">
        <w:trPr>
          <w:trHeight w:val="399"/>
        </w:trPr>
        <w:tc>
          <w:tcPr>
            <w:tcW w:w="59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13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实验室安全隐患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排查</w:t>
            </w: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38.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实验室“双人双锁”要求落实情况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79"/>
        </w:trPr>
        <w:tc>
          <w:tcPr>
            <w:tcW w:w="59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39.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实验药品出入库账目管理情况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80"/>
        </w:trPr>
        <w:tc>
          <w:tcPr>
            <w:tcW w:w="595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nil"/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40.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视频监控正常使用情况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784"/>
        </w:trPr>
        <w:tc>
          <w:tcPr>
            <w:tcW w:w="595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41.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过期实验药品按规定处置情况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89"/>
        </w:trPr>
        <w:tc>
          <w:tcPr>
            <w:tcW w:w="595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14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值班值守和信息</w:t>
            </w: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报送情况隐患排</w:t>
            </w:r>
          </w:p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查</w:t>
            </w: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42.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节假日值班值守情况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  <w:tr w:rsidR="00000000">
        <w:trPr>
          <w:trHeight w:val="644"/>
        </w:trPr>
        <w:tc>
          <w:tcPr>
            <w:tcW w:w="595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43.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突发事件信息报送情况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735"/>
        </w:trPr>
        <w:tc>
          <w:tcPr>
            <w:tcW w:w="59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15</w:t>
            </w:r>
          </w:p>
        </w:tc>
        <w:tc>
          <w:tcPr>
            <w:tcW w:w="114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学校可燃装饰品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和材料</w:t>
            </w: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44.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主要可燃装饰品有哪些，是否做好防护和应急措施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604"/>
        </w:trPr>
        <w:tc>
          <w:tcPr>
            <w:tcW w:w="59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16</w:t>
            </w:r>
          </w:p>
        </w:tc>
        <w:tc>
          <w:tcPr>
            <w:tcW w:w="114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体育场馆</w:t>
            </w: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45.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体育场馆安全隐患排查整治情况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79"/>
        </w:trPr>
        <w:tc>
          <w:tcPr>
            <w:tcW w:w="59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17</w:t>
            </w:r>
          </w:p>
        </w:tc>
        <w:tc>
          <w:tcPr>
            <w:tcW w:w="114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电气火灾隐患</w:t>
            </w: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46.</w:t>
            </w:r>
            <w:r>
              <w:rPr>
                <w:rFonts w:ascii="宋体" w:eastAsia="宋体" w:hAnsi="宋体" w:cs="宋体" w:hint="eastAsia"/>
                <w:sz w:val="16"/>
                <w:szCs w:val="16"/>
                <w:lang w:eastAsia="zh-CN"/>
              </w:rPr>
              <w:t>厨房燃气安全隐患及电气火灾隐患等</w:t>
            </w: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  <w:lang w:eastAsia="zh-CN"/>
              </w:rPr>
            </w:pPr>
          </w:p>
        </w:tc>
      </w:tr>
      <w:tr w:rsidR="00000000">
        <w:trPr>
          <w:trHeight w:val="389"/>
        </w:trPr>
        <w:tc>
          <w:tcPr>
            <w:tcW w:w="595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18</w:t>
            </w:r>
          </w:p>
        </w:tc>
        <w:tc>
          <w:tcPr>
            <w:tcW w:w="1149" w:type="dxa"/>
            <w:vAlign w:val="center"/>
          </w:tcPr>
          <w:p w:rsidR="00000000" w:rsidRDefault="009B1123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学校自定检查类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>别</w:t>
            </w:r>
          </w:p>
        </w:tc>
        <w:tc>
          <w:tcPr>
            <w:tcW w:w="3997" w:type="dxa"/>
            <w:vAlign w:val="center"/>
          </w:tcPr>
          <w:p w:rsidR="00000000" w:rsidRDefault="009B1123">
            <w:pPr>
              <w:jc w:val="both"/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690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8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0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130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2908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59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  <w:tc>
          <w:tcPr>
            <w:tcW w:w="794" w:type="dxa"/>
          </w:tcPr>
          <w:p w:rsidR="00000000" w:rsidRDefault="009B1123">
            <w:pPr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</w:tbl>
    <w:p w:rsidR="00000000" w:rsidRDefault="009B1123">
      <w:pPr>
        <w:sectPr w:rsidR="00000000">
          <w:pgSz w:w="16838" w:h="11906" w:orient="landscape"/>
          <w:pgMar w:top="1587" w:right="2097" w:bottom="1474" w:left="1984" w:header="851" w:footer="1984" w:gutter="0"/>
          <w:cols w:space="720"/>
          <w:docGrid w:type="lines" w:linePitch="319"/>
        </w:sectPr>
      </w:pPr>
    </w:p>
    <w:p w:rsidR="009B1123" w:rsidRDefault="009B1123">
      <w:pPr>
        <w:spacing w:line="579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B1123">
      <w:pgSz w:w="16838" w:h="11906" w:orient="landscape"/>
      <w:pgMar w:top="1587" w:right="2097" w:bottom="1474" w:left="1984" w:header="851" w:footer="1984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23" w:rsidRDefault="009B1123">
      <w:r>
        <w:separator/>
      </w:r>
    </w:p>
  </w:endnote>
  <w:endnote w:type="continuationSeparator" w:id="0">
    <w:p w:rsidR="009B1123" w:rsidRDefault="009B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B7D9C">
    <w:pPr>
      <w:spacing w:line="177" w:lineRule="auto"/>
      <w:ind w:left="7889"/>
      <w:rPr>
        <w:rFonts w:ascii="宋体" w:eastAsia="宋体" w:hAnsi="宋体" w:cs="宋体"/>
        <w:sz w:val="31"/>
        <w:szCs w:val="31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1990" cy="230505"/>
              <wp:effectExtent l="2540" t="0" r="1270" b="635"/>
              <wp:wrapNone/>
              <wp:docPr id="1" name="文本框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B1123">
                          <w:pP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 w:rsidR="005B7D9C" w:rsidRPr="005B7D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3" o:spid="_x0000_s1026" style="position:absolute;left:0;text-align:left;margin-left:2.5pt;margin-top:0;width:53.7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" filled="f" stroked="f">
              <v:textbox style="mso-fit-shape-to-text:t" inset="0,0,0,0">
                <w:txbxContent>
                  <w:p w:rsidR="00000000" w:rsidRDefault="009B1123">
                    <w:pP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 PAGE  \*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instrText xml:space="preserve">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 w:rsidR="005B7D9C" w:rsidRPr="005B7D9C">
                      <w:rPr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23" w:rsidRDefault="009B1123">
      <w:r>
        <w:separator/>
      </w:r>
    </w:p>
  </w:footnote>
  <w:footnote w:type="continuationSeparator" w:id="0">
    <w:p w:rsidR="009B1123" w:rsidRDefault="009B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59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B7D9C"/>
    <w:rsid w:val="009B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6F6B8-12AF-4436-9DF5-FB136D02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Body Text"/>
    <w:basedOn w:val="a"/>
  </w:style>
  <w:style w:type="paragraph" w:customStyle="1" w:styleId="ListParagraph">
    <w:name w:val="List Paragraph"/>
    <w:basedOn w:val="a"/>
    <w:pPr>
      <w:ind w:firstLineChars="200" w:firstLine="420"/>
    </w:pPr>
  </w:style>
  <w:style w:type="paragraph" w:customStyle="1" w:styleId="TableText">
    <w:name w:val="Tabl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608</Words>
  <Characters>3471</Characters>
  <Application>Microsoft Office Word</Application>
  <DocSecurity>0</DocSecurity>
  <PresentationFormat/>
  <Lines>28</Lines>
  <Paragraphs>8</Paragraphs>
  <Slides>0</Slides>
  <Notes>0</Notes>
  <HiddenSlides>0</HiddenSlides>
  <MMClips>0</MMClips>
  <ScaleCrop>false</ScaleCrop>
  <Manager/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 young</dc:title>
  <dc:subject/>
  <dc:creator>Too young</dc:creator>
  <cp:keywords/>
  <dc:description/>
  <cp:lastModifiedBy>windows10</cp:lastModifiedBy>
  <cp:revision>2</cp:revision>
  <cp:lastPrinted>2025-01-03T08:24:50Z</cp:lastPrinted>
  <dcterms:created xsi:type="dcterms:W3CDTF">2025-01-13T03:28:00Z</dcterms:created>
  <dcterms:modified xsi:type="dcterms:W3CDTF">2025-01-13T03:28:00Z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  <property fmtid="{D5CDD505-2E9C-101B-9397-08002B2CF9AE}" pid="3" name="ICV">
    <vt:lpwstr>D5C576294CAC44F88BBA51E8F7C6C716_11</vt:lpwstr>
  </property>
  <property fmtid="{D5CDD505-2E9C-101B-9397-08002B2CF9AE}" pid="4" name="KSOTemplateDocerSaveRecord">
    <vt:lpwstr>eyJoZGlkIjoiNzE2NmMyZmI1NGYwNmE5M2M5MmNkZjJkY2ZkMDJkYWEiLCJ1c2VySWQiOiIyMjU5NzMzMTEifQ==</vt:lpwstr>
  </property>
</Properties>
</file>