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4</w:t>
      </w:r>
    </w:p>
    <w:p>
      <w:pPr>
        <w:ind w:firstLine="2880" w:firstLineChars="800"/>
        <w:jc w:val="both"/>
        <w:rPr>
          <w:rFonts w:hint="eastAsia" w:ascii="黑体" w:hAnsi="黑体" w:eastAsia="黑体" w:cs="黑体"/>
          <w:color w:val="000000"/>
          <w:sz w:val="36"/>
        </w:rPr>
      </w:pPr>
      <w:bookmarkStart w:id="0" w:name="_GoBack"/>
      <w:r>
        <w:rPr>
          <w:rFonts w:hint="eastAsia" w:ascii="黑体" w:hAnsi="黑体" w:eastAsia="黑体" w:cs="黑体"/>
          <w:color w:val="000000"/>
          <w:sz w:val="36"/>
        </w:rPr>
        <w:t>202</w:t>
      </w:r>
      <w:r>
        <w:rPr>
          <w:rFonts w:hint="eastAsia" w:ascii="黑体" w:hAnsi="黑体" w:eastAsia="黑体" w:cs="黑体"/>
          <w:color w:val="000000"/>
          <w:sz w:val="36"/>
          <w:lang w:val="en-US" w:eastAsia="zh-CN"/>
        </w:rPr>
        <w:t>4</w:t>
      </w:r>
      <w:r>
        <w:rPr>
          <w:rFonts w:hint="eastAsia" w:ascii="黑体" w:hAnsi="黑体" w:eastAsia="黑体" w:cs="黑体"/>
          <w:color w:val="000000"/>
          <w:sz w:val="36"/>
        </w:rPr>
        <w:t>年</w:t>
      </w:r>
      <w:r>
        <w:rPr>
          <w:rFonts w:hint="eastAsia" w:ascii="黑体" w:hAnsi="黑体" w:eastAsia="黑体" w:cs="黑体"/>
          <w:color w:val="000000"/>
          <w:sz w:val="36"/>
          <w:lang w:eastAsia="zh-CN"/>
        </w:rPr>
        <w:t>油气</w:t>
      </w:r>
      <w:r>
        <w:rPr>
          <w:rFonts w:hint="eastAsia" w:ascii="黑体" w:hAnsi="黑体" w:eastAsia="黑体" w:cs="黑体"/>
          <w:color w:val="000000"/>
          <w:sz w:val="36"/>
        </w:rPr>
        <w:t>长输</w:t>
      </w:r>
      <w:r>
        <w:rPr>
          <w:rFonts w:hint="eastAsia" w:ascii="黑体" w:hAnsi="黑体" w:eastAsia="黑体" w:cs="黑体"/>
          <w:color w:val="000000"/>
          <w:sz w:val="36"/>
          <w:lang w:eastAsia="zh-CN"/>
        </w:rPr>
        <w:t>（集输）</w:t>
      </w:r>
      <w:r>
        <w:rPr>
          <w:rFonts w:hint="eastAsia" w:ascii="黑体" w:hAnsi="黑体" w:eastAsia="黑体" w:cs="黑体"/>
          <w:color w:val="000000"/>
          <w:sz w:val="36"/>
        </w:rPr>
        <w:t>管道企业随机抽查事项清单</w:t>
      </w:r>
      <w:bookmarkEnd w:id="0"/>
    </w:p>
    <w:tbl>
      <w:tblPr>
        <w:tblStyle w:val="2"/>
        <w:tblW w:w="13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497"/>
        <w:gridCol w:w="781"/>
        <w:gridCol w:w="2810"/>
        <w:gridCol w:w="5864"/>
        <w:gridCol w:w="1700"/>
        <w:gridCol w:w="1586"/>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blHeader/>
          <w:jc w:val="center"/>
        </w:trPr>
        <w:tc>
          <w:tcPr>
            <w:tcW w:w="497" w:type="dxa"/>
            <w:noWrap w:val="0"/>
            <w:vAlign w:val="center"/>
          </w:tcPr>
          <w:p>
            <w:pPr>
              <w:widowControl/>
              <w:adjustRightInd w:val="0"/>
              <w:snapToGrid w:val="0"/>
              <w:spacing w:line="320" w:lineRule="exact"/>
              <w:jc w:val="center"/>
              <w:rPr>
                <w:rFonts w:ascii="宋体"/>
                <w:b/>
              </w:rPr>
            </w:pPr>
            <w:r>
              <w:rPr>
                <w:rFonts w:hint="eastAsia" w:ascii="宋体"/>
                <w:b/>
              </w:rPr>
              <w:t>序号</w:t>
            </w:r>
          </w:p>
        </w:tc>
        <w:tc>
          <w:tcPr>
            <w:tcW w:w="781" w:type="dxa"/>
            <w:noWrap w:val="0"/>
            <w:vAlign w:val="center"/>
          </w:tcPr>
          <w:p>
            <w:pPr>
              <w:widowControl/>
              <w:adjustRightInd w:val="0"/>
              <w:snapToGrid w:val="0"/>
              <w:spacing w:line="320" w:lineRule="exact"/>
              <w:jc w:val="center"/>
              <w:rPr>
                <w:rFonts w:ascii="宋体"/>
                <w:b/>
              </w:rPr>
            </w:pPr>
            <w:r>
              <w:rPr>
                <w:rFonts w:ascii="宋体"/>
                <w:b/>
              </w:rPr>
              <w:t>类别</w:t>
            </w:r>
          </w:p>
        </w:tc>
        <w:tc>
          <w:tcPr>
            <w:tcW w:w="2810" w:type="dxa"/>
            <w:noWrap w:val="0"/>
            <w:vAlign w:val="center"/>
          </w:tcPr>
          <w:p>
            <w:pPr>
              <w:widowControl/>
              <w:adjustRightInd w:val="0"/>
              <w:snapToGrid w:val="0"/>
              <w:spacing w:line="320" w:lineRule="exact"/>
              <w:jc w:val="center"/>
              <w:rPr>
                <w:rFonts w:ascii="宋体"/>
                <w:b/>
              </w:rPr>
            </w:pPr>
            <w:r>
              <w:rPr>
                <w:rFonts w:hint="eastAsia" w:ascii="宋体"/>
                <w:b/>
                <w:lang w:val="en-US" w:eastAsia="zh-CN"/>
              </w:rPr>
              <w:t>抽查</w:t>
            </w:r>
            <w:r>
              <w:rPr>
                <w:rFonts w:hint="eastAsia" w:ascii="宋体"/>
                <w:b/>
              </w:rPr>
              <w:t>事项</w:t>
            </w:r>
          </w:p>
        </w:tc>
        <w:tc>
          <w:tcPr>
            <w:tcW w:w="5864" w:type="dxa"/>
            <w:noWrap w:val="0"/>
            <w:vAlign w:val="center"/>
          </w:tcPr>
          <w:p>
            <w:pPr>
              <w:widowControl/>
              <w:adjustRightInd w:val="0"/>
              <w:snapToGrid w:val="0"/>
              <w:spacing w:line="320" w:lineRule="exact"/>
              <w:jc w:val="center"/>
              <w:rPr>
                <w:rFonts w:hint="eastAsia" w:ascii="宋体" w:eastAsia="宋体"/>
                <w:b/>
                <w:lang w:eastAsia="zh-CN"/>
              </w:rPr>
            </w:pPr>
            <w:r>
              <w:rPr>
                <w:rFonts w:hint="eastAsia" w:ascii="宋体"/>
                <w:b/>
              </w:rPr>
              <w:t>抽查方</w:t>
            </w:r>
            <w:r>
              <w:rPr>
                <w:rFonts w:hint="eastAsia" w:ascii="宋体"/>
                <w:b/>
                <w:lang w:val="en-US" w:eastAsia="zh-CN"/>
              </w:rPr>
              <w:t>式</w:t>
            </w:r>
          </w:p>
        </w:tc>
        <w:tc>
          <w:tcPr>
            <w:tcW w:w="1700" w:type="dxa"/>
            <w:noWrap w:val="0"/>
            <w:vAlign w:val="center"/>
          </w:tcPr>
          <w:p>
            <w:pPr>
              <w:widowControl/>
              <w:adjustRightInd w:val="0"/>
              <w:snapToGrid w:val="0"/>
              <w:spacing w:line="320" w:lineRule="exact"/>
              <w:jc w:val="center"/>
              <w:rPr>
                <w:rFonts w:ascii="宋体"/>
                <w:b/>
              </w:rPr>
            </w:pPr>
            <w:r>
              <w:rPr>
                <w:rFonts w:hint="eastAsia" w:ascii="宋体"/>
                <w:b/>
                <w:lang w:val="en-US" w:eastAsia="zh-CN"/>
              </w:rPr>
              <w:t>抽查</w:t>
            </w:r>
            <w:r>
              <w:rPr>
                <w:rFonts w:hint="eastAsia" w:ascii="宋体"/>
                <w:b/>
              </w:rPr>
              <w:t>依据</w:t>
            </w:r>
          </w:p>
        </w:tc>
        <w:tc>
          <w:tcPr>
            <w:tcW w:w="1586" w:type="dxa"/>
            <w:noWrap w:val="0"/>
            <w:vAlign w:val="center"/>
          </w:tcPr>
          <w:p>
            <w:pPr>
              <w:widowControl/>
              <w:adjustRightInd w:val="0"/>
              <w:snapToGrid w:val="0"/>
              <w:spacing w:line="320" w:lineRule="exact"/>
              <w:jc w:val="center"/>
              <w:rPr>
                <w:rFonts w:ascii="宋体"/>
                <w:b/>
              </w:rPr>
            </w:pPr>
            <w:r>
              <w:rPr>
                <w:rFonts w:ascii="宋体"/>
                <w:b/>
              </w:rPr>
              <w:t>处理处罚依据</w:t>
            </w:r>
          </w:p>
        </w:tc>
        <w:tc>
          <w:tcPr>
            <w:tcW w:w="692" w:type="dxa"/>
            <w:noWrap w:val="0"/>
            <w:vAlign w:val="center"/>
          </w:tcPr>
          <w:p>
            <w:pPr>
              <w:widowControl/>
              <w:adjustRightInd w:val="0"/>
              <w:snapToGrid w:val="0"/>
              <w:spacing w:line="320" w:lineRule="exact"/>
              <w:jc w:val="center"/>
              <w:rPr>
                <w:rFonts w:hint="eastAsia" w:ascii="宋体" w:eastAsia="宋体"/>
                <w:b/>
                <w:lang w:val="en-US" w:eastAsia="zh-CN"/>
              </w:rPr>
            </w:pPr>
            <w:r>
              <w:rPr>
                <w:rFonts w:hint="eastAsia" w:ascii="宋体"/>
                <w:b/>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49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rPr>
            </w:pPr>
            <w:r>
              <w:rPr>
                <w:rFonts w:hint="eastAsia" w:ascii="仿宋_GB2312" w:cs="Times New Roman"/>
                <w:color w:val="000000"/>
                <w:sz w:val="18"/>
                <w:lang w:val="en-US" w:eastAsia="zh-CN"/>
              </w:rPr>
              <w:t>1</w:t>
            </w:r>
          </w:p>
        </w:tc>
        <w:tc>
          <w:tcPr>
            <w:tcW w:w="78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cs="Times New Roman"/>
                <w:color w:val="000000"/>
                <w:sz w:val="18"/>
                <w:lang w:val="en-US" w:eastAsia="zh-CN"/>
              </w:rPr>
              <w:t>安全培训、</w:t>
            </w:r>
            <w:r>
              <w:rPr>
                <w:rFonts w:hint="eastAsia" w:ascii="仿宋_GB2312" w:hAnsi="Times New Roman" w:cs="Times New Roman"/>
                <w:color w:val="000000"/>
                <w:sz w:val="18"/>
                <w:lang w:val="en-US" w:eastAsia="zh-CN"/>
              </w:rPr>
              <w:t>安全投入保障情况</w:t>
            </w:r>
          </w:p>
        </w:tc>
        <w:tc>
          <w:tcPr>
            <w:tcW w:w="2810" w:type="dxa"/>
            <w:noWrap w:val="0"/>
            <w:vAlign w:val="center"/>
          </w:tcPr>
          <w:p>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1.</w:t>
            </w:r>
            <w:r>
              <w:rPr>
                <w:rFonts w:hint="eastAsia" w:ascii="仿宋_GB2312" w:cs="Times New Roman"/>
                <w:color w:val="000000"/>
                <w:sz w:val="18"/>
                <w:lang w:val="en-US" w:eastAsia="zh-CN"/>
              </w:rPr>
              <w:t>1</w:t>
            </w:r>
            <w:r>
              <w:rPr>
                <w:rFonts w:hint="eastAsia" w:ascii="仿宋_GB2312" w:hAnsi="Times New Roman" w:cs="Times New Roman"/>
                <w:color w:val="000000"/>
                <w:sz w:val="18"/>
              </w:rPr>
              <w:t>组织制定并实施本单位安全生产教育和培训计划</w:t>
            </w:r>
          </w:p>
        </w:tc>
        <w:tc>
          <w:tcPr>
            <w:tcW w:w="5864" w:type="dxa"/>
            <w:noWrap w:val="0"/>
            <w:vAlign w:val="center"/>
          </w:tcPr>
          <w:p>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1</w:t>
            </w:r>
            <w:r>
              <w:rPr>
                <w:rFonts w:hint="eastAsia" w:ascii="仿宋_GB2312" w:cs="Times New Roman"/>
                <w:color w:val="000000"/>
                <w:sz w:val="18"/>
                <w:lang w:val="en-US" w:eastAsia="zh-CN"/>
              </w:rPr>
              <w:t>.</w:t>
            </w:r>
            <w:r>
              <w:rPr>
                <w:rFonts w:hint="eastAsia" w:ascii="仿宋_GB2312" w:hAnsi="Times New Roman" w:cs="Times New Roman"/>
                <w:color w:val="000000"/>
                <w:sz w:val="18"/>
              </w:rPr>
              <w:t>查阅是否审批发布年度安全生产教育培训计划</w:t>
            </w:r>
            <w:r>
              <w:rPr>
                <w:rFonts w:hint="eastAsia" w:ascii="仿宋_GB2312" w:hAnsi="Times New Roman" w:cs="Times New Roman"/>
                <w:color w:val="000000"/>
                <w:sz w:val="18"/>
                <w:lang w:eastAsia="zh-CN"/>
              </w:rPr>
              <w:t>；</w:t>
            </w:r>
          </w:p>
          <w:p>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 xml:space="preserve">2 </w:t>
            </w:r>
            <w:r>
              <w:rPr>
                <w:rFonts w:hint="eastAsia" w:ascii="仿宋_GB2312" w:cs="Times New Roman"/>
                <w:color w:val="000000"/>
                <w:sz w:val="18"/>
                <w:lang w:val="en-US" w:eastAsia="zh-CN"/>
              </w:rPr>
              <w:t>.</w:t>
            </w:r>
            <w:r>
              <w:rPr>
                <w:rFonts w:hint="eastAsia" w:ascii="仿宋_GB2312" w:hAnsi="Times New Roman" w:cs="Times New Roman"/>
                <w:color w:val="000000"/>
                <w:sz w:val="18"/>
              </w:rPr>
              <w:t>抽查教育培训计划是否实施</w:t>
            </w:r>
            <w:r>
              <w:rPr>
                <w:rFonts w:hint="eastAsia" w:ascii="仿宋_GB2312" w:hAnsi="Times New Roman" w:cs="Times New Roman"/>
                <w:color w:val="000000"/>
                <w:sz w:val="18"/>
                <w:lang w:eastAsia="zh-CN"/>
              </w:rPr>
              <w:t>。</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r>
              <w:rPr>
                <w:rFonts w:hint="eastAsia" w:ascii="仿宋_GB2312" w:hAnsi="Times New Roman" w:cs="Times New Roman"/>
                <w:color w:val="000000"/>
                <w:sz w:val="18"/>
              </w:rPr>
              <w:t>安全生产法》第二十</w:t>
            </w:r>
            <w:r>
              <w:rPr>
                <w:rFonts w:hint="eastAsia" w:ascii="仿宋_GB2312" w:cs="Times New Roman"/>
                <w:color w:val="000000"/>
                <w:sz w:val="18"/>
                <w:lang w:val="en-US" w:eastAsia="zh-CN"/>
              </w:rPr>
              <w:t>一</w:t>
            </w:r>
            <w:r>
              <w:rPr>
                <w:rFonts w:hint="eastAsia" w:ascii="仿宋_GB2312" w:hAnsi="Times New Roman" w:cs="Times New Roman"/>
                <w:color w:val="000000"/>
                <w:sz w:val="18"/>
              </w:rPr>
              <w:t>条</w:t>
            </w:r>
          </w:p>
        </w:tc>
        <w:tc>
          <w:tcPr>
            <w:tcW w:w="158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r>
              <w:rPr>
                <w:rFonts w:hint="eastAsia" w:ascii="仿宋_GB2312"/>
                <w:color w:val="000000"/>
                <w:sz w:val="18"/>
              </w:rPr>
              <w:t>《安全生产法》第九十</w:t>
            </w:r>
            <w:r>
              <w:rPr>
                <w:rFonts w:hint="eastAsia" w:ascii="仿宋_GB2312"/>
                <w:color w:val="000000"/>
                <w:sz w:val="18"/>
                <w:lang w:eastAsia="zh-CN"/>
              </w:rPr>
              <w:t>四</w:t>
            </w:r>
            <w:r>
              <w:rPr>
                <w:rFonts w:hint="eastAsia" w:ascii="仿宋_GB2312"/>
                <w:color w:val="000000"/>
                <w:sz w:val="18"/>
              </w:rPr>
              <w:t>条</w:t>
            </w:r>
          </w:p>
        </w:tc>
        <w:tc>
          <w:tcPr>
            <w:tcW w:w="69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78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2810" w:type="dxa"/>
            <w:noWrap w:val="0"/>
            <w:vAlign w:val="center"/>
          </w:tcPr>
          <w:p>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1.</w:t>
            </w:r>
            <w:r>
              <w:rPr>
                <w:rFonts w:hint="eastAsia" w:ascii="仿宋_GB2312" w:cs="Times New Roman"/>
                <w:color w:val="000000"/>
                <w:sz w:val="18"/>
                <w:lang w:val="en-US" w:eastAsia="zh-CN"/>
              </w:rPr>
              <w:t>2</w:t>
            </w:r>
            <w:r>
              <w:rPr>
                <w:rFonts w:hint="eastAsia" w:ascii="仿宋_GB2312" w:hAnsi="Times New Roman" w:cs="Times New Roman"/>
                <w:color w:val="000000"/>
                <w:sz w:val="18"/>
              </w:rPr>
              <w:t xml:space="preserve">保证本单位安全生产投入的有效实施  </w:t>
            </w:r>
          </w:p>
        </w:tc>
        <w:tc>
          <w:tcPr>
            <w:tcW w:w="5864" w:type="dxa"/>
            <w:noWrap w:val="0"/>
            <w:vAlign w:val="center"/>
          </w:tcPr>
          <w:p>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1.询问安全管理人员和生产技术人员是否存在因安全投入不足影响安全生产的情况</w:t>
            </w:r>
            <w:r>
              <w:rPr>
                <w:rFonts w:hint="eastAsia" w:ascii="仿宋_GB2312" w:hAnsi="Times New Roman" w:cs="Times New Roman"/>
                <w:color w:val="000000"/>
                <w:sz w:val="18"/>
                <w:lang w:eastAsia="zh-CN"/>
              </w:rPr>
              <w:t>。</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r>
              <w:rPr>
                <w:rFonts w:hint="eastAsia" w:ascii="仿宋_GB2312" w:hAnsi="Times New Roman" w:cs="Times New Roman"/>
                <w:color w:val="000000"/>
                <w:sz w:val="18"/>
              </w:rPr>
              <w:t>《安全生产法》第二十</w:t>
            </w:r>
            <w:r>
              <w:rPr>
                <w:rFonts w:hint="eastAsia" w:ascii="仿宋_GB2312" w:cs="Times New Roman"/>
                <w:color w:val="000000"/>
                <w:sz w:val="18"/>
                <w:lang w:val="en-US" w:eastAsia="zh-CN"/>
              </w:rPr>
              <w:t>三</w:t>
            </w:r>
            <w:r>
              <w:rPr>
                <w:rFonts w:hint="eastAsia" w:ascii="仿宋_GB2312" w:hAnsi="Times New Roman" w:cs="Times New Roman"/>
                <w:color w:val="000000"/>
                <w:sz w:val="18"/>
              </w:rPr>
              <w:t>条</w:t>
            </w:r>
          </w:p>
        </w:tc>
        <w:tc>
          <w:tcPr>
            <w:tcW w:w="158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r>
              <w:rPr>
                <w:rFonts w:hint="eastAsia" w:ascii="仿宋_GB2312"/>
                <w:color w:val="000000"/>
                <w:sz w:val="18"/>
                <w:lang w:val="en-US" w:eastAsia="zh-CN"/>
              </w:rPr>
              <w:t>《安全生产法》第九十三条</w:t>
            </w:r>
          </w:p>
        </w:tc>
        <w:tc>
          <w:tcPr>
            <w:tcW w:w="69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50" w:hRule="atLeast"/>
          <w:jc w:val="center"/>
        </w:trPr>
        <w:tc>
          <w:tcPr>
            <w:tcW w:w="49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78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2810" w:type="dxa"/>
            <w:noWrap w:val="0"/>
            <w:vAlign w:val="center"/>
          </w:tcPr>
          <w:p>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cs="Times New Roman"/>
                <w:color w:val="000000"/>
                <w:sz w:val="18"/>
                <w:lang w:val="en-US" w:eastAsia="zh-CN"/>
              </w:rPr>
              <w:t>1.3</w:t>
            </w:r>
            <w:r>
              <w:rPr>
                <w:rFonts w:hint="eastAsia" w:ascii="仿宋_GB2312" w:hAnsi="Times New Roman" w:cs="Times New Roman"/>
                <w:color w:val="000000"/>
                <w:sz w:val="18"/>
              </w:rPr>
              <w:t>安全生产管理人员必须具备与本单位所从事的生产经营活动相应的安全生产知识和管理能力</w:t>
            </w:r>
          </w:p>
        </w:tc>
        <w:tc>
          <w:tcPr>
            <w:tcW w:w="5864" w:type="dxa"/>
            <w:noWrap w:val="0"/>
            <w:vAlign w:val="center"/>
          </w:tcPr>
          <w:p>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1</w:t>
            </w:r>
            <w:r>
              <w:rPr>
                <w:rFonts w:hint="eastAsia" w:ascii="仿宋_GB2312" w:cs="Times New Roman"/>
                <w:color w:val="000000"/>
                <w:sz w:val="18"/>
                <w:lang w:val="en-US" w:eastAsia="zh-CN"/>
              </w:rPr>
              <w:t>.</w:t>
            </w:r>
            <w:r>
              <w:rPr>
                <w:rFonts w:hint="eastAsia" w:ascii="仿宋_GB2312" w:hAnsi="Times New Roman" w:cs="Times New Roman"/>
                <w:color w:val="000000"/>
                <w:sz w:val="18"/>
              </w:rPr>
              <w:t>抽查企业是否有对安全生产管理人员的知识和能力进行培训考核的证明</w:t>
            </w:r>
            <w:r>
              <w:rPr>
                <w:rFonts w:hint="eastAsia" w:ascii="仿宋_GB2312" w:hAnsi="Times New Roman" w:cs="Times New Roman"/>
                <w:color w:val="000000"/>
                <w:sz w:val="18"/>
                <w:lang w:eastAsia="zh-CN"/>
              </w:rPr>
              <w:t>。</w:t>
            </w:r>
          </w:p>
        </w:tc>
        <w:tc>
          <w:tcPr>
            <w:tcW w:w="1700" w:type="dxa"/>
            <w:noWrap w:val="0"/>
            <w:vAlign w:val="center"/>
          </w:tcPr>
          <w:p>
            <w:pPr>
              <w:keepNext w:val="0"/>
              <w:keepLines w:val="0"/>
              <w:pageBreakBefore w:val="0"/>
              <w:widowControl/>
              <w:kinsoku/>
              <w:wordWrap/>
              <w:overflowPunct/>
              <w:topLinePunct w:val="0"/>
              <w:autoSpaceDE/>
              <w:autoSpaceDN/>
              <w:bidi w:val="0"/>
              <w:snapToGrid w:val="0"/>
              <w:spacing w:line="240" w:lineRule="exact"/>
              <w:jc w:val="center"/>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《安全生产法》第二十</w:t>
            </w:r>
            <w:r>
              <w:rPr>
                <w:rFonts w:hint="eastAsia" w:ascii="仿宋_GB2312" w:hAnsi="Times New Roman" w:cs="Times New Roman"/>
                <w:color w:val="000000"/>
                <w:sz w:val="18"/>
                <w:lang w:val="en-US" w:eastAsia="zh-CN"/>
              </w:rPr>
              <w:t>七</w:t>
            </w:r>
            <w:r>
              <w:rPr>
                <w:rFonts w:hint="eastAsia" w:ascii="仿宋_GB2312" w:hAnsi="Times New Roman" w:cs="Times New Roman"/>
                <w:color w:val="000000"/>
                <w:sz w:val="18"/>
              </w:rPr>
              <w:t>条</w:t>
            </w:r>
          </w:p>
        </w:tc>
        <w:tc>
          <w:tcPr>
            <w:tcW w:w="1586" w:type="dxa"/>
            <w:noWrap w:val="0"/>
            <w:vAlign w:val="center"/>
          </w:tcPr>
          <w:p>
            <w:pPr>
              <w:keepNext w:val="0"/>
              <w:keepLines w:val="0"/>
              <w:pageBreakBefore w:val="0"/>
              <w:widowControl/>
              <w:kinsoku/>
              <w:wordWrap/>
              <w:overflowPunct/>
              <w:topLinePunct w:val="0"/>
              <w:autoSpaceDE/>
              <w:autoSpaceDN/>
              <w:bidi w:val="0"/>
              <w:snapToGrid w:val="0"/>
              <w:spacing w:line="240" w:lineRule="exact"/>
              <w:jc w:val="center"/>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《安全生产法》第九十</w:t>
            </w:r>
            <w:r>
              <w:rPr>
                <w:rFonts w:hint="eastAsia" w:ascii="仿宋_GB2312" w:hAnsi="Times New Roman" w:cs="Times New Roman"/>
                <w:color w:val="000000"/>
                <w:sz w:val="18"/>
                <w:lang w:val="en-US" w:eastAsia="zh-CN"/>
              </w:rPr>
              <w:t>七</w:t>
            </w:r>
            <w:r>
              <w:rPr>
                <w:rFonts w:hint="eastAsia" w:ascii="仿宋_GB2312" w:hAnsi="Times New Roman" w:cs="Times New Roman"/>
                <w:color w:val="000000"/>
                <w:sz w:val="18"/>
              </w:rPr>
              <w:t>条</w:t>
            </w:r>
          </w:p>
        </w:tc>
        <w:tc>
          <w:tcPr>
            <w:tcW w:w="69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78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28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cs="Times New Roman"/>
                <w:color w:val="000000"/>
                <w:sz w:val="18"/>
                <w:lang w:val="en-US" w:eastAsia="zh-CN"/>
              </w:rPr>
              <w:t>1.4</w:t>
            </w:r>
            <w:r>
              <w:rPr>
                <w:rFonts w:hint="eastAsia" w:ascii="仿宋_GB2312" w:hAnsi="Times New Roman" w:cs="Times New Roman"/>
                <w:color w:val="000000"/>
                <w:sz w:val="18"/>
              </w:rPr>
              <w:t>特种作业人员必须按照国家有关规定经专门的安全作业培训，取得相应资格，方可上岗作业</w:t>
            </w:r>
          </w:p>
        </w:tc>
        <w:tc>
          <w:tcPr>
            <w:tcW w:w="58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cs="Times New Roman"/>
                <w:color w:val="000000"/>
                <w:sz w:val="18"/>
                <w:lang w:val="en-US" w:eastAsia="zh-CN"/>
              </w:rPr>
              <w:t>1.</w:t>
            </w:r>
            <w:r>
              <w:rPr>
                <w:rFonts w:hint="eastAsia" w:ascii="仿宋_GB2312" w:hAnsi="Times New Roman" w:cs="Times New Roman"/>
                <w:color w:val="000000"/>
                <w:sz w:val="18"/>
              </w:rPr>
              <w:t xml:space="preserve"> 抽查特种作业人员是否按规定持证上岗</w:t>
            </w:r>
            <w:r>
              <w:rPr>
                <w:rFonts w:hint="eastAsia" w:ascii="仿宋_GB2312" w:hAnsi="Times New Roman" w:cs="Times New Roman"/>
                <w:color w:val="000000"/>
                <w:sz w:val="18"/>
                <w:lang w:eastAsia="zh-CN"/>
              </w:rPr>
              <w:t>。</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w:t>
            </w:r>
            <w:r>
              <w:rPr>
                <w:rFonts w:hint="eastAsia" w:ascii="仿宋_GB2312" w:hAnsi="Times New Roman" w:cs="Times New Roman"/>
                <w:color w:val="000000"/>
                <w:sz w:val="18"/>
                <w:lang w:val="en-US" w:eastAsia="zh-CN"/>
              </w:rPr>
              <w:t>三十</w:t>
            </w:r>
            <w:r>
              <w:rPr>
                <w:rFonts w:hint="eastAsia" w:ascii="仿宋_GB2312" w:hAnsi="Times New Roman" w:cs="Times New Roman"/>
                <w:color w:val="000000"/>
                <w:sz w:val="18"/>
              </w:rPr>
              <w:t>条</w:t>
            </w:r>
          </w:p>
        </w:tc>
        <w:tc>
          <w:tcPr>
            <w:tcW w:w="158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《安全生产法》第九十</w:t>
            </w:r>
            <w:r>
              <w:rPr>
                <w:rFonts w:hint="eastAsia" w:ascii="仿宋_GB2312" w:hAnsi="Times New Roman" w:cs="Times New Roman"/>
                <w:color w:val="000000"/>
                <w:sz w:val="18"/>
                <w:lang w:val="en-US" w:eastAsia="zh-CN"/>
              </w:rPr>
              <w:t>七</w:t>
            </w:r>
            <w:r>
              <w:rPr>
                <w:rFonts w:hint="eastAsia" w:ascii="仿宋_GB2312" w:hAnsi="Times New Roman" w:cs="Times New Roman"/>
                <w:color w:val="000000"/>
                <w:sz w:val="18"/>
              </w:rPr>
              <w:t>条</w:t>
            </w:r>
          </w:p>
        </w:tc>
        <w:tc>
          <w:tcPr>
            <w:tcW w:w="69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64" w:hRule="atLeast"/>
          <w:jc w:val="center"/>
        </w:trPr>
        <w:tc>
          <w:tcPr>
            <w:tcW w:w="49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rPr>
            </w:pPr>
          </w:p>
        </w:tc>
        <w:tc>
          <w:tcPr>
            <w:tcW w:w="78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28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cs="Times New Roman"/>
                <w:color w:val="000000"/>
                <w:sz w:val="18"/>
                <w:lang w:val="en-US" w:eastAsia="zh-CN"/>
              </w:rPr>
              <w:t>1.5</w:t>
            </w:r>
            <w:r>
              <w:rPr>
                <w:rFonts w:hint="eastAsia" w:ascii="仿宋_GB2312" w:hAnsi="Times New Roman" w:cs="Times New Roman"/>
                <w:color w:val="000000"/>
                <w:sz w:val="18"/>
                <w:lang w:val="en-US" w:eastAsia="zh-CN"/>
              </w:rPr>
              <w:t>安全费用提取使用情况</w:t>
            </w:r>
          </w:p>
        </w:tc>
        <w:tc>
          <w:tcPr>
            <w:tcW w:w="58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eastAsia="zh-CN"/>
              </w:rPr>
            </w:pPr>
            <w:r>
              <w:rPr>
                <w:rFonts w:hint="eastAsia" w:ascii="仿宋_GB2312" w:cs="Times New Roman"/>
                <w:color w:val="000000"/>
                <w:sz w:val="18"/>
                <w:lang w:val="en-US" w:eastAsia="zh-CN"/>
              </w:rPr>
              <w:t>1.</w:t>
            </w:r>
            <w:r>
              <w:rPr>
                <w:rFonts w:hint="eastAsia" w:ascii="仿宋_GB2312" w:hAnsi="Times New Roman" w:cs="Times New Roman"/>
                <w:color w:val="000000"/>
                <w:sz w:val="18"/>
                <w:lang w:eastAsia="zh-CN"/>
              </w:rPr>
              <w:t>检查是否按照规定提取并使用；</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《安全生产法》第二十三条</w:t>
            </w:r>
          </w:p>
        </w:tc>
        <w:tc>
          <w:tcPr>
            <w:tcW w:w="158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《安全生产法》第九十三条</w:t>
            </w:r>
          </w:p>
        </w:tc>
        <w:tc>
          <w:tcPr>
            <w:tcW w:w="69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r>
    </w:tbl>
    <w:p/>
    <w:p/>
    <w:sectPr>
      <w:pgSz w:w="16838" w:h="11906" w:orient="landscape"/>
      <w:pgMar w:top="1587" w:right="2097" w:bottom="1474" w:left="1984" w:header="851" w:footer="77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jUyMzQ1ZDEwN2FiYzE2OTQzYzcwODIxYzMwY2IifQ=="/>
  </w:docVars>
  <w:rsids>
    <w:rsidRoot w:val="36A35D1F"/>
    <w:rsid w:val="36A3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2024-05-17T03:27:00Z</dcterms:created>
  <dc:creator>绿茶咖啡</dc:creator>
  <cp:lastModifiedBy>绿茶咖啡</cp:lastModifiedBy>
  <dcterms:modified xsi:type="dcterms:W3CDTF">2024-05-17T03:28:27Z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C524CDCDCD544539834A6D71D40C50A6_11</vt:lpwstr>
  </property>
</Properties>
</file>