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黑体" w:eastAsia="方正小标宋简体"/>
          <w:color w:val="000000"/>
          <w:sz w:val="36"/>
        </w:rPr>
      </w:pPr>
      <w:r>
        <w:rPr>
          <w:rFonts w:hint="eastAsia" w:ascii="仿宋_GB2312" w:hAnsi="仿宋_GB2312" w:eastAsia="仿宋_GB2312" w:cs="仿宋_GB2312"/>
          <w:color w:val="000000"/>
          <w:sz w:val="32"/>
          <w:szCs w:val="32"/>
        </w:rPr>
        <w:t>附件2</w:t>
      </w:r>
      <w:r>
        <w:rPr>
          <w:rFonts w:hint="eastAsia" w:ascii="方正小标宋简体" w:hAnsi="黑体" w:eastAsia="方正小标宋简体"/>
          <w:color w:val="000000"/>
          <w:sz w:val="36"/>
        </w:rPr>
        <w:t xml:space="preserve"> </w:t>
      </w:r>
    </w:p>
    <w:p>
      <w:pPr>
        <w:jc w:val="center"/>
        <w:rPr>
          <w:rFonts w:hint="eastAsia" w:ascii="黑体" w:hAnsi="黑体" w:eastAsia="黑体" w:cs="黑体"/>
          <w:color w:val="000000"/>
          <w:sz w:val="36"/>
        </w:rPr>
      </w:pPr>
      <w:bookmarkStart w:id="0" w:name="_GoBack"/>
      <w:r>
        <w:rPr>
          <w:rFonts w:hint="eastAsia" w:ascii="黑体" w:hAnsi="黑体" w:eastAsia="黑体" w:cs="黑体"/>
          <w:color w:val="000000"/>
          <w:sz w:val="36"/>
        </w:rPr>
        <w:t>202</w:t>
      </w:r>
      <w:r>
        <w:rPr>
          <w:rFonts w:hint="eastAsia" w:ascii="黑体" w:hAnsi="黑体" w:eastAsia="黑体" w:cs="黑体"/>
          <w:color w:val="000000"/>
          <w:sz w:val="36"/>
          <w:lang w:val="en-US" w:eastAsia="zh-CN"/>
        </w:rPr>
        <w:t>4</w:t>
      </w:r>
      <w:r>
        <w:rPr>
          <w:rFonts w:hint="eastAsia" w:ascii="黑体" w:hAnsi="黑体" w:eastAsia="黑体" w:cs="黑体"/>
          <w:color w:val="000000"/>
          <w:sz w:val="36"/>
        </w:rPr>
        <w:t>年乌审旗能源局煤炭洗选企业、集装站企业随机抽查事项清单</w:t>
      </w:r>
    </w:p>
    <w:bookmarkEnd w:id="0"/>
    <w:tbl>
      <w:tblPr>
        <w:tblStyle w:val="2"/>
        <w:tblW w:w="12777" w:type="dxa"/>
        <w:tblInd w:w="108" w:type="dxa"/>
        <w:tblLayout w:type="fixed"/>
        <w:tblCellMar>
          <w:top w:w="0" w:type="dxa"/>
          <w:left w:w="108" w:type="dxa"/>
          <w:bottom w:w="0" w:type="dxa"/>
          <w:right w:w="108" w:type="dxa"/>
        </w:tblCellMar>
      </w:tblPr>
      <w:tblGrid>
        <w:gridCol w:w="567"/>
        <w:gridCol w:w="709"/>
        <w:gridCol w:w="1163"/>
        <w:gridCol w:w="1980"/>
        <w:gridCol w:w="5948"/>
        <w:gridCol w:w="1687"/>
        <w:gridCol w:w="723"/>
      </w:tblGrid>
      <w:tr>
        <w:tblPrEx>
          <w:tblCellMar>
            <w:top w:w="0" w:type="dxa"/>
            <w:left w:w="108" w:type="dxa"/>
            <w:bottom w:w="0" w:type="dxa"/>
            <w:right w:w="108" w:type="dxa"/>
          </w:tblCellMar>
        </w:tblPrEx>
        <w:trPr>
          <w:trHeight w:val="367" w:hRule="atLeast"/>
          <w:tblHead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序号</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类别</w:t>
            </w:r>
          </w:p>
        </w:tc>
        <w:tc>
          <w:tcPr>
            <w:tcW w:w="11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抽查事项</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抽查依据</w:t>
            </w:r>
          </w:p>
        </w:tc>
        <w:tc>
          <w:tcPr>
            <w:tcW w:w="5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抽查方式</w:t>
            </w:r>
          </w:p>
        </w:tc>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处理处罚依据</w:t>
            </w:r>
          </w:p>
        </w:tc>
        <w:tc>
          <w:tcPr>
            <w:tcW w:w="7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仿宋_GB2312"/>
                <w:b/>
                <w:color w:val="000000"/>
              </w:rPr>
            </w:pPr>
            <w:r>
              <w:rPr>
                <w:rFonts w:hint="eastAsia" w:ascii="仿宋_GB2312"/>
                <w:b/>
                <w:color w:val="000000"/>
              </w:rPr>
              <w:t>备注</w:t>
            </w:r>
          </w:p>
        </w:tc>
      </w:tr>
      <w:tr>
        <w:tblPrEx>
          <w:tblCellMar>
            <w:top w:w="0" w:type="dxa"/>
            <w:left w:w="108" w:type="dxa"/>
            <w:bottom w:w="0" w:type="dxa"/>
            <w:right w:w="108" w:type="dxa"/>
          </w:tblCellMar>
        </w:tblPrEx>
        <w:trPr>
          <w:trHeight w:val="3110"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b/>
                <w:color w:val="000000"/>
              </w:rPr>
            </w:pPr>
            <w:r>
              <w:rPr>
                <w:rFonts w:hint="eastAsia" w:ascii="宋体" w:hAnsi="宋体" w:cs="宋体"/>
                <w:i w:val="0"/>
                <w:iCs w:val="0"/>
                <w:color w:val="000000"/>
                <w:kern w:val="0"/>
                <w:sz w:val="16"/>
                <w:szCs w:val="16"/>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安全培训、安全投入</w:t>
            </w:r>
          </w:p>
        </w:tc>
        <w:tc>
          <w:tcPr>
            <w:tcW w:w="11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1.1主要负责人、安全管理人员、从业人员安全生产教育和培训情况；</w:t>
            </w:r>
          </w:p>
        </w:tc>
        <w:tc>
          <w:tcPr>
            <w:tcW w:w="198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《安全生产法》第二十七、第二十八条、第二十九条、第三十条；</w:t>
            </w:r>
          </w:p>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《选煤厂安全规程》GB43203-2023中的5.5.1、5.5.2、5.5.3、5.5.4、5.5.8</w:t>
            </w:r>
          </w:p>
        </w:tc>
        <w:tc>
          <w:tcPr>
            <w:tcW w:w="5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color w:val="000000"/>
                <w:sz w:val="18"/>
                <w:lang w:val="en-US" w:eastAsia="zh-CN"/>
              </w:rPr>
            </w:pPr>
            <w:r>
              <w:rPr>
                <w:rFonts w:hint="eastAsia" w:ascii="仿宋_GB2312"/>
                <w:color w:val="000000"/>
                <w:sz w:val="18"/>
                <w:lang w:val="en-US" w:eastAsia="zh-CN"/>
              </w:rPr>
              <w:t>1.主要负责人和安全管理人员安全生产知识和管理能力及考核；2.从业人员“四新”培训3.从业人员对安全生产有关事项知晓情况；</w:t>
            </w:r>
          </w:p>
          <w:p>
            <w:pPr>
              <w:widowControl/>
              <w:snapToGrid w:val="0"/>
              <w:spacing w:line="240" w:lineRule="exact"/>
              <w:jc w:val="left"/>
              <w:rPr>
                <w:rFonts w:hint="eastAsia" w:ascii="仿宋_GB2312"/>
                <w:color w:val="000000"/>
                <w:sz w:val="18"/>
                <w:lang w:val="en-US" w:eastAsia="zh-CN"/>
              </w:rPr>
            </w:pPr>
            <w:r>
              <w:rPr>
                <w:rFonts w:hint="eastAsia" w:ascii="仿宋_GB2312"/>
                <w:color w:val="000000"/>
                <w:sz w:val="18"/>
                <w:lang w:val="en-US" w:eastAsia="zh-CN"/>
              </w:rPr>
              <w:t>1.应制定安全生产教育培训计划，并建立培训教育档案，实行一人一档；2.应对从业人员进行厂级、车间级、班组三级安全教育培训；新上岗的从业人员安全培训不应少于72学时，并由有经验的工人带领实习4个月，考核合格后独立工作；每年在培训不应少于20学时。3.实习和承包商人员，应经过三级安全教育培训；4.内部调换岗位或者离岗1年以上（含1年）重新上岗的工作人员，应由所在车间、班组重新进行安全教育培训，培训时间应不少于24学时；6.主要负责人、安全生产管理人员应接受安全培训，具备与所从事生产经营活动相适应的安全生产知识和管理能力，主要负责人和安全管理人员初次安全培训时间不应少于32学时，每年再次培训不应少于12学时。</w:t>
            </w:r>
          </w:p>
        </w:tc>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《安全生产法》第九十七条第三、四、五、七款</w:t>
            </w:r>
          </w:p>
        </w:tc>
        <w:tc>
          <w:tcPr>
            <w:tcW w:w="72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p>
        </w:tc>
      </w:tr>
      <w:tr>
        <w:tblPrEx>
          <w:tblCellMar>
            <w:top w:w="0" w:type="dxa"/>
            <w:left w:w="108" w:type="dxa"/>
            <w:bottom w:w="0" w:type="dxa"/>
            <w:right w:w="108" w:type="dxa"/>
          </w:tblCellMar>
        </w:tblPrEx>
        <w:trPr>
          <w:trHeight w:val="36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b/>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1.2安全投入</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财资【2022】136号</w:t>
            </w:r>
          </w:p>
        </w:tc>
        <w:tc>
          <w:tcPr>
            <w:tcW w:w="5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color w:val="000000"/>
                <w:sz w:val="18"/>
                <w:lang w:val="en-US" w:eastAsia="zh-CN"/>
              </w:rPr>
            </w:pPr>
            <w:r>
              <w:rPr>
                <w:rFonts w:hint="eastAsia" w:ascii="仿宋_GB2312"/>
                <w:color w:val="000000"/>
                <w:sz w:val="18"/>
                <w:lang w:val="en-US" w:eastAsia="zh-CN"/>
              </w:rPr>
              <w:t>二、全生产投入、安全生产事故应急救援预案及实施情况；选煤厂应保障安全生产投入，确保具备安全生产条件。1.检查安全费用提取和使用明细账、凭证、有关财务报表、计划和统计报表、制度及相关文件；2.现场检查为从业人员缴纳工伤保险人名单和缴纳工伤保险票据、凭证和相关文件资料</w:t>
            </w:r>
          </w:p>
        </w:tc>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《安全生产法》第九十三条</w:t>
            </w:r>
          </w:p>
        </w:tc>
        <w:tc>
          <w:tcPr>
            <w:tcW w:w="72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p>
        </w:tc>
      </w:tr>
      <w:tr>
        <w:tblPrEx>
          <w:tblCellMar>
            <w:top w:w="0" w:type="dxa"/>
            <w:left w:w="108" w:type="dxa"/>
            <w:bottom w:w="0" w:type="dxa"/>
            <w:right w:w="108" w:type="dxa"/>
          </w:tblCellMar>
        </w:tblPrEx>
        <w:trPr>
          <w:trHeight w:val="36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b/>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1.3应急教育培训</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1.《安全生产法》第二十七条、第二十八条、第五十八条；2.《生产经营单位安全培训规定》（安全监管总局令第3号公布，第80号修改）第四条、第十五条、第三十一条</w:t>
            </w:r>
          </w:p>
        </w:tc>
        <w:tc>
          <w:tcPr>
            <w:tcW w:w="5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color w:val="000000"/>
                <w:sz w:val="18"/>
                <w:lang w:val="en-US" w:eastAsia="zh-CN"/>
              </w:rPr>
            </w:pPr>
            <w:r>
              <w:rPr>
                <w:rFonts w:hint="eastAsia" w:ascii="仿宋_GB2312"/>
                <w:color w:val="000000"/>
                <w:sz w:val="18"/>
                <w:lang w:val="en-US" w:eastAsia="zh-CN"/>
              </w:rPr>
              <w:t>1.主要负责人、安全管理人员是否经过培训，考核合格。2.是否将应急处置与逃生自救互救知识纳入安全生产教育培训内容和培训计划。3.是否开展应急预案培训，并记录。4.是否对从业人员的自救互救、避险逃生技能定期组织考核。</w:t>
            </w:r>
          </w:p>
        </w:tc>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r>
              <w:rPr>
                <w:rFonts w:hint="eastAsia" w:ascii="仿宋_GB2312"/>
                <w:color w:val="000000"/>
                <w:sz w:val="18"/>
                <w:lang w:val="en-US" w:eastAsia="zh-CN"/>
              </w:rPr>
              <w:t>《安全生产法》第九十七条</w:t>
            </w:r>
          </w:p>
        </w:tc>
        <w:tc>
          <w:tcPr>
            <w:tcW w:w="72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695A44B7"/>
    <w:rsid w:val="695A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2024-05-17T03:29:00Z</dcterms:created>
  <dc:creator>绿茶咖啡</dc:creator>
  <cp:lastModifiedBy>绿茶咖啡</cp:lastModifiedBy>
  <dcterms:modified xsi:type="dcterms:W3CDTF">2024-05-17T03:30:09Z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29539FFE1B464543A68132390079441F_11</vt:lpwstr>
  </property>
</Properties>
</file>