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附件1 </w:t>
      </w:r>
    </w:p>
    <w:p>
      <w:pPr>
        <w:spacing w:line="560" w:lineRule="exact"/>
        <w:jc w:val="center"/>
        <w:rPr>
          <w:rFonts w:hint="eastAsia" w:ascii="黑体" w:hAnsi="黑体" w:eastAsia="黑体" w:cs="黑体"/>
          <w:color w:val="000000"/>
          <w:sz w:val="36"/>
          <w:szCs w:val="36"/>
        </w:rPr>
      </w:pPr>
      <w:bookmarkStart w:id="0" w:name="_GoBack"/>
      <w:r>
        <w:rPr>
          <w:rFonts w:hint="eastAsia" w:ascii="黑体" w:hAnsi="黑体" w:eastAsia="黑体" w:cs="黑体"/>
          <w:color w:val="000000"/>
          <w:sz w:val="36"/>
          <w:szCs w:val="36"/>
        </w:rPr>
        <w:t>202</w:t>
      </w:r>
      <w:r>
        <w:rPr>
          <w:rFonts w:hint="eastAsia" w:ascii="黑体" w:hAnsi="黑体" w:eastAsia="黑体" w:cs="黑体"/>
          <w:color w:val="000000"/>
          <w:sz w:val="36"/>
          <w:szCs w:val="36"/>
          <w:lang w:val="en-US" w:eastAsia="zh-CN"/>
        </w:rPr>
        <w:t>4</w:t>
      </w:r>
      <w:r>
        <w:rPr>
          <w:rFonts w:hint="eastAsia" w:ascii="黑体" w:hAnsi="黑体" w:eastAsia="黑体" w:cs="黑体"/>
          <w:color w:val="000000"/>
          <w:sz w:val="36"/>
          <w:szCs w:val="36"/>
        </w:rPr>
        <w:t>年乌审旗能源局煤矿企业随机抽查事项清单</w:t>
      </w:r>
      <w:bookmarkEnd w:id="0"/>
    </w:p>
    <w:tbl>
      <w:tblPr>
        <w:tblStyle w:val="2"/>
        <w:tblW w:w="0" w:type="auto"/>
        <w:tblInd w:w="108" w:type="dxa"/>
        <w:tblLayout w:type="fixed"/>
        <w:tblCellMar>
          <w:top w:w="0" w:type="dxa"/>
          <w:left w:w="108" w:type="dxa"/>
          <w:bottom w:w="0" w:type="dxa"/>
          <w:right w:w="108" w:type="dxa"/>
        </w:tblCellMar>
      </w:tblPr>
      <w:tblGrid>
        <w:gridCol w:w="567"/>
        <w:gridCol w:w="709"/>
        <w:gridCol w:w="1985"/>
        <w:gridCol w:w="2976"/>
        <w:gridCol w:w="4127"/>
        <w:gridCol w:w="1685"/>
        <w:gridCol w:w="725"/>
      </w:tblGrid>
      <w:tr>
        <w:tblPrEx>
          <w:tblCellMar>
            <w:top w:w="0" w:type="dxa"/>
            <w:left w:w="108" w:type="dxa"/>
            <w:bottom w:w="0" w:type="dxa"/>
            <w:right w:w="108" w:type="dxa"/>
          </w:tblCellMar>
        </w:tblPrEx>
        <w:trPr>
          <w:trHeight w:val="367" w:hRule="atLeast"/>
          <w:tblHeader/>
        </w:trPr>
        <w:tc>
          <w:tcPr>
            <w:tcW w:w="5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b/>
                <w:color w:val="000000"/>
              </w:rPr>
            </w:pPr>
            <w:r>
              <w:rPr>
                <w:rFonts w:hint="eastAsia" w:ascii="仿宋_GB2312"/>
                <w:b/>
                <w:color w:val="000000"/>
              </w:rPr>
              <w:t>序号</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b/>
                <w:color w:val="000000"/>
              </w:rPr>
            </w:pPr>
            <w:r>
              <w:rPr>
                <w:rFonts w:hint="eastAsia" w:ascii="仿宋_GB2312"/>
                <w:b/>
                <w:color w:val="000000"/>
              </w:rPr>
              <w:t>类别</w:t>
            </w:r>
          </w:p>
        </w:tc>
        <w:tc>
          <w:tcPr>
            <w:tcW w:w="19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b/>
                <w:color w:val="000000"/>
              </w:rPr>
            </w:pPr>
            <w:r>
              <w:rPr>
                <w:rFonts w:hint="eastAsia" w:ascii="仿宋_GB2312"/>
                <w:b/>
                <w:color w:val="000000"/>
              </w:rPr>
              <w:t>抽查事项</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b/>
                <w:color w:val="000000"/>
              </w:rPr>
            </w:pPr>
            <w:r>
              <w:rPr>
                <w:rFonts w:hint="eastAsia" w:ascii="仿宋_GB2312"/>
                <w:b/>
                <w:color w:val="000000"/>
              </w:rPr>
              <w:t>抽查依据</w:t>
            </w:r>
          </w:p>
        </w:tc>
        <w:tc>
          <w:tcPr>
            <w:tcW w:w="41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b/>
                <w:color w:val="000000"/>
              </w:rPr>
            </w:pPr>
            <w:r>
              <w:rPr>
                <w:rFonts w:hint="eastAsia" w:ascii="仿宋_GB2312"/>
                <w:b/>
                <w:color w:val="000000"/>
              </w:rPr>
              <w:t>抽查内容</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b/>
                <w:color w:val="000000"/>
              </w:rPr>
            </w:pPr>
            <w:r>
              <w:rPr>
                <w:rFonts w:hint="eastAsia" w:ascii="仿宋_GB2312"/>
                <w:b/>
                <w:color w:val="000000"/>
              </w:rPr>
              <w:t>处理处罚依据</w:t>
            </w:r>
          </w:p>
        </w:tc>
        <w:tc>
          <w:tcPr>
            <w:tcW w:w="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b/>
                <w:color w:val="000000"/>
              </w:rPr>
            </w:pPr>
            <w:r>
              <w:rPr>
                <w:rFonts w:hint="eastAsia" w:ascii="仿宋_GB2312"/>
                <w:b/>
                <w:color w:val="000000"/>
              </w:rPr>
              <w:t>备注</w:t>
            </w:r>
          </w:p>
        </w:tc>
      </w:tr>
      <w:tr>
        <w:tblPrEx>
          <w:tblCellMar>
            <w:top w:w="0" w:type="dxa"/>
            <w:left w:w="108" w:type="dxa"/>
            <w:bottom w:w="0" w:type="dxa"/>
            <w:right w:w="108" w:type="dxa"/>
          </w:tblCellMar>
        </w:tblPrEx>
        <w:trPr>
          <w:trHeight w:val="668" w:hRule="atLeast"/>
        </w:trPr>
        <w:tc>
          <w:tcPr>
            <w:tcW w:w="56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eastAsia="宋体"/>
                <w:color w:val="000000"/>
                <w:sz w:val="18"/>
                <w:lang w:val="en-US" w:eastAsia="zh-CN"/>
              </w:rPr>
            </w:pPr>
            <w:r>
              <w:rPr>
                <w:rFonts w:hint="eastAsia" w:ascii="仿宋_GB2312"/>
                <w:color w:val="000000"/>
                <w:sz w:val="18"/>
                <w:lang w:val="en-US" w:eastAsia="zh-CN"/>
              </w:rPr>
              <w:t>1</w:t>
            </w:r>
          </w:p>
        </w:tc>
        <w:tc>
          <w:tcPr>
            <w:tcW w:w="70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eastAsia="宋体"/>
                <w:color w:val="000000"/>
                <w:sz w:val="18"/>
                <w:lang w:eastAsia="zh-CN"/>
              </w:rPr>
            </w:pPr>
            <w:r>
              <w:rPr>
                <w:rFonts w:hint="eastAsia" w:ascii="仿宋_GB2312"/>
                <w:color w:val="000000"/>
                <w:sz w:val="18"/>
                <w:lang w:eastAsia="zh-CN"/>
              </w:rPr>
              <w:t>规章制度类</w:t>
            </w:r>
          </w:p>
        </w:tc>
        <w:tc>
          <w:tcPr>
            <w:tcW w:w="19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eastAsia="宋体"/>
                <w:color w:val="000000"/>
                <w:sz w:val="18"/>
                <w:lang w:eastAsia="zh-CN"/>
              </w:rPr>
            </w:pPr>
            <w:r>
              <w:rPr>
                <w:rFonts w:hint="eastAsia" w:ascii="仿宋_GB2312"/>
                <w:color w:val="000000"/>
                <w:sz w:val="18"/>
                <w:lang w:val="en-US" w:eastAsia="zh-CN"/>
              </w:rPr>
              <w:t>1.1</w:t>
            </w:r>
            <w:r>
              <w:rPr>
                <w:rFonts w:hint="eastAsia" w:ascii="仿宋_GB2312"/>
                <w:color w:val="000000"/>
                <w:sz w:val="18"/>
                <w:lang w:eastAsia="zh-CN"/>
              </w:rPr>
              <w:t>安全生产规章制度落实</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r>
              <w:rPr>
                <w:rFonts w:hint="eastAsia" w:ascii="仿宋_GB2312"/>
                <w:color w:val="000000"/>
                <w:sz w:val="18"/>
              </w:rPr>
              <w:t>《中华人民共和国安全生产法》第二十五条第一款，第四十四条第一款；《煤矿安全规程》（原国家安全监管总局令第87号，应急管理部令第8号修改）第四条。</w:t>
            </w:r>
          </w:p>
        </w:tc>
        <w:tc>
          <w:tcPr>
            <w:tcW w:w="41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r>
              <w:rPr>
                <w:rFonts w:hint="eastAsia" w:ascii="仿宋_GB2312"/>
                <w:color w:val="000000"/>
                <w:sz w:val="18"/>
              </w:rPr>
              <w:t>是否严格执行本单位的安全生产规章制度。</w:t>
            </w:r>
          </w:p>
          <w:p>
            <w:pPr>
              <w:widowControl/>
              <w:snapToGrid w:val="0"/>
              <w:spacing w:line="240" w:lineRule="exact"/>
              <w:rPr>
                <w:rFonts w:hint="eastAsia" w:ascii="仿宋_GB2312"/>
                <w:color w:val="000000"/>
                <w:sz w:val="18"/>
              </w:rPr>
            </w:pPr>
            <w:r>
              <w:rPr>
                <w:rFonts w:hint="eastAsia" w:ascii="仿宋_GB2312"/>
                <w:color w:val="000000"/>
                <w:sz w:val="18"/>
              </w:rPr>
              <w:t xml:space="preserve">    总工程师应当组织对矿井采煤、掘进、通风等重点部位、关键环节进行安全检查，掌握井下安全生产状况；制止和纠正违章指挥、强令冒险作业、违反操作规程的行为。</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r>
              <w:rPr>
                <w:rFonts w:hint="eastAsia" w:ascii="仿宋_GB2312"/>
                <w:color w:val="000000"/>
                <w:sz w:val="18"/>
              </w:rPr>
              <w:t>《安全生产法》第九十</w:t>
            </w:r>
            <w:r>
              <w:rPr>
                <w:rFonts w:hint="eastAsia" w:ascii="仿宋_GB2312"/>
                <w:color w:val="000000"/>
                <w:sz w:val="18"/>
                <w:lang w:eastAsia="zh-CN"/>
              </w:rPr>
              <w:t>六</w:t>
            </w:r>
            <w:r>
              <w:rPr>
                <w:rFonts w:hint="eastAsia" w:ascii="仿宋_GB2312"/>
                <w:color w:val="000000"/>
                <w:sz w:val="18"/>
              </w:rPr>
              <w:t>条</w:t>
            </w:r>
          </w:p>
        </w:tc>
        <w:tc>
          <w:tcPr>
            <w:tcW w:w="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r>
      <w:tr>
        <w:tblPrEx>
          <w:tblCellMar>
            <w:top w:w="0" w:type="dxa"/>
            <w:left w:w="108" w:type="dxa"/>
            <w:bottom w:w="0" w:type="dxa"/>
            <w:right w:w="108" w:type="dxa"/>
          </w:tblCellMar>
        </w:tblPrEx>
        <w:trPr>
          <w:trHeight w:val="130" w:hRule="atLeast"/>
        </w:trPr>
        <w:tc>
          <w:tcPr>
            <w:tcW w:w="56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c>
          <w:tcPr>
            <w:tcW w:w="70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c>
          <w:tcPr>
            <w:tcW w:w="1985"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left"/>
              <w:rPr>
                <w:rFonts w:hint="eastAsia" w:ascii="仿宋_GB2312" w:eastAsia="宋体"/>
                <w:color w:val="000000"/>
                <w:sz w:val="18"/>
                <w:lang w:eastAsia="zh-CN"/>
              </w:rPr>
            </w:pPr>
            <w:r>
              <w:rPr>
                <w:rFonts w:hint="eastAsia" w:ascii="仿宋_GB2312"/>
                <w:color w:val="000000"/>
                <w:sz w:val="18"/>
                <w:lang w:val="en-US" w:eastAsia="zh-CN"/>
              </w:rPr>
              <w:t>1.2安全生产管理机构建立</w:t>
            </w:r>
          </w:p>
        </w:tc>
        <w:tc>
          <w:tcPr>
            <w:tcW w:w="2976"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eastAsia="宋体"/>
                <w:color w:val="000000"/>
                <w:sz w:val="18"/>
                <w:lang w:eastAsia="zh-CN"/>
              </w:rPr>
            </w:pPr>
            <w:r>
              <w:rPr>
                <w:rFonts w:hint="eastAsia" w:ascii="仿宋_GB2312"/>
                <w:color w:val="000000"/>
                <w:sz w:val="18"/>
              </w:rPr>
              <w:t>《中华人民共和国安全生产法》第二十四条，第二十五条第二款，第二十七条第三款；《煤矿企业安全生产许可证实施办法》（原国家安全监管总局令第86号，第89号修改）第六条；《煤矿安全规程》（原国家安全监管总局令第87号，应急管理部第8号修正）第五条。</w:t>
            </w:r>
          </w:p>
        </w:tc>
        <w:tc>
          <w:tcPr>
            <w:tcW w:w="4127"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r>
              <w:rPr>
                <w:rFonts w:hint="eastAsia" w:ascii="仿宋_GB2312"/>
                <w:color w:val="000000"/>
                <w:sz w:val="18"/>
              </w:rPr>
              <w:t>按照规定设置安全生产管理机构或者配备专职安全生产管理人员、注册安全工程师。专职安全生产管理人员配备数量是否符合劳动定员标准。可以设置专职安全生产分管负责人，协助本单位主要负责人履行安全生产管理职责。</w:t>
            </w:r>
          </w:p>
        </w:tc>
        <w:tc>
          <w:tcPr>
            <w:tcW w:w="1685"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r>
              <w:rPr>
                <w:rFonts w:hint="eastAsia" w:ascii="仿宋_GB2312"/>
                <w:color w:val="000000"/>
                <w:sz w:val="18"/>
              </w:rPr>
              <w:t>《安全生产法》第九十</w:t>
            </w:r>
            <w:r>
              <w:rPr>
                <w:rFonts w:hint="eastAsia" w:ascii="仿宋_GB2312"/>
                <w:color w:val="000000"/>
                <w:sz w:val="18"/>
                <w:lang w:eastAsia="zh-CN"/>
              </w:rPr>
              <w:t>七</w:t>
            </w:r>
            <w:r>
              <w:rPr>
                <w:rFonts w:hint="eastAsia" w:ascii="仿宋_GB2312"/>
                <w:color w:val="000000"/>
                <w:sz w:val="18"/>
              </w:rPr>
              <w:t>条</w:t>
            </w:r>
          </w:p>
        </w:tc>
        <w:tc>
          <w:tcPr>
            <w:tcW w:w="725"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r>
      <w:tr>
        <w:tblPrEx>
          <w:tblCellMar>
            <w:top w:w="0" w:type="dxa"/>
            <w:left w:w="108" w:type="dxa"/>
            <w:bottom w:w="0" w:type="dxa"/>
            <w:right w:w="108" w:type="dxa"/>
          </w:tblCellMar>
        </w:tblPrEx>
        <w:trPr>
          <w:trHeight w:val="122" w:hRule="atLeast"/>
        </w:trPr>
        <w:tc>
          <w:tcPr>
            <w:tcW w:w="567"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c>
          <w:tcPr>
            <w:tcW w:w="709"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c>
          <w:tcPr>
            <w:tcW w:w="198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left"/>
              <w:rPr>
                <w:rFonts w:hint="default" w:ascii="仿宋_GB2312" w:eastAsia="宋体"/>
                <w:color w:val="000000"/>
                <w:sz w:val="18"/>
                <w:lang w:val="en-US" w:eastAsia="zh-CN"/>
              </w:rPr>
            </w:pPr>
            <w:r>
              <w:rPr>
                <w:rFonts w:hint="eastAsia"/>
                <w:color w:val="000000"/>
                <w:sz w:val="18"/>
                <w:lang w:val="en-US" w:eastAsia="zh-CN"/>
              </w:rPr>
              <w:t>1.3安全生产责任制建立</w:t>
            </w:r>
          </w:p>
        </w:tc>
        <w:tc>
          <w:tcPr>
            <w:tcW w:w="2976"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r>
              <w:rPr>
                <w:rFonts w:hint="eastAsia" w:ascii="仿宋_GB2312"/>
                <w:color w:val="000000"/>
                <w:sz w:val="18"/>
              </w:rPr>
              <w:t>《中华人民共和国安全生产法》第四条，第五条，第二十一条；《中华人民共和国矿山安全法》第二十条；《中华人民共和国矿山安全法实施条例》第二十九条；《煤矿安全规程》（原国家安全监管总局令第87号，应急管理部8号修正）第四条；《煤矿企业安全生产许可证实施办法》（原国家安全监管总局令第86号，第89号修改）第六条；</w:t>
            </w:r>
          </w:p>
        </w:tc>
        <w:tc>
          <w:tcPr>
            <w:tcW w:w="4127"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r>
              <w:rPr>
                <w:rFonts w:hint="eastAsia" w:ascii="仿宋_GB2312"/>
                <w:color w:val="000000"/>
                <w:sz w:val="18"/>
              </w:rPr>
              <w:t>是否建立健全主要负责人安全生产责任制。主要负责人责任制是否符合《中华人民共和国安全生产法》第二十一条的规定；主要负责人安全生产责任是否符合上级规范性文件。主要负责人安全生产责任是否符合本单位和本岗位工作实际。</w:t>
            </w:r>
          </w:p>
          <w:p>
            <w:pPr>
              <w:widowControl/>
              <w:snapToGrid w:val="0"/>
              <w:spacing w:line="240" w:lineRule="exact"/>
              <w:rPr>
                <w:rFonts w:hint="eastAsia" w:ascii="仿宋_GB2312"/>
                <w:color w:val="000000"/>
                <w:sz w:val="18"/>
              </w:rPr>
            </w:pPr>
            <w:r>
              <w:rPr>
                <w:rFonts w:hint="eastAsia" w:ascii="仿宋_GB2312"/>
                <w:color w:val="000000"/>
                <w:sz w:val="18"/>
              </w:rPr>
              <w:t>是否建立健全安全生产管理人员安全生产责任制，是否明确企业总工程师安全生产责任制。安全生产责任制是否由企业主要负责人组织制定或审定。安全生产责任制是否符合《中华人民共和国安全生产法》第二十五条第一款的规定。是否明确责任范围和考核标准等内容。安全生产管理人员责任制是否符合本单位和本岗位工作实际。</w:t>
            </w:r>
          </w:p>
          <w:p>
            <w:pPr>
              <w:widowControl/>
              <w:snapToGrid w:val="0"/>
              <w:spacing w:line="240" w:lineRule="exact"/>
              <w:rPr>
                <w:rFonts w:hint="eastAsia" w:ascii="仿宋_GB2312"/>
                <w:color w:val="000000"/>
                <w:sz w:val="18"/>
              </w:rPr>
            </w:pPr>
            <w:r>
              <w:rPr>
                <w:rFonts w:hint="eastAsia" w:ascii="仿宋_GB2312"/>
                <w:color w:val="000000"/>
                <w:sz w:val="18"/>
              </w:rPr>
              <w:t>是否建立健全安全生产责任制。安全生产责任制是否由企业主要负责人组织制定或审定。安全生产责任制是否符合法律法规，是否符合本单位和本岗位工作实际。</w:t>
            </w:r>
          </w:p>
          <w:p>
            <w:pPr>
              <w:widowControl/>
              <w:snapToGrid w:val="0"/>
              <w:spacing w:line="240" w:lineRule="exact"/>
              <w:rPr>
                <w:rFonts w:hint="eastAsia" w:ascii="仿宋_GB2312"/>
                <w:color w:val="000000"/>
                <w:sz w:val="18"/>
              </w:rPr>
            </w:pPr>
            <w:r>
              <w:rPr>
                <w:rFonts w:hint="eastAsia" w:ascii="仿宋_GB2312"/>
                <w:color w:val="000000"/>
                <w:sz w:val="18"/>
              </w:rPr>
              <w:t>是否建立健全各岗位安全生产责任制。安全生产责任制是否由企业主要负责人组织制定或审定。安全生产责任制是否符合法律法规，是否符合本单位和本岗位工作实际。</w:t>
            </w:r>
          </w:p>
        </w:tc>
        <w:tc>
          <w:tcPr>
            <w:tcW w:w="168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r>
              <w:rPr>
                <w:rFonts w:hint="eastAsia" w:ascii="仿宋_GB2312"/>
                <w:color w:val="000000"/>
                <w:sz w:val="18"/>
              </w:rPr>
              <w:t>《安全生产法》第九十</w:t>
            </w:r>
            <w:r>
              <w:rPr>
                <w:rFonts w:hint="eastAsia" w:ascii="仿宋_GB2312"/>
                <w:color w:val="000000"/>
                <w:sz w:val="18"/>
                <w:lang w:eastAsia="zh-CN"/>
              </w:rPr>
              <w:t>四</w:t>
            </w:r>
            <w:r>
              <w:rPr>
                <w:rFonts w:hint="eastAsia" w:ascii="仿宋_GB2312"/>
                <w:color w:val="000000"/>
                <w:sz w:val="18"/>
              </w:rPr>
              <w:t>条</w:t>
            </w:r>
          </w:p>
        </w:tc>
        <w:tc>
          <w:tcPr>
            <w:tcW w:w="725"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r>
      <w:tr>
        <w:tblPrEx>
          <w:tblCellMar>
            <w:top w:w="0" w:type="dxa"/>
            <w:left w:w="108" w:type="dxa"/>
            <w:bottom w:w="0" w:type="dxa"/>
            <w:right w:w="108" w:type="dxa"/>
          </w:tblCellMar>
        </w:tblPrEx>
        <w:trPr>
          <w:trHeight w:val="365" w:hRule="atLeast"/>
        </w:trPr>
        <w:tc>
          <w:tcPr>
            <w:tcW w:w="56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eastAsia="仿宋_GB2312"/>
                <w:color w:val="000000"/>
                <w:sz w:val="18"/>
                <w:lang w:eastAsia="zh-CN"/>
              </w:rPr>
            </w:pPr>
            <w:r>
              <w:rPr>
                <w:rFonts w:hint="eastAsia" w:ascii="仿宋_GB2312" w:eastAsia="仿宋_GB2312"/>
                <w:color w:val="000000"/>
                <w:sz w:val="18"/>
                <w:lang w:val="en-US" w:eastAsia="zh-CN"/>
              </w:rPr>
              <w:t>2</w:t>
            </w:r>
          </w:p>
        </w:tc>
        <w:tc>
          <w:tcPr>
            <w:tcW w:w="70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r>
              <w:rPr>
                <w:rFonts w:hint="eastAsia" w:ascii="仿宋_GB2312"/>
                <w:color w:val="000000"/>
                <w:sz w:val="18"/>
              </w:rPr>
              <w:t>安全培训</w:t>
            </w:r>
            <w:r>
              <w:rPr>
                <w:rFonts w:hint="eastAsia" w:ascii="仿宋_GB2312"/>
                <w:color w:val="000000"/>
                <w:sz w:val="18"/>
                <w:lang w:eastAsia="zh-CN"/>
              </w:rPr>
              <w:t>、安全费用投入</w:t>
            </w:r>
            <w:r>
              <w:rPr>
                <w:rFonts w:hint="eastAsia" w:ascii="仿宋_GB2312"/>
                <w:color w:val="000000"/>
                <w:sz w:val="18"/>
              </w:rPr>
              <w:t>类</w:t>
            </w:r>
          </w:p>
        </w:tc>
        <w:tc>
          <w:tcPr>
            <w:tcW w:w="19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left"/>
              <w:rPr>
                <w:rFonts w:hint="eastAsia" w:ascii="仿宋_GB2312" w:hAnsi="Times New Roman" w:eastAsia="宋体" w:cs="Times New Roman"/>
                <w:color w:val="000000"/>
                <w:sz w:val="18"/>
                <w:lang w:val="en-US" w:eastAsia="zh-CN" w:bidi="ar-SA"/>
              </w:rPr>
            </w:pPr>
            <w:r>
              <w:rPr>
                <w:rFonts w:hint="eastAsia" w:ascii="仿宋_GB2312"/>
                <w:color w:val="000000"/>
                <w:sz w:val="18"/>
                <w:lang w:val="en-US" w:eastAsia="zh-CN"/>
              </w:rPr>
              <w:t>2.1</w:t>
            </w:r>
            <w:r>
              <w:rPr>
                <w:rFonts w:hint="eastAsia" w:ascii="仿宋_GB2312"/>
                <w:color w:val="000000"/>
                <w:sz w:val="18"/>
              </w:rPr>
              <w:t>提取或使用安全费用、参加工伤保险</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hAnsi="Times New Roman" w:eastAsia="宋体" w:cs="Times New Roman"/>
                <w:color w:val="000000"/>
                <w:sz w:val="18"/>
                <w:lang w:val="en-US" w:eastAsia="zh-CN" w:bidi="ar-SA"/>
              </w:rPr>
            </w:pPr>
            <w:r>
              <w:rPr>
                <w:rFonts w:hint="eastAsia" w:ascii="仿宋_GB2312"/>
                <w:color w:val="000000"/>
                <w:sz w:val="18"/>
              </w:rPr>
              <w:t>《安全生产法》第二十</w:t>
            </w:r>
            <w:r>
              <w:rPr>
                <w:rFonts w:hint="eastAsia" w:ascii="仿宋_GB2312"/>
                <w:color w:val="000000"/>
                <w:sz w:val="18"/>
                <w:lang w:eastAsia="zh-CN"/>
              </w:rPr>
              <w:t>三</w:t>
            </w:r>
            <w:r>
              <w:rPr>
                <w:rFonts w:hint="eastAsia" w:ascii="仿宋_GB2312"/>
                <w:color w:val="000000"/>
                <w:sz w:val="18"/>
              </w:rPr>
              <w:t>条</w:t>
            </w:r>
            <w:r>
              <w:rPr>
                <w:rFonts w:hint="eastAsia" w:ascii="仿宋_GB2312"/>
                <w:color w:val="000000"/>
                <w:sz w:val="18"/>
                <w:lang w:eastAsia="zh-CN"/>
              </w:rPr>
              <w:t>、第五十二条</w:t>
            </w:r>
          </w:p>
        </w:tc>
        <w:tc>
          <w:tcPr>
            <w:tcW w:w="41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hAnsi="Times New Roman" w:eastAsia="宋体" w:cs="Times New Roman"/>
                <w:color w:val="000000"/>
                <w:sz w:val="18"/>
                <w:lang w:val="en-US" w:eastAsia="zh-CN" w:bidi="ar-SA"/>
              </w:rPr>
            </w:pPr>
            <w:r>
              <w:rPr>
                <w:rFonts w:hint="eastAsia" w:ascii="仿宋_GB2312"/>
                <w:color w:val="000000"/>
                <w:sz w:val="18"/>
              </w:rPr>
              <w:t>1.检查安全费用提取和使用明细账、凭证、有关财务报表、计划和统计报表、制度及相关文件；2.现场检查为从业人员缴纳工伤保险人名单和缴纳工伤保险票据、凭证和相关文件资料</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hAnsi="Times New Roman" w:eastAsia="宋体" w:cs="Times New Roman"/>
                <w:color w:val="000000"/>
                <w:sz w:val="18"/>
                <w:lang w:val="en-US" w:eastAsia="zh-CN" w:bidi="ar-SA"/>
              </w:rPr>
            </w:pPr>
            <w:r>
              <w:rPr>
                <w:rFonts w:hint="eastAsia" w:ascii="仿宋_GB2312"/>
                <w:color w:val="000000"/>
                <w:spacing w:val="-10"/>
                <w:sz w:val="18"/>
              </w:rPr>
              <w:t>《安全生产违法行为行政处罚办法》第四十三条</w:t>
            </w:r>
          </w:p>
        </w:tc>
        <w:tc>
          <w:tcPr>
            <w:tcW w:w="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r>
      <w:tr>
        <w:tblPrEx>
          <w:tblCellMar>
            <w:top w:w="0" w:type="dxa"/>
            <w:left w:w="108" w:type="dxa"/>
            <w:bottom w:w="0" w:type="dxa"/>
            <w:right w:w="108" w:type="dxa"/>
          </w:tblCellMar>
        </w:tblPrEx>
        <w:trPr>
          <w:trHeight w:val="365" w:hRule="atLeast"/>
        </w:trPr>
        <w:tc>
          <w:tcPr>
            <w:tcW w:w="56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eastAsia="仿宋_GB2312"/>
                <w:color w:val="000000"/>
                <w:sz w:val="18"/>
              </w:rPr>
            </w:pPr>
          </w:p>
        </w:tc>
        <w:tc>
          <w:tcPr>
            <w:tcW w:w="70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c>
          <w:tcPr>
            <w:tcW w:w="19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r>
              <w:rPr>
                <w:rFonts w:hint="eastAsia" w:ascii="仿宋_GB2312"/>
                <w:color w:val="000000"/>
                <w:sz w:val="18"/>
                <w:lang w:val="en-US" w:eastAsia="zh-CN"/>
              </w:rPr>
              <w:t>2.2</w:t>
            </w:r>
            <w:r>
              <w:rPr>
                <w:rFonts w:hint="eastAsia" w:ascii="仿宋_GB2312"/>
                <w:color w:val="000000"/>
                <w:sz w:val="18"/>
              </w:rPr>
              <w:t>从业人员进行安全生产教育和培训；如实告知有关的安全生产事项；特种作业人员经专门安全作业培训并取得特种作业人员操作资格证书上岗作业</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r>
              <w:rPr>
                <w:rFonts w:hint="eastAsia" w:ascii="仿宋_GB2312"/>
                <w:color w:val="000000"/>
                <w:sz w:val="18"/>
              </w:rPr>
              <w:t>1.《安全生产法》第二十</w:t>
            </w:r>
            <w:r>
              <w:rPr>
                <w:rFonts w:hint="eastAsia" w:ascii="仿宋_GB2312"/>
                <w:color w:val="000000"/>
                <w:sz w:val="18"/>
                <w:lang w:eastAsia="zh-CN"/>
              </w:rPr>
              <w:t>八</w:t>
            </w:r>
            <w:r>
              <w:rPr>
                <w:rFonts w:hint="eastAsia" w:ascii="仿宋_GB2312"/>
                <w:color w:val="000000"/>
                <w:sz w:val="18"/>
              </w:rPr>
              <w:t>条、第二十</w:t>
            </w:r>
            <w:r>
              <w:rPr>
                <w:rFonts w:hint="eastAsia" w:ascii="仿宋_GB2312"/>
                <w:color w:val="000000"/>
                <w:sz w:val="18"/>
                <w:lang w:eastAsia="zh-CN"/>
              </w:rPr>
              <w:t>九</w:t>
            </w:r>
            <w:r>
              <w:rPr>
                <w:rFonts w:hint="eastAsia" w:ascii="仿宋_GB2312"/>
                <w:color w:val="000000"/>
                <w:sz w:val="18"/>
              </w:rPr>
              <w:t>条、第</w:t>
            </w:r>
            <w:r>
              <w:rPr>
                <w:rFonts w:hint="eastAsia" w:ascii="仿宋_GB2312"/>
                <w:color w:val="000000"/>
                <w:sz w:val="18"/>
                <w:lang w:eastAsia="zh-CN"/>
              </w:rPr>
              <w:t>三十</w:t>
            </w:r>
            <w:r>
              <w:rPr>
                <w:rFonts w:hint="eastAsia" w:ascii="仿宋_GB2312"/>
                <w:color w:val="000000"/>
                <w:sz w:val="18"/>
              </w:rPr>
              <w:t>条、第四十</w:t>
            </w:r>
            <w:r>
              <w:rPr>
                <w:rFonts w:hint="eastAsia" w:ascii="仿宋_GB2312"/>
                <w:color w:val="000000"/>
                <w:sz w:val="18"/>
                <w:lang w:eastAsia="zh-CN"/>
              </w:rPr>
              <w:t>四</w:t>
            </w:r>
            <w:r>
              <w:rPr>
                <w:rFonts w:hint="eastAsia" w:ascii="仿宋_GB2312"/>
                <w:color w:val="000000"/>
                <w:sz w:val="18"/>
              </w:rPr>
              <w:t>条；2．《矿山安全法》第四十条；3.《国务院关于预防煤矿生产安全事故的特别规定》第十六条</w:t>
            </w:r>
          </w:p>
        </w:tc>
        <w:tc>
          <w:tcPr>
            <w:tcW w:w="41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r>
              <w:rPr>
                <w:rFonts w:hint="eastAsia" w:ascii="仿宋_GB2312"/>
                <w:color w:val="000000"/>
                <w:sz w:val="18"/>
              </w:rPr>
              <w:t>1.检查全部从业人员安全培训记录、档案；2.抽查从业人员对安全生产有关事项知晓情况；3.检查各工种特种作业人员配备人数是否满足岗位需要，全部特种作业人员是否取得特种作业操作证</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pacing w:val="-10"/>
                <w:sz w:val="18"/>
              </w:rPr>
            </w:pPr>
            <w:r>
              <w:rPr>
                <w:rFonts w:hint="eastAsia" w:ascii="仿宋_GB2312"/>
                <w:color w:val="000000"/>
                <w:spacing w:val="-10"/>
                <w:sz w:val="18"/>
              </w:rPr>
              <w:t>《安全生产法》</w:t>
            </w:r>
            <w:r>
              <w:rPr>
                <w:rFonts w:ascii="宋体"/>
                <w:color w:val="000000"/>
                <w:sz w:val="18"/>
              </w:rPr>
              <w:t>第九十</w:t>
            </w:r>
            <w:r>
              <w:rPr>
                <w:rFonts w:hint="eastAsia" w:ascii="宋体"/>
                <w:color w:val="000000"/>
                <w:sz w:val="18"/>
                <w:lang w:eastAsia="zh-CN"/>
              </w:rPr>
              <w:t>七</w:t>
            </w:r>
            <w:r>
              <w:rPr>
                <w:rFonts w:ascii="宋体"/>
                <w:color w:val="000000"/>
                <w:sz w:val="18"/>
              </w:rPr>
              <w:t>条</w:t>
            </w:r>
          </w:p>
        </w:tc>
        <w:tc>
          <w:tcPr>
            <w:tcW w:w="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p>
        </w:tc>
      </w:tr>
      <w:tr>
        <w:tblPrEx>
          <w:tblCellMar>
            <w:top w:w="0" w:type="dxa"/>
            <w:left w:w="108" w:type="dxa"/>
            <w:bottom w:w="0" w:type="dxa"/>
            <w:right w:w="108" w:type="dxa"/>
          </w:tblCellMar>
        </w:tblPrEx>
        <w:trPr>
          <w:trHeight w:val="1936" w:hRule="atLeast"/>
        </w:trPr>
        <w:tc>
          <w:tcPr>
            <w:tcW w:w="567"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ascii="宋体"/>
                <w:sz w:val="20"/>
              </w:rPr>
            </w:pPr>
          </w:p>
        </w:tc>
        <w:tc>
          <w:tcPr>
            <w:tcW w:w="709"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ascii="宋体"/>
                <w:sz w:val="20"/>
              </w:rPr>
            </w:pPr>
          </w:p>
        </w:tc>
        <w:tc>
          <w:tcPr>
            <w:tcW w:w="19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r>
              <w:rPr>
                <w:rFonts w:hint="eastAsia" w:ascii="仿宋_GB2312"/>
                <w:color w:val="000000"/>
                <w:sz w:val="18"/>
                <w:lang w:val="en-US" w:eastAsia="zh-CN"/>
              </w:rPr>
              <w:t>2.3</w:t>
            </w:r>
            <w:r>
              <w:rPr>
                <w:rFonts w:hint="eastAsia" w:ascii="仿宋_GB2312"/>
                <w:color w:val="000000"/>
                <w:sz w:val="18"/>
              </w:rPr>
              <w:t>应急教育培训</w:t>
            </w:r>
          </w:p>
        </w:tc>
        <w:tc>
          <w:tcPr>
            <w:tcW w:w="29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center"/>
              <w:rPr>
                <w:rFonts w:hint="eastAsia" w:ascii="仿宋_GB2312"/>
                <w:color w:val="000000"/>
                <w:sz w:val="18"/>
              </w:rPr>
            </w:pPr>
            <w:r>
              <w:rPr>
                <w:rFonts w:hint="eastAsia" w:ascii="仿宋_GB2312"/>
                <w:color w:val="000000"/>
                <w:sz w:val="18"/>
              </w:rPr>
              <w:t>1.《安全生产法》第二十</w:t>
            </w:r>
            <w:r>
              <w:rPr>
                <w:rFonts w:hint="eastAsia" w:ascii="仿宋_GB2312"/>
                <w:color w:val="000000"/>
                <w:sz w:val="18"/>
                <w:lang w:eastAsia="zh-CN"/>
              </w:rPr>
              <w:t>七</w:t>
            </w:r>
            <w:r>
              <w:rPr>
                <w:rFonts w:hint="eastAsia" w:ascii="仿宋_GB2312"/>
                <w:color w:val="000000"/>
                <w:sz w:val="18"/>
              </w:rPr>
              <w:t>条、第二十</w:t>
            </w:r>
            <w:r>
              <w:rPr>
                <w:rFonts w:hint="eastAsia" w:ascii="仿宋_GB2312"/>
                <w:color w:val="000000"/>
                <w:sz w:val="18"/>
                <w:lang w:eastAsia="zh-CN"/>
              </w:rPr>
              <w:t>八</w:t>
            </w:r>
            <w:r>
              <w:rPr>
                <w:rFonts w:hint="eastAsia" w:ascii="仿宋_GB2312"/>
                <w:color w:val="000000"/>
                <w:sz w:val="18"/>
              </w:rPr>
              <w:t>条、第五十</w:t>
            </w:r>
            <w:r>
              <w:rPr>
                <w:rFonts w:hint="eastAsia" w:ascii="仿宋_GB2312"/>
                <w:color w:val="000000"/>
                <w:sz w:val="18"/>
                <w:lang w:eastAsia="zh-CN"/>
              </w:rPr>
              <w:t>八</w:t>
            </w:r>
            <w:r>
              <w:rPr>
                <w:rFonts w:hint="eastAsia" w:ascii="仿宋_GB2312"/>
                <w:color w:val="000000"/>
                <w:sz w:val="18"/>
              </w:rPr>
              <w:t>条；2.《生产经营单位安全培训规定》（安全监管总局令第3号公布，第80号修改）第四条、第十五条、第三十一条</w:t>
            </w:r>
          </w:p>
          <w:p>
            <w:pPr>
              <w:widowControl/>
              <w:snapToGrid w:val="0"/>
              <w:spacing w:line="240" w:lineRule="exact"/>
              <w:jc w:val="center"/>
              <w:rPr>
                <w:rFonts w:hint="eastAsia" w:ascii="仿宋_GB2312"/>
                <w:color w:val="000000"/>
                <w:sz w:val="18"/>
              </w:rPr>
            </w:pPr>
          </w:p>
        </w:tc>
        <w:tc>
          <w:tcPr>
            <w:tcW w:w="41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jc w:val="left"/>
              <w:rPr>
                <w:rFonts w:hint="eastAsia" w:ascii="仿宋_GB2312"/>
                <w:color w:val="000000"/>
                <w:sz w:val="18"/>
              </w:rPr>
            </w:pPr>
            <w:r>
              <w:rPr>
                <w:rFonts w:hint="eastAsia" w:ascii="仿宋_GB2312"/>
                <w:color w:val="000000"/>
                <w:sz w:val="18"/>
              </w:rPr>
              <w:t>1.主要负责人、安全管理人员是否经过培训，考核合格。2.是否将应急处置与逃生自救互救知识纳入安全生产教育培训内容和培训计划。3.是否开展应急预案培训，并记录。4.一线职工是否掌握本岗位现场处置方案和应急处置卡的内容。5.是否对从业人员的自救互救、避险逃生技能定期组织考核。6.是否建有安全生产教育和培训档案，包含从业人员应急知识培训与考核等内容</w:t>
            </w:r>
          </w:p>
        </w:tc>
        <w:tc>
          <w:tcPr>
            <w:tcW w:w="168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r>
              <w:rPr>
                <w:rFonts w:hint="eastAsia" w:ascii="仿宋_GB2312"/>
                <w:color w:val="000000"/>
                <w:sz w:val="18"/>
              </w:rPr>
              <w:t>《安全生产法》第九十</w:t>
            </w:r>
            <w:r>
              <w:rPr>
                <w:rFonts w:hint="eastAsia" w:ascii="仿宋_GB2312"/>
                <w:color w:val="000000"/>
                <w:sz w:val="18"/>
                <w:lang w:eastAsia="zh-CN"/>
              </w:rPr>
              <w:t>七</w:t>
            </w:r>
            <w:r>
              <w:rPr>
                <w:rFonts w:hint="eastAsia" w:ascii="仿宋_GB2312"/>
                <w:color w:val="000000"/>
                <w:sz w:val="18"/>
              </w:rPr>
              <w:t>条</w:t>
            </w:r>
          </w:p>
        </w:tc>
        <w:tc>
          <w:tcPr>
            <w:tcW w:w="7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napToGrid w:val="0"/>
              <w:spacing w:line="240" w:lineRule="exact"/>
              <w:rPr>
                <w:rFonts w:hint="eastAsia" w:ascii="仿宋_GB2312"/>
                <w:color w:val="000000"/>
                <w:sz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769B5DD2"/>
    <w:rsid w:val="769B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2024-05-17T03:30:00Z</dcterms:created>
  <dc:creator>绿茶咖啡</dc:creator>
  <cp:lastModifiedBy>绿茶咖啡</cp:lastModifiedBy>
  <dcterms:modified xsi:type="dcterms:W3CDTF">2024-05-17T03:30:42Z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6FC796A9D11C4B708BAAAD20AEF4294D_11</vt:lpwstr>
  </property>
</Properties>
</file>